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F3B" w:rsidRPr="00446F9D" w:rsidRDefault="001D6F3B" w:rsidP="001D6F3B">
      <w:pPr>
        <w:pStyle w:val="Header"/>
        <w:tabs>
          <w:tab w:val="clear" w:pos="4536"/>
        </w:tabs>
        <w:rPr>
          <w:i/>
        </w:rPr>
      </w:pPr>
      <w:r w:rsidRPr="00446F9D">
        <w:t>TSG-RAN WG1 #</w:t>
      </w:r>
      <w:r>
        <w:t>85</w:t>
      </w:r>
      <w:r w:rsidRPr="00446F9D">
        <w:tab/>
        <w:t>R1-</w:t>
      </w:r>
      <w:r>
        <w:t>16</w:t>
      </w:r>
      <w:r w:rsidR="00495FAF">
        <w:t>4632</w:t>
      </w:r>
    </w:p>
    <w:p w:rsidR="001D6F3B" w:rsidRPr="000833FA" w:rsidRDefault="001D6F3B" w:rsidP="001D6F3B">
      <w:pPr>
        <w:pStyle w:val="Header"/>
        <w:rPr>
          <w:color w:val="000000"/>
        </w:rPr>
      </w:pPr>
      <w:r>
        <w:t>Nanjing</w:t>
      </w:r>
      <w:r w:rsidRPr="000833FA">
        <w:t xml:space="preserve">, </w:t>
      </w:r>
      <w:r>
        <w:t>China</w:t>
      </w:r>
      <w:r w:rsidRPr="000833FA">
        <w:t>,</w:t>
      </w:r>
      <w:r>
        <w:t xml:space="preserve"> May 23 – 27,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E1404A" w:rsidRPr="00E1404A">
        <w:t>Flexible bandwidth in NR</w:t>
      </w:r>
    </w:p>
    <w:p w:rsidR="00FE5799" w:rsidRPr="0003368D" w:rsidRDefault="00FE5799" w:rsidP="00FE5799">
      <w:pPr>
        <w:pStyle w:val="Header"/>
        <w:tabs>
          <w:tab w:val="left" w:pos="1800"/>
        </w:tabs>
      </w:pPr>
      <w:r w:rsidRPr="0003368D">
        <w:t>Agenda Item:</w:t>
      </w:r>
      <w:bookmarkStart w:id="1" w:name="Source"/>
      <w:bookmarkEnd w:id="1"/>
      <w:r w:rsidRPr="0003368D">
        <w:tab/>
      </w:r>
      <w:r w:rsidR="001D6F3B">
        <w:t>7.1.</w:t>
      </w:r>
      <w:r w:rsidR="00E1404A">
        <w:t>7</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E1404A" w:rsidRDefault="00E1404A" w:rsidP="00E1404A">
      <w:r>
        <w:t>From its initial release</w:t>
      </w:r>
      <w:r w:rsidRPr="00AC0553">
        <w:t xml:space="preserve">, </w:t>
      </w:r>
      <w:r>
        <w:t>the LTE physical-</w:t>
      </w:r>
      <w:r w:rsidRPr="00AC0553">
        <w:t xml:space="preserve">layer design </w:t>
      </w:r>
      <w:r>
        <w:t>have been extremely flexible in terms of the carrier</w:t>
      </w:r>
      <w:r w:rsidRPr="00AC0553">
        <w:t xml:space="preserve"> bandwidth, allowing for any  bandwidth in the range  6 resource blocks to 110 resource blocks.</w:t>
      </w:r>
      <w:r>
        <w:t xml:space="preserve"> This is enabled by having the basic signals and channels needed for initial system access (the PSS/SSS and the PBCH) spanning only the center 72 center sub-carriers of the carrier bandwidth. </w:t>
      </w:r>
    </w:p>
    <w:p w:rsidR="00E1404A" w:rsidRDefault="00E1404A" w:rsidP="00E1404A"/>
    <w:p w:rsidR="00E1404A" w:rsidRDefault="00E1404A" w:rsidP="00E1404A">
      <w:r>
        <w:t>To limit the RF complexity of devices, as well as the required signaling, the actual system bandwidth is currently limited to the set 1.4 MHz (6 RBs), 3 MHz (15 RBs), 5 MH (25 RBs</w:t>
      </w:r>
      <w:proofErr w:type="gramStart"/>
      <w:r>
        <w:t>) ,</w:t>
      </w:r>
      <w:proofErr w:type="gramEnd"/>
      <w:r>
        <w:t xml:space="preserve"> 10 MHz (50 RBs) 15 MHz (75 RBs) and 20 MHz (100 RBs).</w:t>
      </w:r>
      <w:r>
        <w:rPr>
          <w:rStyle w:val="FootnoteReference"/>
        </w:rPr>
        <w:footnoteReference w:id="1"/>
      </w:r>
      <w:r>
        <w:t xml:space="preserve"> However, this limitation is only visible in the 36.331 (RRC) specification and the RAN4 specifications and not in the basic physical-layer specifications. The benefit with this is that new system bandwidths can be introduced, for example when introducing new frequency bands where there are not legacy devices, without impacting the physical-layer specifications. </w:t>
      </w:r>
    </w:p>
    <w:p w:rsidR="00E1404A" w:rsidRDefault="00E1404A" w:rsidP="00E1404A"/>
    <w:p w:rsidR="00E1404A" w:rsidRDefault="00E1404A" w:rsidP="00E1404A">
      <w:r>
        <w:t>At the same time, from the initial release of LTE all devices were required to support all the carrier bandwidths specified for the frequency bands supported by the device. This requirement originates from a desire to simplify network design and deployment by not having to take into account the possibility for different UE capabilities in terms of supported carrier bandwidth. This requirement is visible, for example, in terms of certain physical channels spanning to full system bandwidth what-ever that is.</w:t>
      </w:r>
    </w:p>
    <w:p w:rsidR="00E1404A" w:rsidRDefault="00E1404A" w:rsidP="00E1404A"/>
    <w:p w:rsidR="00E1404A" w:rsidRDefault="00E1404A" w:rsidP="00E1404A">
      <w:r>
        <w:t xml:space="preserve">However, release 13 relaxed this requirement as part of the introduction of as part of the Bandwidth-reduced Low-Complexity (BL) UE. More specifically BL devices are only required to be able to receive over a bandwidths corresponding to six resource blocks.  Consequently new mechanisms were needed for the functionality otherwise provided by the PDCCH, PHICH, and PCFICH. </w:t>
      </w:r>
    </w:p>
    <w:p w:rsidR="00FE5799" w:rsidRDefault="00E1404A" w:rsidP="00FE5799">
      <w:pPr>
        <w:pStyle w:val="Heading1"/>
      </w:pPr>
      <w:r>
        <w:t>5G spectrum flexibility</w:t>
      </w:r>
    </w:p>
    <w:p w:rsidR="00E1404A" w:rsidRDefault="00E1404A" w:rsidP="00E1404A">
      <w:r>
        <w:t>For several reasons, bandwidth flexibility is even more important for a new 5G radio access technology (NR).</w:t>
      </w:r>
    </w:p>
    <w:p w:rsidR="00E1404A" w:rsidRDefault="00E1404A" w:rsidP="00E1404A">
      <w:pPr>
        <w:pStyle w:val="ListParagraph"/>
        <w:numPr>
          <w:ilvl w:val="0"/>
          <w:numId w:val="5"/>
        </w:numPr>
        <w:overflowPunct/>
        <w:autoSpaceDE/>
        <w:autoSpaceDN/>
        <w:adjustRightInd/>
        <w:spacing w:after="200" w:line="276" w:lineRule="auto"/>
        <w:textAlignment w:val="auto"/>
      </w:pPr>
      <w:r>
        <w:t>The new NR should support operation in a very wide range of spectrum, ranging from sub-GHz up to at least several ten GHz</w:t>
      </w:r>
      <w:proofErr w:type="gramStart"/>
      <w:r>
        <w:t>,  with</w:t>
      </w:r>
      <w:proofErr w:type="gramEnd"/>
      <w:r>
        <w:t xml:space="preserve"> very different possibilities regarding the available spectrum and, thus, possible transmission bandwidths. </w:t>
      </w:r>
    </w:p>
    <w:p w:rsidR="00E1404A" w:rsidRDefault="00E1404A" w:rsidP="00E1404A">
      <w:pPr>
        <w:pStyle w:val="ListParagraph"/>
        <w:numPr>
          <w:ilvl w:val="0"/>
          <w:numId w:val="5"/>
        </w:numPr>
        <w:overflowPunct/>
        <w:autoSpaceDE/>
        <w:autoSpaceDN/>
        <w:adjustRightInd/>
        <w:spacing w:after="200" w:line="276" w:lineRule="auto"/>
        <w:textAlignment w:val="auto"/>
      </w:pPr>
      <w:r>
        <w:t>Many of the bands to be used for the NR are not even yet fully identified, implying that the size of spectrum allocations is yet unknown.</w:t>
      </w:r>
    </w:p>
    <w:p w:rsidR="00E1404A" w:rsidRDefault="00E1404A" w:rsidP="00E1404A">
      <w:pPr>
        <w:pStyle w:val="ListParagraph"/>
        <w:numPr>
          <w:ilvl w:val="0"/>
          <w:numId w:val="5"/>
        </w:numPr>
        <w:overflowPunct/>
        <w:autoSpaceDE/>
        <w:autoSpaceDN/>
        <w:adjustRightInd/>
        <w:spacing w:after="200" w:line="276" w:lineRule="auto"/>
        <w:textAlignment w:val="auto"/>
      </w:pPr>
      <w:r>
        <w:t>The new NR should support a very wide range of applications and use cases. Some of these will require very wide UE transmission and reception bandwidth. Other applications will require very low UE complexity implying a need to operate with much lower UE reception and/or transmission bandwidth.</w:t>
      </w:r>
    </w:p>
    <w:p w:rsidR="000D49FA" w:rsidRDefault="00E1404A" w:rsidP="00E1404A">
      <w:r>
        <w:t xml:space="preserve">Thus, NR should retain and further expand on the bandwidth flexibility of LTE. </w:t>
      </w:r>
      <w:r w:rsidR="000D49FA">
        <w:t xml:space="preserve">More specifically, it is </w:t>
      </w:r>
      <w:bookmarkStart w:id="3" w:name="_GoBack"/>
      <w:bookmarkEnd w:id="3"/>
      <w:r w:rsidR="000D49FA">
        <w:t>recommended that the following is captured within the TR:</w:t>
      </w:r>
    </w:p>
    <w:p w:rsidR="000D49FA" w:rsidRDefault="000D49FA" w:rsidP="00E1404A">
      <w:pPr>
        <w:pBdr>
          <w:bottom w:val="single" w:sz="6" w:space="1" w:color="auto"/>
        </w:pBdr>
      </w:pPr>
    </w:p>
    <w:p w:rsidR="00E1404A" w:rsidRDefault="00E1404A" w:rsidP="00E1404A">
      <w:r>
        <w:t xml:space="preserve"> </w:t>
      </w:r>
    </w:p>
    <w:p w:rsidR="00E1404A" w:rsidRPr="00B66E39" w:rsidRDefault="00E1404A" w:rsidP="00E1404A">
      <w:pPr>
        <w:pStyle w:val="ListParagraph"/>
        <w:numPr>
          <w:ilvl w:val="0"/>
          <w:numId w:val="5"/>
        </w:numPr>
        <w:overflowPunct/>
        <w:autoSpaceDE/>
        <w:autoSpaceDN/>
        <w:adjustRightInd/>
        <w:spacing w:before="240" w:after="200" w:line="276" w:lineRule="auto"/>
        <w:ind w:left="714" w:hanging="357"/>
        <w:contextualSpacing w:val="0"/>
        <w:textAlignment w:val="auto"/>
        <w:rPr>
          <w:i/>
        </w:rPr>
      </w:pPr>
      <w:r w:rsidRPr="00B66E39">
        <w:rPr>
          <w:i/>
        </w:rPr>
        <w:t xml:space="preserve">The </w:t>
      </w:r>
      <w:r w:rsidR="000D49FA">
        <w:rPr>
          <w:i/>
        </w:rPr>
        <w:t xml:space="preserve">NR </w:t>
      </w:r>
      <w:r w:rsidRPr="00B66E39">
        <w:rPr>
          <w:i/>
        </w:rPr>
        <w:t>physical-layer design should allow for essentially any network carrier bandwidth (within certain limits and with certain granularity) in the same way as LTE has from its start.</w:t>
      </w:r>
    </w:p>
    <w:p w:rsidR="00E1404A" w:rsidRPr="00B66E39" w:rsidRDefault="00E1404A" w:rsidP="00E1404A">
      <w:pPr>
        <w:pStyle w:val="ListParagraph"/>
        <w:numPr>
          <w:ilvl w:val="0"/>
          <w:numId w:val="5"/>
        </w:numPr>
        <w:overflowPunct/>
        <w:autoSpaceDE/>
        <w:autoSpaceDN/>
        <w:adjustRightInd/>
        <w:spacing w:before="240" w:after="200" w:line="276" w:lineRule="auto"/>
        <w:ind w:left="714" w:hanging="357"/>
        <w:contextualSpacing w:val="0"/>
        <w:textAlignment w:val="auto"/>
        <w:rPr>
          <w:i/>
        </w:rPr>
      </w:pPr>
      <w:r w:rsidRPr="00B66E39">
        <w:rPr>
          <w:i/>
        </w:rPr>
        <w:t xml:space="preserve">The </w:t>
      </w:r>
      <w:r w:rsidR="000D49FA">
        <w:rPr>
          <w:i/>
        </w:rPr>
        <w:t xml:space="preserve">NR physical-layer </w:t>
      </w:r>
      <w:r w:rsidRPr="00B66E39">
        <w:rPr>
          <w:i/>
        </w:rPr>
        <w:t xml:space="preserve">design should be such that devices with different bandwidth capabilities should be able to </w:t>
      </w:r>
      <w:r>
        <w:rPr>
          <w:i/>
        </w:rPr>
        <w:t xml:space="preserve">efficiently </w:t>
      </w:r>
      <w:r w:rsidRPr="00B66E39">
        <w:rPr>
          <w:i/>
        </w:rPr>
        <w:t>access the same network carrier.</w:t>
      </w:r>
    </w:p>
    <w:p w:rsidR="00E1404A" w:rsidRPr="00B66E39" w:rsidRDefault="00E1404A" w:rsidP="00E1404A">
      <w:pPr>
        <w:pStyle w:val="ListParagraph"/>
        <w:numPr>
          <w:ilvl w:val="0"/>
          <w:numId w:val="5"/>
        </w:numPr>
        <w:overflowPunct/>
        <w:autoSpaceDE/>
        <w:autoSpaceDN/>
        <w:adjustRightInd/>
        <w:spacing w:before="240" w:after="200" w:line="276" w:lineRule="auto"/>
        <w:ind w:left="714" w:hanging="357"/>
        <w:contextualSpacing w:val="0"/>
        <w:textAlignment w:val="auto"/>
        <w:rPr>
          <w:i/>
        </w:rPr>
      </w:pPr>
      <w:r w:rsidRPr="00B66E39">
        <w:rPr>
          <w:i/>
        </w:rPr>
        <w:lastRenderedPageBreak/>
        <w:t>There should not be an assumption that devices necessarily support the same set of bandwidths for transmission and reception.</w:t>
      </w:r>
    </w:p>
    <w:p w:rsidR="000D49FA" w:rsidRPr="000D49FA" w:rsidRDefault="00E1404A" w:rsidP="000D49FA">
      <w:pPr>
        <w:pStyle w:val="ListParagraph"/>
        <w:numPr>
          <w:ilvl w:val="0"/>
          <w:numId w:val="5"/>
        </w:numPr>
        <w:pBdr>
          <w:bottom w:val="single" w:sz="6" w:space="1" w:color="auto"/>
        </w:pBdr>
        <w:overflowPunct/>
        <w:autoSpaceDE/>
        <w:autoSpaceDN/>
        <w:adjustRightInd/>
        <w:spacing w:before="240" w:after="200" w:line="276" w:lineRule="auto"/>
        <w:ind w:left="714" w:hanging="357"/>
        <w:contextualSpacing w:val="0"/>
        <w:textAlignment w:val="auto"/>
        <w:rPr>
          <w:i/>
        </w:rPr>
      </w:pPr>
      <w:r w:rsidRPr="00B66E39">
        <w:rPr>
          <w:i/>
        </w:rPr>
        <w:t xml:space="preserve">There should not be an assumption that the network carrier bandwidth is necessarily the same for downlink and uplink. </w:t>
      </w:r>
    </w:p>
    <w:p w:rsidR="001B59CA" w:rsidRPr="00E1404A" w:rsidRDefault="001B59CA" w:rsidP="00E1404A">
      <w:pPr>
        <w:spacing w:before="240" w:after="200" w:line="276" w:lineRule="auto"/>
      </w:pPr>
    </w:p>
    <w:sectPr w:rsidR="001B59CA" w:rsidRPr="00E1404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298" w:rsidRDefault="00680298">
      <w:r>
        <w:separator/>
      </w:r>
    </w:p>
  </w:endnote>
  <w:endnote w:type="continuationSeparator" w:id="0">
    <w:p w:rsidR="00680298" w:rsidRDefault="0068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298" w:rsidRDefault="00680298">
      <w:r>
        <w:separator/>
      </w:r>
    </w:p>
  </w:footnote>
  <w:footnote w:type="continuationSeparator" w:id="0">
    <w:p w:rsidR="00680298" w:rsidRDefault="00680298">
      <w:r>
        <w:continuationSeparator/>
      </w:r>
    </w:p>
  </w:footnote>
  <w:footnote w:id="1">
    <w:p w:rsidR="00E1404A" w:rsidRPr="00CA1520" w:rsidRDefault="00E1404A" w:rsidP="00E1404A">
      <w:pPr>
        <w:pStyle w:val="FootnoteText"/>
        <w:rPr>
          <w:lang w:val="en-US"/>
        </w:rPr>
      </w:pPr>
      <w:r>
        <w:rPr>
          <w:rStyle w:val="FootnoteReference"/>
        </w:rPr>
        <w:footnoteRef/>
      </w:r>
      <w:r>
        <w:t xml:space="preserve"> </w:t>
      </w:r>
      <w:r w:rsidRPr="00CA1520">
        <w:rPr>
          <w:lang w:val="en-US"/>
        </w:rPr>
        <w:t>Note that not all bandwidths a</w:t>
      </w:r>
      <w:r>
        <w:rPr>
          <w:lang w:val="en-US"/>
        </w:rPr>
        <w:t>re supported in every frequency band.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680298"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68ED"/>
    <w:rsid w:val="000A258F"/>
    <w:rsid w:val="000D49FA"/>
    <w:rsid w:val="000D6B22"/>
    <w:rsid w:val="00112E18"/>
    <w:rsid w:val="00141448"/>
    <w:rsid w:val="001B59CA"/>
    <w:rsid w:val="001D6F3B"/>
    <w:rsid w:val="0021013F"/>
    <w:rsid w:val="00290099"/>
    <w:rsid w:val="003812E7"/>
    <w:rsid w:val="003875A3"/>
    <w:rsid w:val="004229EA"/>
    <w:rsid w:val="00495FAF"/>
    <w:rsid w:val="004A705C"/>
    <w:rsid w:val="004C0CDE"/>
    <w:rsid w:val="00500796"/>
    <w:rsid w:val="00553623"/>
    <w:rsid w:val="00680298"/>
    <w:rsid w:val="006A286A"/>
    <w:rsid w:val="00763AD1"/>
    <w:rsid w:val="00834DE7"/>
    <w:rsid w:val="0087112A"/>
    <w:rsid w:val="00994A16"/>
    <w:rsid w:val="009A6BB8"/>
    <w:rsid w:val="009B078C"/>
    <w:rsid w:val="009B2E48"/>
    <w:rsid w:val="009F48D6"/>
    <w:rsid w:val="00A01F81"/>
    <w:rsid w:val="00A73324"/>
    <w:rsid w:val="00A81AA1"/>
    <w:rsid w:val="00AA13EF"/>
    <w:rsid w:val="00AB4641"/>
    <w:rsid w:val="00AB5E61"/>
    <w:rsid w:val="00B368D9"/>
    <w:rsid w:val="00BD7760"/>
    <w:rsid w:val="00C1560A"/>
    <w:rsid w:val="00C61496"/>
    <w:rsid w:val="00C725FC"/>
    <w:rsid w:val="00C90EB5"/>
    <w:rsid w:val="00CE28B2"/>
    <w:rsid w:val="00CF67BE"/>
    <w:rsid w:val="00D03119"/>
    <w:rsid w:val="00E1404A"/>
    <w:rsid w:val="00E63D88"/>
    <w:rsid w:val="00E91008"/>
    <w:rsid w:val="00FA1C95"/>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9333-6CB9-4160-AA26-3D2F915B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2016-05-11T08:33:00Z</dcterms:created>
  <dcterms:modified xsi:type="dcterms:W3CDTF">2016-05-11T18:37:00Z</dcterms:modified>
</cp:coreProperties>
</file>