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D011E3" w14:textId="230EF821" w:rsidR="00FF4A9B" w:rsidRPr="007C1B33" w:rsidRDefault="00637FBE" w:rsidP="00FF4A9B">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TSG RAN WG1 Meeting #83    </w:t>
      </w:r>
      <w:r w:rsidR="00FF4A9B" w:rsidRPr="007C1B33">
        <w:rPr>
          <w:rFonts w:eastAsia="Times New Roman" w:cs="Arial"/>
          <w:bCs/>
          <w:noProof/>
          <w:sz w:val="20"/>
          <w:szCs w:val="18"/>
          <w:lang w:val="en-US" w:eastAsia="zh-CN"/>
        </w:rPr>
        <w:t xml:space="preserve">                                                      </w:t>
      </w:r>
      <w:r w:rsidR="006D5BE2">
        <w:rPr>
          <w:rFonts w:eastAsia="Times New Roman" w:cs="Arial"/>
          <w:bCs/>
          <w:noProof/>
          <w:sz w:val="20"/>
          <w:szCs w:val="18"/>
          <w:lang w:val="en-US" w:eastAsia="zh-CN"/>
        </w:rPr>
        <w:t xml:space="preserve"> </w:t>
      </w:r>
      <w:r w:rsidR="00FF4A9B"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00FF4A9B" w:rsidRPr="00AD5D7E">
        <w:rPr>
          <w:rFonts w:eastAsia="Times New Roman" w:cs="Arial"/>
          <w:bCs/>
          <w:noProof/>
          <w:sz w:val="20"/>
          <w:szCs w:val="18"/>
          <w:lang w:val="en-US" w:eastAsia="zh-CN"/>
        </w:rPr>
        <w:t>R1-15</w:t>
      </w:r>
      <w:r w:rsidR="00FE0E28" w:rsidRPr="00AD5D7E">
        <w:rPr>
          <w:rFonts w:eastAsia="Times New Roman" w:cs="Arial"/>
          <w:bCs/>
          <w:noProof/>
          <w:sz w:val="20"/>
          <w:szCs w:val="18"/>
          <w:lang w:val="en-US" w:eastAsia="zh-CN"/>
        </w:rPr>
        <w:t>7146</w:t>
      </w:r>
    </w:p>
    <w:p w14:paraId="694AF7E5" w14:textId="2FC67763" w:rsidR="00FF4A9B" w:rsidRDefault="004F2B4F" w:rsidP="00FF4A9B">
      <w:pPr>
        <w:pStyle w:val="TdocHeader2"/>
        <w:rPr>
          <w:rFonts w:eastAsia="Times New Roman" w:cs="Arial"/>
          <w:bCs/>
          <w:noProof/>
          <w:sz w:val="20"/>
          <w:szCs w:val="18"/>
          <w:lang w:val="en-US" w:eastAsia="zh-CN"/>
        </w:rPr>
      </w:pPr>
      <w:r>
        <w:rPr>
          <w:rFonts w:eastAsia="Times New Roman" w:cs="Arial"/>
          <w:bCs/>
          <w:noProof/>
          <w:sz w:val="20"/>
          <w:szCs w:val="18"/>
          <w:lang w:val="en-US" w:eastAsia="zh-CN"/>
        </w:rPr>
        <w:t>Anaheim</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USA</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sidRPr="00AD5D7E">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22</w:t>
      </w:r>
      <w:r w:rsidRPr="00AD5D7E">
        <w:rPr>
          <w:rFonts w:eastAsia="Times New Roman" w:cs="Arial"/>
          <w:bCs/>
          <w:noProof/>
          <w:sz w:val="20"/>
          <w:szCs w:val="18"/>
          <w:vertAlign w:val="superscript"/>
          <w:lang w:val="en-US" w:eastAsia="zh-CN"/>
        </w:rPr>
        <w:t>nd</w:t>
      </w:r>
      <w:r>
        <w:rPr>
          <w:rFonts w:eastAsia="Times New Roman" w:cs="Arial"/>
          <w:bCs/>
          <w:noProof/>
          <w:sz w:val="20"/>
          <w:szCs w:val="18"/>
          <w:lang w:val="en-US" w:eastAsia="zh-CN"/>
        </w:rPr>
        <w:t xml:space="preserve"> November</w:t>
      </w:r>
      <w:r w:rsidRPr="00395CD7">
        <w:rPr>
          <w:rFonts w:eastAsia="Times New Roman" w:cs="Arial"/>
          <w:bCs/>
          <w:noProof/>
          <w:sz w:val="20"/>
          <w:szCs w:val="18"/>
          <w:lang w:val="en-US" w:eastAsia="zh-CN"/>
        </w:rPr>
        <w:t xml:space="preserve"> 2015</w:t>
      </w:r>
    </w:p>
    <w:p w14:paraId="7C150280" w14:textId="77777777" w:rsidR="003B5FD2" w:rsidRDefault="003B5FD2" w:rsidP="00B67E6C">
      <w:pPr>
        <w:pStyle w:val="TdocHeader2"/>
        <w:rPr>
          <w:sz w:val="20"/>
          <w:lang w:val="en-US"/>
        </w:rPr>
      </w:pPr>
    </w:p>
    <w:p w14:paraId="4D0DE16F" w14:textId="77777777"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14:paraId="288E3FC2" w14:textId="77777777" w:rsidR="00B67E6C" w:rsidRPr="0027658D" w:rsidRDefault="00B67E6C" w:rsidP="00B67E6C">
      <w:pPr>
        <w:pStyle w:val="TdocHeader2"/>
        <w:rPr>
          <w:sz w:val="20"/>
          <w:lang w:val="en-US"/>
        </w:rPr>
      </w:pPr>
      <w:r w:rsidRPr="008979AC">
        <w:rPr>
          <w:sz w:val="20"/>
          <w:lang w:val="en-US"/>
        </w:rPr>
        <w:t>Title:</w:t>
      </w:r>
      <w:bookmarkStart w:id="2" w:name="Title"/>
      <w:bookmarkEnd w:id="2"/>
      <w:r w:rsidRPr="008979AC">
        <w:rPr>
          <w:sz w:val="20"/>
          <w:lang w:val="en-US"/>
        </w:rPr>
        <w:tab/>
      </w:r>
      <w:r w:rsidR="00637FBE" w:rsidRPr="00AD5D7E">
        <w:rPr>
          <w:sz w:val="20"/>
          <w:lang w:val="en-US"/>
        </w:rPr>
        <w:t>Overview of TTI shortening</w:t>
      </w:r>
    </w:p>
    <w:p w14:paraId="7430C68C" w14:textId="6BDEEC86"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806190">
        <w:rPr>
          <w:sz w:val="20"/>
          <w:lang w:val="en-US"/>
        </w:rPr>
        <w:t>6.2.9.2</w:t>
      </w:r>
    </w:p>
    <w:p w14:paraId="0E3DD73B" w14:textId="77777777"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14:paraId="7576BB56" w14:textId="77777777" w:rsidR="00B67E6C" w:rsidRDefault="00B67E6C" w:rsidP="00B67E6C">
      <w:pPr>
        <w:pStyle w:val="Heading1"/>
        <w:rPr>
          <w:lang w:val="en-US"/>
        </w:rPr>
      </w:pPr>
      <w:bookmarkStart w:id="3" w:name="_Ref298777854"/>
      <w:bookmarkEnd w:id="0"/>
      <w:bookmarkEnd w:id="1"/>
      <w:r w:rsidRPr="00310B2F">
        <w:rPr>
          <w:lang w:val="en-US"/>
        </w:rPr>
        <w:t>Introduction</w:t>
      </w:r>
      <w:bookmarkEnd w:id="3"/>
    </w:p>
    <w:p w14:paraId="66FDC854" w14:textId="29113340" w:rsidR="003F15C9" w:rsidRPr="005C6244" w:rsidRDefault="009E3C59" w:rsidP="005C6244">
      <w:pPr>
        <w:pStyle w:val="BodyText"/>
      </w:pPr>
      <w:r>
        <w:rPr>
          <w:lang w:val="en-US"/>
        </w:rPr>
        <w:t xml:space="preserve">According to </w:t>
      </w:r>
      <w:r w:rsidR="005C6244">
        <w:rPr>
          <w:lang w:val="en-US"/>
        </w:rPr>
        <w:t xml:space="preserve">the Latency reduction </w:t>
      </w:r>
      <w:r w:rsidR="004C7B4E">
        <w:rPr>
          <w:lang w:val="en-US"/>
        </w:rPr>
        <w:t>S</w:t>
      </w:r>
      <w:r w:rsidR="005C6244">
        <w:rPr>
          <w:lang w:val="en-US"/>
        </w:rPr>
        <w:t>ID</w:t>
      </w:r>
      <w:r w:rsidR="004C7B4E">
        <w:rPr>
          <w:lang w:val="en-US"/>
        </w:rPr>
        <w:t>,</w:t>
      </w:r>
      <w:r w:rsidR="005C6244">
        <w:rPr>
          <w:lang w:val="en-US"/>
        </w:rPr>
        <w:t xml:space="preserve"> the following objectives are listed </w:t>
      </w:r>
      <w:r w:rsidR="00B15EA7">
        <w:rPr>
          <w:lang w:val="en-US"/>
        </w:rPr>
        <w:t xml:space="preserve">regarding </w:t>
      </w:r>
      <w:r w:rsidR="004E0394" w:rsidRPr="005C6244">
        <w:t xml:space="preserve">TTI shortening and </w:t>
      </w:r>
      <w:r w:rsidR="005C6244">
        <w:t>reduced processing times</w:t>
      </w:r>
      <w:r w:rsidR="004C7B4E">
        <w:t xml:space="preserve"> for RAN1</w:t>
      </w:r>
      <w:r>
        <w:t xml:space="preserve"> </w:t>
      </w:r>
      <w:r>
        <w:rPr>
          <w:lang w:val="en-US"/>
        </w:rPr>
        <w:t>[1]</w:t>
      </w:r>
    </w:p>
    <w:p w14:paraId="30FB228C" w14:textId="77777777" w:rsidR="003F15C9" w:rsidRPr="005C6244" w:rsidRDefault="004E0394" w:rsidP="005C6244">
      <w:pPr>
        <w:pStyle w:val="BodyText"/>
        <w:numPr>
          <w:ilvl w:val="0"/>
          <w:numId w:val="33"/>
        </w:numPr>
        <w:rPr>
          <w:lang w:val="en-US"/>
        </w:rPr>
      </w:pPr>
      <w:r w:rsidRPr="005C6244">
        <w:rPr>
          <w:lang w:val="en-US"/>
        </w:rPr>
        <w:t xml:space="preserve">Assess specification impact and study feasibility and performance of TTI lengths between 0.5ms and one OFDM symbol, taking into account impact on reference signals and physical layer control signaling </w:t>
      </w:r>
    </w:p>
    <w:p w14:paraId="2D691B25" w14:textId="77777777" w:rsidR="003F15C9" w:rsidRPr="005C6244" w:rsidRDefault="004E0394" w:rsidP="005C6244">
      <w:pPr>
        <w:pStyle w:val="BodyText"/>
        <w:numPr>
          <w:ilvl w:val="0"/>
          <w:numId w:val="33"/>
        </w:numPr>
        <w:rPr>
          <w:lang w:val="en-US"/>
        </w:rPr>
      </w:pPr>
      <w:r w:rsidRPr="005C6244">
        <w:rPr>
          <w:lang w:val="en-US"/>
        </w:rPr>
        <w:t>backwards compatibility shall be preserved (thus allowing normal operation of pre-</w:t>
      </w:r>
      <w:proofErr w:type="spellStart"/>
      <w:r w:rsidR="005C6244">
        <w:rPr>
          <w:lang w:val="en-US"/>
        </w:rPr>
        <w:t>Rel</w:t>
      </w:r>
      <w:proofErr w:type="spellEnd"/>
      <w:r w:rsidR="005C6244">
        <w:rPr>
          <w:lang w:val="en-US"/>
        </w:rPr>
        <w:t xml:space="preserve"> 13 UEs on the same carrier)</w:t>
      </w:r>
    </w:p>
    <w:p w14:paraId="34431C74" w14:textId="1012BB21" w:rsidR="005C6244" w:rsidRPr="005C6244" w:rsidRDefault="003D2A44" w:rsidP="005C6244">
      <w:pPr>
        <w:pStyle w:val="BodyText"/>
        <w:rPr>
          <w:lang w:val="en-US"/>
        </w:rPr>
      </w:pPr>
      <w:r>
        <w:rPr>
          <w:lang w:val="en-US"/>
        </w:rPr>
        <w:t xml:space="preserve">In this paper we </w:t>
      </w:r>
      <w:r w:rsidR="00CB2748">
        <w:rPr>
          <w:lang w:val="en-US"/>
        </w:rPr>
        <w:t>provide</w:t>
      </w:r>
      <w:r>
        <w:rPr>
          <w:lang w:val="en-US"/>
        </w:rPr>
        <w:t xml:space="preserve"> an overview of various options for TTI shortening and discuss the feasibility and effect of these options.</w:t>
      </w:r>
      <w:r w:rsidR="00263A41">
        <w:rPr>
          <w:lang w:val="en-US"/>
        </w:rPr>
        <w:t xml:space="preserve"> </w:t>
      </w:r>
    </w:p>
    <w:p w14:paraId="0DA768F5" w14:textId="77777777" w:rsidR="00E16CD2" w:rsidRDefault="00070520" w:rsidP="00E16CD2">
      <w:pPr>
        <w:pStyle w:val="Heading1"/>
      </w:pPr>
      <w:r>
        <w:t>D</w:t>
      </w:r>
      <w:r w:rsidR="00436735">
        <w:t>iscussion</w:t>
      </w:r>
    </w:p>
    <w:p w14:paraId="066F6E24" w14:textId="0FFE175D" w:rsidR="00767599" w:rsidRPr="00121252" w:rsidRDefault="006245EE" w:rsidP="004C7B4E">
      <w:r>
        <w:t>T</w:t>
      </w:r>
      <w:r w:rsidR="005F6ABD" w:rsidRPr="00121252">
        <w:t>o reduce user plane latency, the legacy TTI</w:t>
      </w:r>
      <w:r w:rsidR="0095279F">
        <w:t xml:space="preserve"> with 1ms</w:t>
      </w:r>
      <w:r w:rsidR="00920753">
        <w:t xml:space="preserve"> </w:t>
      </w:r>
      <w:r w:rsidR="005F6ABD" w:rsidRPr="00121252">
        <w:t>can be reduced s</w:t>
      </w:r>
      <w:r w:rsidR="00920753">
        <w:t>uch</w:t>
      </w:r>
      <w:r w:rsidR="005F6ABD" w:rsidRPr="00121252">
        <w:t xml:space="preserve"> that multiple short TTIs can fit </w:t>
      </w:r>
      <w:r w:rsidR="007B1235">
        <w:t>with</w:t>
      </w:r>
      <w:r w:rsidR="005F6ABD" w:rsidRPr="00121252">
        <w:t>in one legacy TTI.</w:t>
      </w:r>
      <w:r w:rsidR="00495E43" w:rsidRPr="00121252">
        <w:t xml:space="preserve"> </w:t>
      </w:r>
      <w:r w:rsidR="00057C01">
        <w:t>For the legacy TTI</w:t>
      </w:r>
      <w:r w:rsidR="004C7B4E">
        <w:t>,</w:t>
      </w:r>
      <w:r w:rsidR="00057C01">
        <w:t xml:space="preserve"> it is </w:t>
      </w:r>
      <w:r w:rsidR="003F6284">
        <w:t xml:space="preserve">of </w:t>
      </w:r>
      <w:r w:rsidR="00057C01">
        <w:t xml:space="preserve">interest to consider frame structure 1, 2 and 3. </w:t>
      </w:r>
      <w:r w:rsidR="00767599" w:rsidRPr="00121252">
        <w:t xml:space="preserve">There </w:t>
      </w:r>
      <w:r w:rsidR="003F6284">
        <w:t>is</w:t>
      </w:r>
      <w:r w:rsidR="00767599" w:rsidRPr="00121252">
        <w:t xml:space="preserve"> a set of design aspects that needs to be considered when the TTI length is reduced. The study item description gives the guidance that TTI lengths from 7 to 1 symbol should be studied. Hence we envision that RAN1 will study all applicable TTI lengths for both UL and DL.</w:t>
      </w:r>
      <w:r w:rsidR="00F93FF2" w:rsidRPr="00121252">
        <w:t xml:space="preserve"> For each design proposal</w:t>
      </w:r>
      <w:r w:rsidR="006D356B">
        <w:t>,</w:t>
      </w:r>
      <w:r w:rsidR="00F93FF2" w:rsidRPr="00121252">
        <w:t xml:space="preserve"> it is </w:t>
      </w:r>
      <w:r w:rsidR="005F1159">
        <w:t xml:space="preserve">also </w:t>
      </w:r>
      <w:r w:rsidR="00F93FF2" w:rsidRPr="00121252">
        <w:t xml:space="preserve">expected that </w:t>
      </w:r>
      <w:r w:rsidR="006D356B">
        <w:t xml:space="preserve">sufficient </w:t>
      </w:r>
      <w:r w:rsidR="00F93FF2" w:rsidRPr="00121252">
        <w:t xml:space="preserve">details </w:t>
      </w:r>
      <w:r w:rsidR="003E3994">
        <w:t>need</w:t>
      </w:r>
      <w:r w:rsidR="006D356B">
        <w:t xml:space="preserve"> </w:t>
      </w:r>
      <w:r w:rsidR="003E3994">
        <w:t xml:space="preserve">to </w:t>
      </w:r>
      <w:r w:rsidR="006D356B">
        <w:t>be</w:t>
      </w:r>
      <w:r w:rsidR="00F93FF2" w:rsidRPr="00121252">
        <w:t xml:space="preserve"> </w:t>
      </w:r>
      <w:r w:rsidR="003E3994">
        <w:t>given</w:t>
      </w:r>
      <w:r w:rsidR="006D356B">
        <w:t xml:space="preserve"> s</w:t>
      </w:r>
      <w:r w:rsidR="003E3994">
        <w:t>o</w:t>
      </w:r>
      <w:r w:rsidR="006D356B">
        <w:t xml:space="preserve"> that it is possible</w:t>
      </w:r>
      <w:r w:rsidR="00F93FF2" w:rsidRPr="00121252">
        <w:t xml:space="preserve"> to evaluate the design.</w:t>
      </w:r>
      <w:r w:rsidR="00767599" w:rsidRPr="00121252">
        <w:t xml:space="preserve"> A short introduction to them follows here and more details for each point </w:t>
      </w:r>
      <w:r w:rsidR="00F93FF2" w:rsidRPr="00121252">
        <w:t>are</w:t>
      </w:r>
      <w:r w:rsidR="00767599" w:rsidRPr="00121252">
        <w:t xml:space="preserve"> given </w:t>
      </w:r>
      <w:r w:rsidR="003F6284">
        <w:t>later</w:t>
      </w:r>
      <w:r w:rsidR="00767599" w:rsidRPr="00121252">
        <w:t xml:space="preserve"> in the paper.</w:t>
      </w:r>
    </w:p>
    <w:p w14:paraId="7BE11F69" w14:textId="17E1ABC1" w:rsidR="00767599" w:rsidRDefault="00767599" w:rsidP="005F6ABD">
      <w:r>
        <w:t>Since the TTI length i</w:t>
      </w:r>
      <w:r w:rsidR="003F6284">
        <w:t>n</w:t>
      </w:r>
      <w:r>
        <w:t xml:space="preserve"> general </w:t>
      </w:r>
      <w:r w:rsidR="003F6284">
        <w:t xml:space="preserve">is </w:t>
      </w:r>
      <w:r>
        <w:t>reduced</w:t>
      </w:r>
      <w:r w:rsidR="006D356B">
        <w:t>,</w:t>
      </w:r>
      <w:r>
        <w:t xml:space="preserve"> it is expected that</w:t>
      </w:r>
      <w:r w:rsidR="003F6284">
        <w:t xml:space="preserve"> it is also possible to reduce</w:t>
      </w:r>
      <w:r>
        <w:t xml:space="preserve"> the processing time for both UL and </w:t>
      </w:r>
      <w:r w:rsidR="00F93FF2">
        <w:t>DL</w:t>
      </w:r>
      <w:r w:rsidR="003F6284">
        <w:t>,</w:t>
      </w:r>
      <w:r w:rsidR="00F93FF2">
        <w:t xml:space="preserve"> </w:t>
      </w:r>
      <w:r w:rsidR="003F6284">
        <w:t>owing to</w:t>
      </w:r>
      <w:r w:rsidR="00F93FF2">
        <w:t xml:space="preserve"> less data to process</w:t>
      </w:r>
      <w:r w:rsidR="003F6284">
        <w:t xml:space="preserve"> in the TTI</w:t>
      </w:r>
      <w:r w:rsidR="00F93FF2">
        <w:t xml:space="preserve">. This will </w:t>
      </w:r>
      <w:r w:rsidR="00C325BA">
        <w:t xml:space="preserve">mainly </w:t>
      </w:r>
      <w:r w:rsidR="00F93FF2">
        <w:t>be visible for the DL by reduced HARQ feedback delay. For UL scheduling the processing time may be reduced and mechanisms to reduce</w:t>
      </w:r>
      <w:r w:rsidR="00584351">
        <w:t xml:space="preserve"> the</w:t>
      </w:r>
      <w:r w:rsidR="00F93FF2">
        <w:t xml:space="preserve"> retransmission latency should also be studied.</w:t>
      </w:r>
      <w:r w:rsidR="00F728A4">
        <w:t xml:space="preserve"> This </w:t>
      </w:r>
      <w:r w:rsidR="008244BC">
        <w:t xml:space="preserve">reduced feedback </w:t>
      </w:r>
      <w:r w:rsidR="00F728A4">
        <w:t>may in</w:t>
      </w:r>
      <w:r w:rsidR="008244BC">
        <w:t>volve</w:t>
      </w:r>
      <w:r w:rsidR="00F728A4">
        <w:t xml:space="preserve"> new</w:t>
      </w:r>
      <w:r w:rsidR="00121252">
        <w:t xml:space="preserve"> control channels </w:t>
      </w:r>
      <w:r w:rsidR="00F728A4">
        <w:t>design</w:t>
      </w:r>
      <w:r w:rsidR="00584351">
        <w:t>,</w:t>
      </w:r>
      <w:r w:rsidR="00F728A4">
        <w:t xml:space="preserve"> e.g. </w:t>
      </w:r>
      <w:r w:rsidR="00584351">
        <w:t>for</w:t>
      </w:r>
      <w:r w:rsidR="00F728A4">
        <w:t xml:space="preserve"> </w:t>
      </w:r>
      <w:r w:rsidR="00121252">
        <w:t>PUCCH and PHICH</w:t>
      </w:r>
      <w:r w:rsidR="00F46D37">
        <w:t xml:space="preserve">. </w:t>
      </w:r>
      <w:r w:rsidR="006A7F14">
        <w:t>One</w:t>
      </w:r>
      <w:r w:rsidR="00F46D37">
        <w:t xml:space="preserve"> additional consideration is </w:t>
      </w:r>
      <w:r w:rsidR="008244BC">
        <w:t>the</w:t>
      </w:r>
      <w:r w:rsidR="00F46D37">
        <w:t xml:space="preserve"> impact</w:t>
      </w:r>
      <w:r w:rsidR="006A7F14">
        <w:t xml:space="preserve"> of</w:t>
      </w:r>
      <w:r w:rsidR="00F46D37">
        <w:t xml:space="preserve"> </w:t>
      </w:r>
      <w:r w:rsidR="006A7F14">
        <w:t xml:space="preserve">the </w:t>
      </w:r>
      <w:r w:rsidR="00F46D37">
        <w:t>maximum TA</w:t>
      </w:r>
      <w:r w:rsidR="006A7F14">
        <w:t xml:space="preserve"> on latency</w:t>
      </w:r>
      <w:r w:rsidR="00F46D37">
        <w:t>.</w:t>
      </w:r>
    </w:p>
    <w:p w14:paraId="067EF22A" w14:textId="34D9B4CA" w:rsidR="00F93FF2" w:rsidRDefault="00F93FF2" w:rsidP="005F6ABD">
      <w:r>
        <w:t>The scheduling design needs to be adapted to handle shorter latency application</w:t>
      </w:r>
      <w:r w:rsidR="00A64D22">
        <w:t>s</w:t>
      </w:r>
      <w:r w:rsidR="005F1159">
        <w:t xml:space="preserve"> so that it is possible </w:t>
      </w:r>
      <w:r w:rsidR="00D34DC8">
        <w:t xml:space="preserve">to </w:t>
      </w:r>
      <w:r w:rsidR="00E5556D">
        <w:t>benefit from</w:t>
      </w:r>
      <w:r w:rsidR="00D34DC8">
        <w:t xml:space="preserve"> the reduced TTI length</w:t>
      </w:r>
      <w:r w:rsidR="00A64D22">
        <w:t xml:space="preserve"> in practice</w:t>
      </w:r>
      <w:r w:rsidR="00D34DC8">
        <w:t xml:space="preserve">. The need to adapt the scheduling is applicable for both UL and DL. </w:t>
      </w:r>
      <w:r w:rsidR="00F728A4">
        <w:t xml:space="preserve">This may include </w:t>
      </w:r>
      <w:r w:rsidR="00CA40CF">
        <w:t xml:space="preserve">a </w:t>
      </w:r>
      <w:r w:rsidR="00F728A4">
        <w:t>new design of (E</w:t>
      </w:r>
      <w:proofErr w:type="gramStart"/>
      <w:r w:rsidR="00F728A4">
        <w:t>)PDCCH</w:t>
      </w:r>
      <w:proofErr w:type="gramEnd"/>
      <w:r w:rsidR="00F728A4">
        <w:t xml:space="preserve">. </w:t>
      </w:r>
    </w:p>
    <w:p w14:paraId="4F1CE1D7" w14:textId="635D2833" w:rsidR="00767599" w:rsidRDefault="00121252" w:rsidP="005F6ABD">
      <w:r>
        <w:t>Design details for PDSCH and PUSCH for a reduced TTI together with the associated reference symbol design</w:t>
      </w:r>
      <w:r w:rsidR="00CA40CF">
        <w:t xml:space="preserve"> should also be studied</w:t>
      </w:r>
      <w:r>
        <w:t xml:space="preserve">. </w:t>
      </w:r>
      <w:r w:rsidR="00CA40CF">
        <w:t>In p</w:t>
      </w:r>
      <w:r>
        <w:t xml:space="preserve">articular the reference symbol design is important to allow </w:t>
      </w:r>
      <w:r w:rsidR="00CA40CF">
        <w:t xml:space="preserve">for </w:t>
      </w:r>
      <w:r>
        <w:t>good channel estimation performance and at the same time allow for low overhead</w:t>
      </w:r>
      <w:r w:rsidR="00057C01">
        <w:t>.</w:t>
      </w:r>
    </w:p>
    <w:p w14:paraId="2210D1DE" w14:textId="682638D6" w:rsidR="005F6ABD" w:rsidRDefault="00057C01" w:rsidP="005F6ABD">
      <w:r>
        <w:t>An important aspect of the SID is that the reduced TTI length should be introduce</w:t>
      </w:r>
      <w:r w:rsidR="00CA40CF">
        <w:t>d</w:t>
      </w:r>
      <w:r>
        <w:t xml:space="preserve"> in a backward</w:t>
      </w:r>
      <w:r w:rsidR="00CA40CF">
        <w:t>s</w:t>
      </w:r>
      <w:r>
        <w:t xml:space="preserve"> compatible manner. The main target of this is to be able to multiplex UEs of different TTI lengths on the same carrier. It would further be beneficial if such multiplexing could occur within the same subframe.</w:t>
      </w:r>
    </w:p>
    <w:p w14:paraId="6B17D49D" w14:textId="290ABE4F" w:rsidR="00A030BC" w:rsidRDefault="00F46D37" w:rsidP="00A030BC">
      <w:pPr>
        <w:rPr>
          <w:b/>
        </w:rPr>
      </w:pPr>
      <w:r>
        <w:rPr>
          <w:b/>
        </w:rPr>
        <w:t>Proposal</w:t>
      </w:r>
      <w:r w:rsidR="00A030BC">
        <w:rPr>
          <w:b/>
        </w:rPr>
        <w:t>:</w:t>
      </w:r>
    </w:p>
    <w:p w14:paraId="60F85444" w14:textId="18D173B6" w:rsidR="00F52849" w:rsidRPr="00AD5D7E" w:rsidRDefault="000158FA" w:rsidP="00AD5D7E">
      <w:pPr>
        <w:pStyle w:val="ListParagraph"/>
        <w:numPr>
          <w:ilvl w:val="0"/>
          <w:numId w:val="28"/>
        </w:numPr>
        <w:spacing w:after="120"/>
        <w:jc w:val="both"/>
        <w:rPr>
          <w:b/>
          <w:sz w:val="22"/>
          <w:szCs w:val="22"/>
          <w:lang w:val="en-GB"/>
        </w:rPr>
      </w:pPr>
      <w:r w:rsidRPr="003C72D5">
        <w:rPr>
          <w:b/>
          <w:szCs w:val="22"/>
        </w:rPr>
        <w:t>S</w:t>
      </w:r>
      <w:r w:rsidR="00F46D37" w:rsidRPr="00AD5D7E">
        <w:rPr>
          <w:b/>
          <w:sz w:val="22"/>
          <w:szCs w:val="22"/>
        </w:rPr>
        <w:t xml:space="preserve">tudy techniques to reduce the TTI </w:t>
      </w:r>
      <w:r w:rsidR="00035E6C">
        <w:rPr>
          <w:b/>
          <w:sz w:val="22"/>
          <w:szCs w:val="22"/>
        </w:rPr>
        <w:t xml:space="preserve">from </w:t>
      </w:r>
      <w:r w:rsidR="00495E43" w:rsidRPr="00AD5D7E">
        <w:rPr>
          <w:b/>
          <w:sz w:val="22"/>
          <w:szCs w:val="22"/>
        </w:rPr>
        <w:t xml:space="preserve">7 to 1 symbols </w:t>
      </w:r>
      <w:r w:rsidR="00F46D37" w:rsidRPr="00AD5D7E">
        <w:rPr>
          <w:b/>
          <w:sz w:val="22"/>
          <w:szCs w:val="22"/>
        </w:rPr>
        <w:t xml:space="preserve">for frame structure 1, 2 and 3 </w:t>
      </w:r>
      <w:r w:rsidRPr="00AD5D7E">
        <w:rPr>
          <w:b/>
          <w:sz w:val="22"/>
          <w:szCs w:val="22"/>
        </w:rPr>
        <w:t xml:space="preserve">considering </w:t>
      </w:r>
      <w:r w:rsidR="00F46D37" w:rsidRPr="00AD5D7E">
        <w:rPr>
          <w:b/>
          <w:sz w:val="22"/>
          <w:szCs w:val="22"/>
        </w:rPr>
        <w:t>the following aspects in the design:</w:t>
      </w:r>
    </w:p>
    <w:p w14:paraId="31C58DCB" w14:textId="7F862CE3" w:rsidR="00F46D37" w:rsidRPr="00AD5D7E" w:rsidRDefault="00F46D37" w:rsidP="00AD5D7E">
      <w:pPr>
        <w:pStyle w:val="ListParagraph"/>
        <w:numPr>
          <w:ilvl w:val="1"/>
          <w:numId w:val="28"/>
        </w:numPr>
        <w:spacing w:after="120"/>
        <w:jc w:val="both"/>
        <w:rPr>
          <w:b/>
          <w:sz w:val="22"/>
          <w:szCs w:val="22"/>
          <w:lang w:val="en-GB"/>
        </w:rPr>
      </w:pPr>
      <w:r w:rsidRPr="00AD5D7E">
        <w:rPr>
          <w:b/>
          <w:sz w:val="22"/>
          <w:szCs w:val="22"/>
          <w:lang w:val="en-GB"/>
        </w:rPr>
        <w:lastRenderedPageBreak/>
        <w:t>Reduced processing and feedback timing</w:t>
      </w:r>
      <w:r w:rsidR="00FE0E28">
        <w:rPr>
          <w:b/>
          <w:sz w:val="22"/>
          <w:szCs w:val="22"/>
          <w:lang w:val="en-GB"/>
        </w:rPr>
        <w:t>.</w:t>
      </w:r>
    </w:p>
    <w:p w14:paraId="02DD7D77" w14:textId="5974F281" w:rsidR="00F46D37" w:rsidRPr="00AD5D7E" w:rsidRDefault="00F46D37" w:rsidP="00AD5D7E">
      <w:pPr>
        <w:pStyle w:val="ListParagraph"/>
        <w:numPr>
          <w:ilvl w:val="1"/>
          <w:numId w:val="28"/>
        </w:numPr>
        <w:spacing w:after="120"/>
        <w:jc w:val="both"/>
        <w:rPr>
          <w:b/>
          <w:sz w:val="22"/>
          <w:szCs w:val="22"/>
          <w:lang w:val="en-GB"/>
        </w:rPr>
      </w:pPr>
      <w:r w:rsidRPr="00AD5D7E">
        <w:rPr>
          <w:b/>
          <w:sz w:val="22"/>
          <w:szCs w:val="22"/>
          <w:lang w:val="en-GB"/>
        </w:rPr>
        <w:t>Shared channel design details including reference symbol design</w:t>
      </w:r>
      <w:r w:rsidR="00FE0E28">
        <w:rPr>
          <w:b/>
          <w:sz w:val="22"/>
          <w:szCs w:val="22"/>
          <w:lang w:val="en-GB"/>
        </w:rPr>
        <w:t>.</w:t>
      </w:r>
    </w:p>
    <w:p w14:paraId="0622F41C" w14:textId="76882A62" w:rsidR="00F46D37" w:rsidRPr="00AD5D7E" w:rsidRDefault="00F46D37" w:rsidP="00AD5D7E">
      <w:pPr>
        <w:pStyle w:val="ListParagraph"/>
        <w:numPr>
          <w:ilvl w:val="1"/>
          <w:numId w:val="28"/>
        </w:numPr>
        <w:spacing w:after="120"/>
        <w:jc w:val="both"/>
        <w:rPr>
          <w:b/>
          <w:sz w:val="22"/>
          <w:szCs w:val="22"/>
          <w:lang w:val="en-GB"/>
        </w:rPr>
      </w:pPr>
      <w:r w:rsidRPr="00AD5D7E">
        <w:rPr>
          <w:b/>
          <w:sz w:val="22"/>
          <w:szCs w:val="22"/>
          <w:lang w:val="en-GB"/>
        </w:rPr>
        <w:t>Scheduling of reduced TTI lengths for UL and DL</w:t>
      </w:r>
      <w:r w:rsidR="00FE0E28">
        <w:rPr>
          <w:b/>
          <w:sz w:val="22"/>
          <w:szCs w:val="22"/>
          <w:lang w:val="en-GB"/>
        </w:rPr>
        <w:t>.</w:t>
      </w:r>
    </w:p>
    <w:p w14:paraId="05FB7A4B" w14:textId="3650C444" w:rsidR="00A030BC" w:rsidRPr="00AD5D7E" w:rsidRDefault="002A25D1" w:rsidP="00AD5D7E">
      <w:pPr>
        <w:pStyle w:val="ListParagraph"/>
        <w:numPr>
          <w:ilvl w:val="1"/>
          <w:numId w:val="28"/>
        </w:numPr>
        <w:spacing w:after="120"/>
        <w:jc w:val="both"/>
        <w:rPr>
          <w:b/>
          <w:sz w:val="22"/>
          <w:szCs w:val="22"/>
          <w:lang w:val="en-GB"/>
        </w:rPr>
      </w:pPr>
      <w:r w:rsidRPr="00AD5D7E">
        <w:rPr>
          <w:b/>
          <w:sz w:val="22"/>
          <w:szCs w:val="22"/>
          <w:lang w:val="en-GB"/>
        </w:rPr>
        <w:t>Multiple</w:t>
      </w:r>
      <w:r w:rsidR="00F46D37" w:rsidRPr="00AD5D7E">
        <w:rPr>
          <w:b/>
          <w:sz w:val="22"/>
          <w:szCs w:val="22"/>
          <w:lang w:val="en-GB"/>
        </w:rPr>
        <w:t xml:space="preserve"> TTI lengths for both data and control in the same subframe and different subframes</w:t>
      </w:r>
      <w:r w:rsidR="00FE0E28">
        <w:rPr>
          <w:b/>
          <w:sz w:val="22"/>
          <w:szCs w:val="22"/>
          <w:lang w:val="en-GB"/>
        </w:rPr>
        <w:t>.</w:t>
      </w:r>
    </w:p>
    <w:p w14:paraId="62DC7EEF" w14:textId="77777777" w:rsidR="00767599" w:rsidRDefault="002A25D1" w:rsidP="00AD5D7E">
      <w:pPr>
        <w:pStyle w:val="Heading2"/>
      </w:pPr>
      <w:r w:rsidRPr="002A25D1">
        <w:t>Reduced processing and feedback timing</w:t>
      </w:r>
    </w:p>
    <w:p w14:paraId="3FFE917B" w14:textId="4E70B023" w:rsidR="002A25D1" w:rsidRDefault="002A25D1" w:rsidP="002A25D1">
      <w:r>
        <w:t>W</w:t>
      </w:r>
      <w:r w:rsidR="00AB6C40">
        <w:t>ith</w:t>
      </w:r>
      <w:r>
        <w:t xml:space="preserve"> reduc</w:t>
      </w:r>
      <w:r w:rsidR="00362654">
        <w:t>ed</w:t>
      </w:r>
      <w:r>
        <w:t xml:space="preserve"> </w:t>
      </w:r>
      <w:r w:rsidR="00AB6C40">
        <w:t xml:space="preserve">TTI </w:t>
      </w:r>
      <w:r>
        <w:t>length, the amount of data to process before transmission and after reception is also reduced. The required time for Turbo encoding and decoding can be assumed to scale with the TTI length. This can also be assume</w:t>
      </w:r>
      <w:r w:rsidR="000158FA">
        <w:t>d</w:t>
      </w:r>
      <w:r>
        <w:t xml:space="preserve"> to hold for the mapping and de-mapping of REs, and of course the physical transmission/reception time of a TTI.</w:t>
      </w:r>
    </w:p>
    <w:p w14:paraId="56D977BB" w14:textId="77777777" w:rsidR="005132BF" w:rsidRDefault="005132BF" w:rsidP="00AD5D7E">
      <w:r>
        <w:t>When operating with shortened TTI it is important for the UE and eNB not only to transmit quickly but also to empty their buffers by receiving acknowledgement for the transmission. The time to feedback will affect average latency since the transmission of the next package may be delayed. Also, when a retransmission is triggered, it is important to keep the additional latency low. It is therefore important to also reduce the HARQ RTT when aiming at reducing latency.</w:t>
      </w:r>
    </w:p>
    <w:p w14:paraId="6FD32B41" w14:textId="3A6DC70E" w:rsidR="008A529E" w:rsidRDefault="000158FA" w:rsidP="000158FA">
      <w:r>
        <w:t>Downlink schedu</w:t>
      </w:r>
      <w:r w:rsidR="00217110">
        <w:t>ling</w:t>
      </w:r>
      <w:r w:rsidR="008A529E">
        <w:t xml:space="preserve"> is based</w:t>
      </w:r>
      <w:r w:rsidR="00217110">
        <w:t xml:space="preserve"> </w:t>
      </w:r>
      <w:r w:rsidR="0001395A">
        <w:t xml:space="preserve">on </w:t>
      </w:r>
      <w:r w:rsidR="00217110">
        <w:t>asynchronous HARQ</w:t>
      </w:r>
      <w:r w:rsidR="00211705">
        <w:t xml:space="preserve"> hence</w:t>
      </w:r>
      <w:r w:rsidR="0001395A">
        <w:t xml:space="preserve"> </w:t>
      </w:r>
      <w:r w:rsidR="008A529E">
        <w:t xml:space="preserve">reduced latency delay will in the end be visible through a reduced HARQ feedback delay. This can </w:t>
      </w:r>
      <w:r w:rsidR="0052162B">
        <w:t xml:space="preserve">be </w:t>
      </w:r>
      <w:r w:rsidR="008A529E">
        <w:t>directly utilised by the eNB.</w:t>
      </w:r>
      <w:r w:rsidR="0001395A">
        <w:t xml:space="preserve"> The faster feedback can involve the design of a fast </w:t>
      </w:r>
      <w:r w:rsidR="000A2F4C">
        <w:t>control</w:t>
      </w:r>
      <w:r w:rsidR="0001395A">
        <w:t xml:space="preserve"> channel in the UL.</w:t>
      </w:r>
    </w:p>
    <w:p w14:paraId="132F5327" w14:textId="283A5E3C" w:rsidR="000158FA" w:rsidRDefault="008A529E" w:rsidP="000158FA">
      <w:r>
        <w:t xml:space="preserve">Uplink scheduling for frame structure 1 and 2 </w:t>
      </w:r>
      <w:r w:rsidR="009B1CF8">
        <w:t xml:space="preserve">is </w:t>
      </w:r>
      <w:r>
        <w:t>based on synchronous HARQ and for frame structure 3 on asynchronous HARQ. To reduce the latency for UL</w:t>
      </w:r>
      <w:r w:rsidR="009B1CF8">
        <w:t>,</w:t>
      </w:r>
      <w:r>
        <w:t xml:space="preserve"> it is hence necessary for frame structure 1 and 2 to study both processing time reduction of the UL grant and ways to reduce </w:t>
      </w:r>
      <w:r w:rsidR="006A7F14">
        <w:t xml:space="preserve">the </w:t>
      </w:r>
      <w:r>
        <w:t xml:space="preserve">time </w:t>
      </w:r>
      <w:r w:rsidR="006A7F14">
        <w:t xml:space="preserve">required </w:t>
      </w:r>
      <w:r>
        <w:t xml:space="preserve">for </w:t>
      </w:r>
      <w:r w:rsidR="006A7F14">
        <w:t>rescheduling of</w:t>
      </w:r>
      <w:r>
        <w:t xml:space="preserve"> the UL processes. </w:t>
      </w:r>
      <w:r w:rsidR="002A25D1">
        <w:t xml:space="preserve">Processing </w:t>
      </w:r>
      <w:r>
        <w:t xml:space="preserve">at the </w:t>
      </w:r>
      <w:r w:rsidR="002A25D1">
        <w:t xml:space="preserve">eNB is not </w:t>
      </w:r>
      <w:r w:rsidR="0001395A">
        <w:t>only</w:t>
      </w:r>
      <w:r w:rsidR="002A25D1">
        <w:t xml:space="preserve"> linked to </w:t>
      </w:r>
      <w:r w:rsidR="0001395A">
        <w:t xml:space="preserve">the </w:t>
      </w:r>
      <w:r w:rsidR="002A25D1">
        <w:t xml:space="preserve">amount of data, but may still be reduced </w:t>
      </w:r>
      <w:r w:rsidR="0001395A">
        <w:t>owing</w:t>
      </w:r>
      <w:r w:rsidR="002A25D1">
        <w:t xml:space="preserve"> to</w:t>
      </w:r>
      <w:r w:rsidR="000158FA">
        <w:t xml:space="preserve"> </w:t>
      </w:r>
      <w:r w:rsidR="0001395A">
        <w:t>e.g.</w:t>
      </w:r>
      <w:r w:rsidR="000158FA">
        <w:t xml:space="preserve"> a reduced </w:t>
      </w:r>
      <w:r w:rsidR="002A25D1">
        <w:t>number of scheduled UEs.</w:t>
      </w:r>
      <w:r w:rsidR="000158FA">
        <w:t xml:space="preserve"> Hence a flexible processing time for the eNB may be needed depending on the current operation conditions</w:t>
      </w:r>
      <w:r w:rsidR="0001395A">
        <w:t>, such as TTI length in the UL</w:t>
      </w:r>
      <w:r w:rsidR="000158FA">
        <w:t>. As a means of relaxing the requirements for the fast feedback, a possible solution is to use asy</w:t>
      </w:r>
      <w:r>
        <w:t>nchronous HARQ as for frame structure type 3 for frame structure type 1 and 2 when operating with reduced TTI length</w:t>
      </w:r>
      <w:r w:rsidR="000158FA">
        <w:t xml:space="preserve">. </w:t>
      </w:r>
    </w:p>
    <w:p w14:paraId="1995C06F" w14:textId="77777777" w:rsidR="008A529E" w:rsidRPr="00AD5D7E" w:rsidRDefault="00F86782" w:rsidP="0057268E">
      <w:pPr>
        <w:rPr>
          <w:b/>
        </w:rPr>
      </w:pPr>
      <w:r>
        <w:rPr>
          <w:b/>
        </w:rPr>
        <w:t>Observation</w:t>
      </w:r>
      <w:r w:rsidR="00F52849">
        <w:rPr>
          <w:b/>
        </w:rPr>
        <w:t>:</w:t>
      </w:r>
    </w:p>
    <w:p w14:paraId="21041DD2" w14:textId="65234EDE" w:rsidR="00F86782" w:rsidRPr="00AD5D7E" w:rsidRDefault="00F86782" w:rsidP="0057268E">
      <w:pPr>
        <w:pStyle w:val="ListParagraph"/>
        <w:numPr>
          <w:ilvl w:val="0"/>
          <w:numId w:val="28"/>
        </w:numPr>
        <w:spacing w:after="120"/>
        <w:jc w:val="both"/>
        <w:rPr>
          <w:b/>
        </w:rPr>
      </w:pPr>
      <w:r w:rsidRPr="00AD5D7E">
        <w:rPr>
          <w:rFonts w:eastAsia="Times New Roman"/>
          <w:b/>
          <w:sz w:val="22"/>
          <w:szCs w:val="20"/>
          <w:lang w:val="en-GB" w:eastAsia="zh-CN"/>
        </w:rPr>
        <w:t>For DL operation</w:t>
      </w:r>
      <w:r w:rsidR="00B904CA">
        <w:rPr>
          <w:rFonts w:eastAsia="Times New Roman"/>
          <w:b/>
          <w:sz w:val="22"/>
          <w:szCs w:val="20"/>
          <w:lang w:val="en-GB" w:eastAsia="zh-CN"/>
        </w:rPr>
        <w:t>,</w:t>
      </w:r>
      <w:r w:rsidRPr="00AD5D7E">
        <w:rPr>
          <w:rFonts w:eastAsia="Times New Roman"/>
          <w:b/>
          <w:sz w:val="22"/>
          <w:szCs w:val="20"/>
          <w:lang w:val="en-GB" w:eastAsia="zh-CN"/>
        </w:rPr>
        <w:t xml:space="preserve"> the reduced TTI need</w:t>
      </w:r>
      <w:r w:rsidR="00B904CA">
        <w:rPr>
          <w:rFonts w:eastAsia="Times New Roman"/>
          <w:b/>
          <w:sz w:val="22"/>
          <w:szCs w:val="20"/>
          <w:lang w:val="en-GB" w:eastAsia="zh-CN"/>
        </w:rPr>
        <w:t>s</w:t>
      </w:r>
      <w:r w:rsidRPr="00AD5D7E">
        <w:rPr>
          <w:rFonts w:eastAsia="Times New Roman"/>
          <w:b/>
          <w:sz w:val="22"/>
          <w:szCs w:val="20"/>
          <w:lang w:val="en-GB" w:eastAsia="zh-CN"/>
        </w:rPr>
        <w:t xml:space="preserve"> to follow with a reduced HARQ timing</w:t>
      </w:r>
      <w:r w:rsidR="00FE0E28">
        <w:rPr>
          <w:rFonts w:eastAsia="Times New Roman"/>
          <w:b/>
          <w:sz w:val="22"/>
          <w:szCs w:val="20"/>
          <w:lang w:val="en-GB" w:eastAsia="zh-CN"/>
        </w:rPr>
        <w:t>.</w:t>
      </w:r>
    </w:p>
    <w:p w14:paraId="35F8BD4F" w14:textId="1695771D" w:rsidR="00F86782" w:rsidRPr="00AD5D7E" w:rsidRDefault="00F86782" w:rsidP="0057268E">
      <w:pPr>
        <w:pStyle w:val="ListParagraph"/>
        <w:numPr>
          <w:ilvl w:val="0"/>
          <w:numId w:val="28"/>
        </w:numPr>
        <w:spacing w:after="120"/>
        <w:jc w:val="both"/>
        <w:rPr>
          <w:b/>
        </w:rPr>
      </w:pPr>
      <w:r w:rsidRPr="00AD5D7E">
        <w:rPr>
          <w:rFonts w:eastAsia="Times New Roman"/>
          <w:b/>
          <w:sz w:val="22"/>
          <w:szCs w:val="20"/>
          <w:lang w:val="en-GB" w:eastAsia="zh-CN"/>
        </w:rPr>
        <w:t>For UL operation</w:t>
      </w:r>
      <w:r w:rsidR="00B904CA">
        <w:rPr>
          <w:rFonts w:eastAsia="Times New Roman"/>
          <w:b/>
          <w:sz w:val="22"/>
          <w:szCs w:val="20"/>
          <w:lang w:val="en-GB" w:eastAsia="zh-CN"/>
        </w:rPr>
        <w:t>,</w:t>
      </w:r>
      <w:r w:rsidRPr="00AD5D7E">
        <w:rPr>
          <w:rFonts w:eastAsia="Times New Roman"/>
          <w:b/>
          <w:sz w:val="22"/>
          <w:szCs w:val="20"/>
          <w:lang w:val="en-GB" w:eastAsia="zh-CN"/>
        </w:rPr>
        <w:t xml:space="preserve"> the reduced TTI need</w:t>
      </w:r>
      <w:r w:rsidR="00B904CA">
        <w:rPr>
          <w:rFonts w:eastAsia="Times New Roman"/>
          <w:b/>
          <w:sz w:val="22"/>
          <w:szCs w:val="20"/>
          <w:lang w:val="en-GB" w:eastAsia="zh-CN"/>
        </w:rPr>
        <w:t>s</w:t>
      </w:r>
      <w:r w:rsidRPr="00AD5D7E">
        <w:rPr>
          <w:rFonts w:eastAsia="Times New Roman"/>
          <w:b/>
          <w:sz w:val="22"/>
          <w:szCs w:val="20"/>
          <w:lang w:val="en-GB" w:eastAsia="zh-CN"/>
        </w:rPr>
        <w:t xml:space="preserve"> to follow with a reduced processing time for the UL transmission and flexible way to schedule r</w:t>
      </w:r>
      <w:bookmarkStart w:id="4" w:name="_GoBack"/>
      <w:bookmarkEnd w:id="4"/>
      <w:r w:rsidRPr="00AD5D7E">
        <w:rPr>
          <w:rFonts w:eastAsia="Times New Roman"/>
          <w:b/>
          <w:sz w:val="22"/>
          <w:szCs w:val="20"/>
          <w:lang w:val="en-GB" w:eastAsia="zh-CN"/>
        </w:rPr>
        <w:t>etransmissions</w:t>
      </w:r>
      <w:r w:rsidR="00FE0E28">
        <w:rPr>
          <w:rFonts w:eastAsia="Times New Roman"/>
          <w:b/>
          <w:sz w:val="22"/>
          <w:szCs w:val="20"/>
          <w:lang w:val="en-GB" w:eastAsia="zh-CN"/>
        </w:rPr>
        <w:t>.</w:t>
      </w:r>
    </w:p>
    <w:p w14:paraId="22834622" w14:textId="697DE954" w:rsidR="00B608EB" w:rsidRPr="001551BE" w:rsidRDefault="00B608EB" w:rsidP="0057268E">
      <w:pPr>
        <w:spacing w:before="240"/>
        <w:rPr>
          <w:szCs w:val="22"/>
        </w:rPr>
      </w:pPr>
      <w:r>
        <w:t xml:space="preserve">To </w:t>
      </w:r>
      <w:r w:rsidRPr="00206068">
        <w:rPr>
          <w:szCs w:val="22"/>
        </w:rPr>
        <w:t>fully utilize the potential of TTI shortening, the maximum TA may need to be reduced. This aspect can be separately studied within the study item independent from specific solution</w:t>
      </w:r>
      <w:r w:rsidR="006A7F14">
        <w:rPr>
          <w:szCs w:val="22"/>
        </w:rPr>
        <w:t>s</w:t>
      </w:r>
      <w:r w:rsidRPr="00206068">
        <w:rPr>
          <w:szCs w:val="22"/>
        </w:rPr>
        <w:t xml:space="preserve"> for TTI reduction</w:t>
      </w:r>
    </w:p>
    <w:p w14:paraId="2126564D" w14:textId="77777777" w:rsidR="00B608EB" w:rsidRPr="00263A41" w:rsidRDefault="00B608EB" w:rsidP="0057268E">
      <w:pPr>
        <w:rPr>
          <w:b/>
          <w:szCs w:val="22"/>
        </w:rPr>
      </w:pPr>
      <w:r w:rsidRPr="00E643C2">
        <w:rPr>
          <w:b/>
          <w:szCs w:val="22"/>
        </w:rPr>
        <w:t>Proposal:</w:t>
      </w:r>
    </w:p>
    <w:p w14:paraId="56C99A8B" w14:textId="6BFFE07D" w:rsidR="00B608EB" w:rsidRPr="00AD5D7E" w:rsidRDefault="00B608EB" w:rsidP="00AD5D7E">
      <w:pPr>
        <w:pStyle w:val="ListParagraph"/>
        <w:numPr>
          <w:ilvl w:val="0"/>
          <w:numId w:val="28"/>
        </w:numPr>
        <w:spacing w:after="240"/>
        <w:jc w:val="both"/>
        <w:rPr>
          <w:b/>
          <w:sz w:val="22"/>
          <w:szCs w:val="22"/>
        </w:rPr>
      </w:pPr>
      <w:r w:rsidRPr="00AD5D7E">
        <w:rPr>
          <w:b/>
          <w:sz w:val="22"/>
          <w:szCs w:val="22"/>
        </w:rPr>
        <w:t>Study maximum TA reduction independent of TTI reduction technique</w:t>
      </w:r>
      <w:r w:rsidR="006A7F14">
        <w:rPr>
          <w:b/>
          <w:sz w:val="22"/>
          <w:szCs w:val="22"/>
        </w:rPr>
        <w:t>s</w:t>
      </w:r>
      <w:r w:rsidR="00FE0E28">
        <w:rPr>
          <w:b/>
          <w:sz w:val="22"/>
          <w:szCs w:val="22"/>
        </w:rPr>
        <w:t>.</w:t>
      </w:r>
    </w:p>
    <w:p w14:paraId="105A16F3" w14:textId="77777777" w:rsidR="002A25D1" w:rsidRDefault="002A25D1" w:rsidP="00AD5D7E">
      <w:pPr>
        <w:pStyle w:val="Heading2"/>
      </w:pPr>
      <w:r w:rsidRPr="002A25D1">
        <w:t>Shared channel design details</w:t>
      </w:r>
    </w:p>
    <w:p w14:paraId="089A9CAA" w14:textId="31CF842D" w:rsidR="000A2F4C" w:rsidRDefault="000A2F4C" w:rsidP="002A25D1">
      <w:r>
        <w:t xml:space="preserve">The </w:t>
      </w:r>
      <w:r w:rsidR="00AD5D7E">
        <w:t xml:space="preserve">shared channels for the </w:t>
      </w:r>
      <w:r>
        <w:t>short</w:t>
      </w:r>
      <w:r w:rsidR="00AD5D7E">
        <w:t>ened</w:t>
      </w:r>
      <w:r>
        <w:t xml:space="preserve"> TTI can be placed within the legacy PDSCH region in the DL, and within the legacy PUSCH region in the UL. The </w:t>
      </w:r>
      <w:r w:rsidR="006A7F14">
        <w:t>location</w:t>
      </w:r>
      <w:r>
        <w:t xml:space="preserve"> of the short TTI regions in UL and DL can be signalled to the UE in a grant sent with longer period, e.g. once per subframe.</w:t>
      </w:r>
    </w:p>
    <w:p w14:paraId="0A6DE35E" w14:textId="112423F4" w:rsidR="00C23006" w:rsidRDefault="00C23006" w:rsidP="002A25D1">
      <w:r>
        <w:t xml:space="preserve">In order to further reduce the latency due to UE and eNB processing, redesigning the placement of reference signals in DL and UL would be beneficial, since the receiver needs to receive and process the RS before demodulating the received signal. Hence it would be beneficial if the RS used for demodulating </w:t>
      </w:r>
      <w:r w:rsidR="0052162B">
        <w:t>are</w:t>
      </w:r>
      <w:r>
        <w:t xml:space="preserve"> transmitted before the data. Shortening the TTI while keeping the same number of </w:t>
      </w:r>
      <w:r>
        <w:lastRenderedPageBreak/>
        <w:t>REs used for reference signals leads to increase</w:t>
      </w:r>
      <w:r w:rsidR="0052162B">
        <w:t>d</w:t>
      </w:r>
      <w:r>
        <w:t xml:space="preserve"> overhead. This can be mitigated by not transmitting</w:t>
      </w:r>
      <w:r w:rsidR="002F0487">
        <w:t xml:space="preserve"> reference signals in every TTI.</w:t>
      </w:r>
    </w:p>
    <w:p w14:paraId="62BBAFA7" w14:textId="77777777" w:rsidR="002A25D1" w:rsidRDefault="002A25D1" w:rsidP="00AD5D7E">
      <w:pPr>
        <w:pStyle w:val="Heading2"/>
      </w:pPr>
      <w:r w:rsidRPr="002A25D1">
        <w:t>Scheduling of reduced TTI</w:t>
      </w:r>
    </w:p>
    <w:p w14:paraId="416F48D5" w14:textId="21BB2A88" w:rsidR="002A25D1" w:rsidRDefault="002A25D1" w:rsidP="002A25D1">
      <w:r>
        <w:t xml:space="preserve">To be able to </w:t>
      </w:r>
      <w:r w:rsidR="00A26480">
        <w:t>exploit</w:t>
      </w:r>
      <w:r>
        <w:t xml:space="preserve"> the potential of a reduced TTI length, the eNB needs the ability to schedule data in DL and UL on a short time</w:t>
      </w:r>
      <w:r w:rsidR="0052162B">
        <w:t xml:space="preserve"> </w:t>
      </w:r>
      <w:r>
        <w:t>scale. If not, the latency may not be reduced below the PDCCH period.</w:t>
      </w:r>
      <w:r w:rsidR="00F52849">
        <w:t xml:space="preserve"> </w:t>
      </w:r>
      <w:r w:rsidR="00962C5E">
        <w:t xml:space="preserve">It is also important to have the possibility of scheduling more than one TTI to the same UE in one subframe. </w:t>
      </w:r>
      <w:r w:rsidR="00F52849">
        <w:t>Hence t</w:t>
      </w:r>
      <w:r w:rsidR="005132BF">
        <w:t xml:space="preserve">here is </w:t>
      </w:r>
      <w:r w:rsidR="00F52849">
        <w:t xml:space="preserve">a </w:t>
      </w:r>
      <w:r w:rsidR="005132BF">
        <w:t xml:space="preserve">need to study </w:t>
      </w:r>
      <w:r w:rsidR="000A2F4C">
        <w:t xml:space="preserve">a </w:t>
      </w:r>
      <w:r w:rsidR="005132BF">
        <w:t xml:space="preserve">modification </w:t>
      </w:r>
      <w:r w:rsidR="000A2F4C">
        <w:t>of</w:t>
      </w:r>
      <w:r w:rsidR="005132BF">
        <w:t xml:space="preserve"> the control channel design in DL that would allow for this </w:t>
      </w:r>
      <w:r w:rsidR="007A08C7">
        <w:t>reduction</w:t>
      </w:r>
      <w:r w:rsidR="005132BF">
        <w:t xml:space="preserve">. </w:t>
      </w:r>
      <w:r w:rsidR="007A08C7">
        <w:t xml:space="preserve">On a high level it is possible to base the design on EPDCCH or introduce a new control channel design </w:t>
      </w:r>
      <w:r w:rsidR="000A2F4C">
        <w:t>working on a short TTI timescale</w:t>
      </w:r>
      <w:r w:rsidR="007A08C7">
        <w:t>.</w:t>
      </w:r>
    </w:p>
    <w:p w14:paraId="615D60A9" w14:textId="77777777" w:rsidR="002A25D1" w:rsidRPr="001551BE" w:rsidRDefault="002A25D1" w:rsidP="002A25D1">
      <w:pPr>
        <w:rPr>
          <w:b/>
          <w:szCs w:val="22"/>
        </w:rPr>
      </w:pPr>
      <w:r w:rsidRPr="001551BE">
        <w:rPr>
          <w:b/>
          <w:szCs w:val="22"/>
        </w:rPr>
        <w:t>Observation:</w:t>
      </w:r>
    </w:p>
    <w:p w14:paraId="56520FB5" w14:textId="5735BE74" w:rsidR="00A6307E" w:rsidRDefault="007A08C7" w:rsidP="00AD5D7E">
      <w:pPr>
        <w:pStyle w:val="ListParagraph"/>
        <w:numPr>
          <w:ilvl w:val="0"/>
          <w:numId w:val="35"/>
        </w:numPr>
        <w:rPr>
          <w:b/>
          <w:sz w:val="22"/>
          <w:szCs w:val="22"/>
        </w:rPr>
      </w:pPr>
      <w:r w:rsidRPr="00AD5D7E">
        <w:rPr>
          <w:b/>
          <w:sz w:val="22"/>
          <w:szCs w:val="22"/>
        </w:rPr>
        <w:t>Modifications to the (E</w:t>
      </w:r>
      <w:proofErr w:type="gramStart"/>
      <w:r w:rsidRPr="00AD5D7E">
        <w:rPr>
          <w:b/>
          <w:sz w:val="22"/>
          <w:szCs w:val="22"/>
        </w:rPr>
        <w:t>)PDCCH</w:t>
      </w:r>
      <w:proofErr w:type="gramEnd"/>
      <w:r w:rsidRPr="00AD5D7E">
        <w:rPr>
          <w:b/>
          <w:sz w:val="22"/>
          <w:szCs w:val="22"/>
        </w:rPr>
        <w:t xml:space="preserve"> is </w:t>
      </w:r>
      <w:r w:rsidR="00E7554D" w:rsidRPr="00AD5D7E">
        <w:rPr>
          <w:b/>
          <w:sz w:val="22"/>
          <w:szCs w:val="22"/>
        </w:rPr>
        <w:t>necessary to take full advantage of the reduced TTI length</w:t>
      </w:r>
      <w:r w:rsidR="00FE0E28">
        <w:rPr>
          <w:b/>
          <w:sz w:val="22"/>
          <w:szCs w:val="22"/>
        </w:rPr>
        <w:t>.</w:t>
      </w:r>
    </w:p>
    <w:p w14:paraId="1903C556" w14:textId="77777777" w:rsidR="002A25D1" w:rsidRDefault="002A25D1" w:rsidP="00AD5D7E">
      <w:pPr>
        <w:pStyle w:val="Heading2"/>
      </w:pPr>
      <w:r>
        <w:t>Multiple TTI lengths</w:t>
      </w:r>
    </w:p>
    <w:p w14:paraId="45225AB6" w14:textId="4AFF0CAE" w:rsidR="00300303" w:rsidRDefault="002051BF" w:rsidP="00E7554D">
      <w:r>
        <w:t>A</w:t>
      </w:r>
      <w:r w:rsidR="00261F15">
        <w:t xml:space="preserve">s </w:t>
      </w:r>
      <w:r w:rsidR="003018A7">
        <w:t>pointed out</w:t>
      </w:r>
      <w:r w:rsidR="00261F15">
        <w:t xml:space="preserve"> in the SID</w:t>
      </w:r>
      <w:r w:rsidR="000A2F4C">
        <w:t>,</w:t>
      </w:r>
      <w:r w:rsidR="00261F15">
        <w:t xml:space="preserve"> </w:t>
      </w:r>
      <w:r>
        <w:t>backward</w:t>
      </w:r>
      <w:r w:rsidR="000A2F4C">
        <w:t>s</w:t>
      </w:r>
      <w:r>
        <w:t xml:space="preserve"> compatibility </w:t>
      </w:r>
      <w:r w:rsidR="00261F15">
        <w:t>sh</w:t>
      </w:r>
      <w:r w:rsidR="000A2F4C">
        <w:t>ould</w:t>
      </w:r>
      <w:r w:rsidR="00261F15">
        <w:t xml:space="preserve"> be preserved such that </w:t>
      </w:r>
      <w:r w:rsidR="007A08C7">
        <w:t xml:space="preserve">UEs operating with </w:t>
      </w:r>
      <w:r w:rsidR="002F0487">
        <w:t>different</w:t>
      </w:r>
      <w:r w:rsidR="007A08C7">
        <w:t xml:space="preserve"> TTI length</w:t>
      </w:r>
      <w:r w:rsidR="002F0487">
        <w:t>s</w:t>
      </w:r>
      <w:r w:rsidR="007A08C7">
        <w:t xml:space="preserve"> c</w:t>
      </w:r>
      <w:r w:rsidR="000A2F4C">
        <w:t>an</w:t>
      </w:r>
      <w:r w:rsidR="007A08C7">
        <w:t xml:space="preserve"> function together. The larges</w:t>
      </w:r>
      <w:r>
        <w:t>t</w:t>
      </w:r>
      <w:r w:rsidR="007A08C7">
        <w:t xml:space="preserve"> flexibility is achieved if they are allowed to be scheduled within the same subframe and the eNB is not required to </w:t>
      </w:r>
      <w:r w:rsidR="00A6307E">
        <w:t>multiplex</w:t>
      </w:r>
      <w:r w:rsidR="00FC54FC">
        <w:t xml:space="preserve"> these</w:t>
      </w:r>
      <w:r w:rsidR="007A08C7">
        <w:t xml:space="preserve"> UEs</w:t>
      </w:r>
      <w:r w:rsidR="00A6307E">
        <w:t xml:space="preserve"> in time</w:t>
      </w:r>
      <w:r w:rsidR="007A08C7">
        <w:t xml:space="preserve">. A flexible </w:t>
      </w:r>
      <w:r w:rsidR="003661CA">
        <w:t>solution</w:t>
      </w:r>
      <w:r w:rsidR="007A08C7">
        <w:t xml:space="preserve"> is to allow UEs operating with shorter TTI length in DL to be scheduled in</w:t>
      </w:r>
      <w:r w:rsidR="00300303">
        <w:t xml:space="preserve"> a</w:t>
      </w:r>
      <w:r w:rsidR="007A08C7">
        <w:t xml:space="preserve"> certain </w:t>
      </w:r>
      <w:r w:rsidR="00300303">
        <w:t>subspace</w:t>
      </w:r>
      <w:r w:rsidR="007A08C7">
        <w:t xml:space="preserve"> of the PDSCH region. The </w:t>
      </w:r>
      <w:r w:rsidR="00E7554D">
        <w:t>remaining</w:t>
      </w:r>
      <w:r w:rsidR="007A08C7">
        <w:t xml:space="preserve"> part of the PDSCH region can </w:t>
      </w:r>
      <w:r w:rsidR="00E7554D">
        <w:t>then</w:t>
      </w:r>
      <w:r w:rsidR="007A08C7">
        <w:t xml:space="preserve"> be used for example for UEs operating without TTI reduction and also other use cases such as </w:t>
      </w:r>
      <w:proofErr w:type="spellStart"/>
      <w:r w:rsidR="007A08C7">
        <w:t>eMTC</w:t>
      </w:r>
      <w:proofErr w:type="spellEnd"/>
      <w:r w:rsidR="007A08C7">
        <w:t xml:space="preserve"> or NB-</w:t>
      </w:r>
      <w:proofErr w:type="spellStart"/>
      <w:r w:rsidR="007A08C7">
        <w:t>IoT</w:t>
      </w:r>
      <w:proofErr w:type="spellEnd"/>
      <w:r w:rsidR="007A08C7">
        <w:t xml:space="preserve"> UEs. A similar approach is possible also for </w:t>
      </w:r>
      <w:r w:rsidR="003661CA">
        <w:t xml:space="preserve">the </w:t>
      </w:r>
      <w:r w:rsidR="007A08C7">
        <w:t xml:space="preserve">UL, i.e. limiting the scheduling to </w:t>
      </w:r>
      <w:r w:rsidR="00300303">
        <w:t xml:space="preserve">a subspace of </w:t>
      </w:r>
      <w:r w:rsidR="007A08C7">
        <w:t>the PUSCH region.</w:t>
      </w:r>
    </w:p>
    <w:p w14:paraId="40B64218" w14:textId="76801B65" w:rsidR="00E7554D" w:rsidRPr="00614405" w:rsidRDefault="00E7554D" w:rsidP="00E7554D">
      <w:r>
        <w:t xml:space="preserve">The possibility of having </w:t>
      </w:r>
      <w:r w:rsidR="00AC4075">
        <w:t>short TTIs of different lengths</w:t>
      </w:r>
      <w:r w:rsidR="00962C5E">
        <w:t xml:space="preserve"> </w:t>
      </w:r>
      <w:r>
        <w:t xml:space="preserve">within one </w:t>
      </w:r>
      <w:proofErr w:type="spellStart"/>
      <w:r>
        <w:t>subframe</w:t>
      </w:r>
      <w:proofErr w:type="spellEnd"/>
      <w:r>
        <w:t xml:space="preserve"> </w:t>
      </w:r>
      <w:r w:rsidR="00AC4075">
        <w:t xml:space="preserve">as well as different TTIs </w:t>
      </w:r>
      <w:r w:rsidR="00300303">
        <w:t>between</w:t>
      </w:r>
      <w:r>
        <w:t xml:space="preserve"> UL and DL should also be considered. This </w:t>
      </w:r>
      <w:r w:rsidR="00300303">
        <w:t xml:space="preserve">would give the largest scheduling flexibility for the eNB, and </w:t>
      </w:r>
      <w:r>
        <w:t xml:space="preserve">could be </w:t>
      </w:r>
      <w:r w:rsidR="00300303">
        <w:t>used e.g.</w:t>
      </w:r>
      <w:r>
        <w:t xml:space="preserve"> if the load is much higher in one of the directions</w:t>
      </w:r>
      <w:r w:rsidR="00300303">
        <w:t>, or to cater for UEs with varying amounts of data.</w:t>
      </w:r>
    </w:p>
    <w:p w14:paraId="2B1261FF" w14:textId="2BA7EF0C" w:rsidR="007A08C7" w:rsidRDefault="007A08C7" w:rsidP="007A08C7">
      <w:r>
        <w:t xml:space="preserve">To support simultaneous </w:t>
      </w:r>
      <w:r w:rsidR="002051BF">
        <w:t>operation with</w:t>
      </w:r>
      <w:r>
        <w:t xml:space="preserve"> legacy </w:t>
      </w:r>
      <w:r w:rsidR="00A644C1">
        <w:t>UEs working at subframe TTI</w:t>
      </w:r>
      <w:r w:rsidR="00986376">
        <w:t>,</w:t>
      </w:r>
      <w:r>
        <w:t xml:space="preserve"> the legacy channels </w:t>
      </w:r>
      <w:r w:rsidR="003661CA">
        <w:t xml:space="preserve">PDCCH, </w:t>
      </w:r>
      <w:r>
        <w:t>PHICH</w:t>
      </w:r>
      <w:r w:rsidR="003661CA">
        <w:t>, and</w:t>
      </w:r>
      <w:r>
        <w:t xml:space="preserve"> PCFICH </w:t>
      </w:r>
      <w:r w:rsidR="003661CA">
        <w:t>s</w:t>
      </w:r>
      <w:r>
        <w:t>hould be left unaffected.</w:t>
      </w:r>
    </w:p>
    <w:p w14:paraId="4E5A0991" w14:textId="77777777" w:rsidR="002A25D1" w:rsidRPr="0058118A" w:rsidRDefault="002A25D1" w:rsidP="002A25D1">
      <w:pPr>
        <w:rPr>
          <w:b/>
        </w:rPr>
      </w:pPr>
      <w:r>
        <w:rPr>
          <w:b/>
        </w:rPr>
        <w:t>Observation:</w:t>
      </w:r>
    </w:p>
    <w:p w14:paraId="7D029FBB" w14:textId="7C1074BB" w:rsidR="00255D31" w:rsidRPr="00AD5D7E" w:rsidRDefault="002A25D1" w:rsidP="00AD5D7E">
      <w:pPr>
        <w:pStyle w:val="ListParagraph"/>
        <w:numPr>
          <w:ilvl w:val="0"/>
          <w:numId w:val="28"/>
        </w:numPr>
        <w:spacing w:after="120"/>
        <w:jc w:val="both"/>
      </w:pPr>
      <w:r w:rsidRPr="00E7554D">
        <w:rPr>
          <w:b/>
          <w:sz w:val="22"/>
        </w:rPr>
        <w:t>Short TTI UEs can be scheduled within the PDSCH</w:t>
      </w:r>
      <w:r w:rsidR="000C1A13">
        <w:rPr>
          <w:b/>
          <w:sz w:val="22"/>
        </w:rPr>
        <w:t>/PUSCH</w:t>
      </w:r>
      <w:r w:rsidRPr="00E7554D">
        <w:rPr>
          <w:b/>
          <w:sz w:val="22"/>
        </w:rPr>
        <w:t xml:space="preserve"> region in the same subframe as legacy TTI UEs.</w:t>
      </w:r>
    </w:p>
    <w:p w14:paraId="1DCFC5FD" w14:textId="56BB13F7" w:rsidR="00AC4075" w:rsidRPr="00962C5E" w:rsidRDefault="00E7554D" w:rsidP="00962C5E">
      <w:pPr>
        <w:pStyle w:val="ListParagraph"/>
        <w:numPr>
          <w:ilvl w:val="0"/>
          <w:numId w:val="28"/>
        </w:numPr>
        <w:jc w:val="both"/>
      </w:pPr>
      <w:r w:rsidRPr="00AD5D7E">
        <w:rPr>
          <w:b/>
          <w:sz w:val="22"/>
        </w:rPr>
        <w:t>Consider to support different TTI length</w:t>
      </w:r>
      <w:r w:rsidR="000C1A13">
        <w:rPr>
          <w:b/>
          <w:sz w:val="22"/>
        </w:rPr>
        <w:t>s</w:t>
      </w:r>
      <w:r w:rsidRPr="00AD5D7E">
        <w:rPr>
          <w:b/>
          <w:sz w:val="22"/>
        </w:rPr>
        <w:t xml:space="preserve"> in DL and UL as well as varying TTI lengths within one subframe.</w:t>
      </w:r>
      <w:r w:rsidR="00255D31" w:rsidRPr="00AD5D7E">
        <w:rPr>
          <w:b/>
          <w:sz w:val="22"/>
        </w:rPr>
        <w:t xml:space="preserve"> </w:t>
      </w:r>
    </w:p>
    <w:p w14:paraId="63906F36" w14:textId="77777777" w:rsidR="00DE2561" w:rsidRDefault="00DE2561" w:rsidP="00E429F2">
      <w:pPr>
        <w:pStyle w:val="Heading1"/>
        <w:rPr>
          <w:lang w:val="en-US"/>
        </w:rPr>
      </w:pPr>
      <w:r w:rsidRPr="00AD5D7E">
        <w:t>Conclusion</w:t>
      </w:r>
    </w:p>
    <w:p w14:paraId="37075DEF" w14:textId="77777777" w:rsidR="002B54F0" w:rsidRDefault="00246F2C" w:rsidP="004666E3">
      <w:r>
        <w:t>The above discussion is summarized with the following</w:t>
      </w:r>
      <w:r w:rsidR="003F25CA">
        <w:t xml:space="preserve"> observations and</w:t>
      </w:r>
      <w:r>
        <w:t xml:space="preserve"> </w:t>
      </w:r>
      <w:r w:rsidR="006B09AD">
        <w:t>proposals</w:t>
      </w:r>
      <w:r>
        <w:t>:</w:t>
      </w:r>
    </w:p>
    <w:p w14:paraId="30AB6235" w14:textId="77777777" w:rsidR="00855039" w:rsidRPr="00B361F5" w:rsidRDefault="00A05D90" w:rsidP="004666E3">
      <w:pPr>
        <w:rPr>
          <w:b/>
          <w:szCs w:val="22"/>
          <w:lang w:val="en-US"/>
        </w:rPr>
      </w:pPr>
      <w:r w:rsidRPr="00B361F5">
        <w:rPr>
          <w:b/>
          <w:szCs w:val="22"/>
          <w:lang w:val="en-US"/>
        </w:rPr>
        <w:t>Observation</w:t>
      </w:r>
      <w:r w:rsidR="00B361F5">
        <w:rPr>
          <w:b/>
          <w:szCs w:val="22"/>
          <w:lang w:val="en-US"/>
        </w:rPr>
        <w:t>s</w:t>
      </w:r>
      <w:r w:rsidRPr="00B361F5">
        <w:rPr>
          <w:b/>
          <w:szCs w:val="22"/>
          <w:lang w:val="en-US"/>
        </w:rPr>
        <w:t>:</w:t>
      </w:r>
    </w:p>
    <w:p w14:paraId="5C902123" w14:textId="77777777" w:rsidR="00FE0E28" w:rsidRPr="00CE7C21" w:rsidRDefault="00FE0E28" w:rsidP="00FE0E28">
      <w:pPr>
        <w:pStyle w:val="ListParagraph"/>
        <w:numPr>
          <w:ilvl w:val="0"/>
          <w:numId w:val="26"/>
        </w:numPr>
        <w:spacing w:after="120"/>
        <w:jc w:val="both"/>
        <w:rPr>
          <w:b/>
        </w:rPr>
      </w:pPr>
      <w:r w:rsidRPr="00CE7C21">
        <w:rPr>
          <w:rFonts w:eastAsia="Times New Roman"/>
          <w:b/>
          <w:sz w:val="22"/>
          <w:szCs w:val="20"/>
          <w:lang w:val="en-GB" w:eastAsia="zh-CN"/>
        </w:rPr>
        <w:t>For DL operation</w:t>
      </w:r>
      <w:r>
        <w:rPr>
          <w:rFonts w:eastAsia="Times New Roman"/>
          <w:b/>
          <w:sz w:val="22"/>
          <w:szCs w:val="20"/>
          <w:lang w:val="en-GB" w:eastAsia="zh-CN"/>
        </w:rPr>
        <w:t>,</w:t>
      </w:r>
      <w:r w:rsidRPr="00CE7C21">
        <w:rPr>
          <w:rFonts w:eastAsia="Times New Roman"/>
          <w:b/>
          <w:sz w:val="22"/>
          <w:szCs w:val="20"/>
          <w:lang w:val="en-GB" w:eastAsia="zh-CN"/>
        </w:rPr>
        <w:t xml:space="preserve"> the reduced TTI need</w:t>
      </w:r>
      <w:r>
        <w:rPr>
          <w:rFonts w:eastAsia="Times New Roman"/>
          <w:b/>
          <w:sz w:val="22"/>
          <w:szCs w:val="20"/>
          <w:lang w:val="en-GB" w:eastAsia="zh-CN"/>
        </w:rPr>
        <w:t>s</w:t>
      </w:r>
      <w:r w:rsidRPr="00CE7C21">
        <w:rPr>
          <w:rFonts w:eastAsia="Times New Roman"/>
          <w:b/>
          <w:sz w:val="22"/>
          <w:szCs w:val="20"/>
          <w:lang w:val="en-GB" w:eastAsia="zh-CN"/>
        </w:rPr>
        <w:t xml:space="preserve"> to follow with a reduced HARQ timing</w:t>
      </w:r>
      <w:r>
        <w:rPr>
          <w:rFonts w:eastAsia="Times New Roman"/>
          <w:b/>
          <w:sz w:val="22"/>
          <w:szCs w:val="20"/>
          <w:lang w:val="en-GB" w:eastAsia="zh-CN"/>
        </w:rPr>
        <w:t>.</w:t>
      </w:r>
    </w:p>
    <w:p w14:paraId="205425AA" w14:textId="77777777" w:rsidR="00FE0E28" w:rsidRPr="00CE7C21" w:rsidRDefault="00FE0E28" w:rsidP="00AD5D7E">
      <w:pPr>
        <w:pStyle w:val="ListParagraph"/>
        <w:numPr>
          <w:ilvl w:val="0"/>
          <w:numId w:val="26"/>
        </w:numPr>
        <w:spacing w:after="120"/>
        <w:jc w:val="both"/>
        <w:rPr>
          <w:b/>
        </w:rPr>
      </w:pPr>
      <w:r w:rsidRPr="00CE7C21">
        <w:rPr>
          <w:rFonts w:eastAsia="Times New Roman"/>
          <w:b/>
          <w:sz w:val="22"/>
          <w:szCs w:val="20"/>
          <w:lang w:val="en-GB" w:eastAsia="zh-CN"/>
        </w:rPr>
        <w:t>For UL operation</w:t>
      </w:r>
      <w:r>
        <w:rPr>
          <w:rFonts w:eastAsia="Times New Roman"/>
          <w:b/>
          <w:sz w:val="22"/>
          <w:szCs w:val="20"/>
          <w:lang w:val="en-GB" w:eastAsia="zh-CN"/>
        </w:rPr>
        <w:t>,</w:t>
      </w:r>
      <w:r w:rsidRPr="00CE7C21">
        <w:rPr>
          <w:rFonts w:eastAsia="Times New Roman"/>
          <w:b/>
          <w:sz w:val="22"/>
          <w:szCs w:val="20"/>
          <w:lang w:val="en-GB" w:eastAsia="zh-CN"/>
        </w:rPr>
        <w:t xml:space="preserve"> the reduced TTI need</w:t>
      </w:r>
      <w:r>
        <w:rPr>
          <w:rFonts w:eastAsia="Times New Roman"/>
          <w:b/>
          <w:sz w:val="22"/>
          <w:szCs w:val="20"/>
          <w:lang w:val="en-GB" w:eastAsia="zh-CN"/>
        </w:rPr>
        <w:t>s</w:t>
      </w:r>
      <w:r w:rsidRPr="00CE7C21">
        <w:rPr>
          <w:rFonts w:eastAsia="Times New Roman"/>
          <w:b/>
          <w:sz w:val="22"/>
          <w:szCs w:val="20"/>
          <w:lang w:val="en-GB" w:eastAsia="zh-CN"/>
        </w:rPr>
        <w:t xml:space="preserve"> to follow with a reduced processing time for the UL transmission and flexible way to schedule retransmissions</w:t>
      </w:r>
      <w:r>
        <w:rPr>
          <w:rFonts w:eastAsia="Times New Roman"/>
          <w:b/>
          <w:sz w:val="22"/>
          <w:szCs w:val="20"/>
          <w:lang w:val="en-GB" w:eastAsia="zh-CN"/>
        </w:rPr>
        <w:t>.</w:t>
      </w:r>
    </w:p>
    <w:p w14:paraId="5B7F2143" w14:textId="77777777" w:rsidR="00FE0E28" w:rsidRDefault="00FE0E28" w:rsidP="00AD5D7E">
      <w:pPr>
        <w:pStyle w:val="ListParagraph"/>
        <w:numPr>
          <w:ilvl w:val="0"/>
          <w:numId w:val="35"/>
        </w:numPr>
        <w:spacing w:after="120"/>
        <w:rPr>
          <w:b/>
          <w:sz w:val="22"/>
          <w:szCs w:val="22"/>
        </w:rPr>
      </w:pPr>
      <w:r w:rsidRPr="00AD5D7E">
        <w:rPr>
          <w:b/>
          <w:sz w:val="22"/>
          <w:szCs w:val="22"/>
        </w:rPr>
        <w:t>Modifications to the (E</w:t>
      </w:r>
      <w:proofErr w:type="gramStart"/>
      <w:r w:rsidRPr="00AD5D7E">
        <w:rPr>
          <w:b/>
          <w:sz w:val="22"/>
          <w:szCs w:val="22"/>
        </w:rPr>
        <w:t>)PDCCH</w:t>
      </w:r>
      <w:proofErr w:type="gramEnd"/>
      <w:r w:rsidRPr="00AD5D7E">
        <w:rPr>
          <w:b/>
          <w:sz w:val="22"/>
          <w:szCs w:val="22"/>
        </w:rPr>
        <w:t xml:space="preserve"> is necessary to take full advantage of the reduced TTI length</w:t>
      </w:r>
      <w:r>
        <w:rPr>
          <w:b/>
          <w:sz w:val="22"/>
          <w:szCs w:val="22"/>
        </w:rPr>
        <w:t>.</w:t>
      </w:r>
    </w:p>
    <w:p w14:paraId="3A261E62" w14:textId="21A8C028" w:rsidR="00FE0E28" w:rsidRPr="00AD5D7E" w:rsidRDefault="00FE0E28" w:rsidP="00AD5D7E">
      <w:pPr>
        <w:pStyle w:val="ListParagraph"/>
        <w:numPr>
          <w:ilvl w:val="0"/>
          <w:numId w:val="28"/>
        </w:numPr>
        <w:spacing w:after="120"/>
        <w:jc w:val="both"/>
      </w:pPr>
      <w:r w:rsidRPr="00E7554D">
        <w:rPr>
          <w:b/>
          <w:sz w:val="22"/>
        </w:rPr>
        <w:t>Short TTI UEs can be scheduled within the PDSCH</w:t>
      </w:r>
      <w:r>
        <w:rPr>
          <w:b/>
          <w:sz w:val="22"/>
        </w:rPr>
        <w:t>/PUSCH</w:t>
      </w:r>
      <w:r w:rsidRPr="00E7554D">
        <w:rPr>
          <w:b/>
          <w:sz w:val="22"/>
        </w:rPr>
        <w:t xml:space="preserve"> region in the same subframe as legacy TTI UEs.</w:t>
      </w:r>
    </w:p>
    <w:p w14:paraId="39E35090" w14:textId="477ADEB7" w:rsidR="00A05D90" w:rsidRPr="00541C56" w:rsidRDefault="00FE0E28" w:rsidP="00541C56">
      <w:pPr>
        <w:pStyle w:val="ListParagraph"/>
        <w:numPr>
          <w:ilvl w:val="0"/>
          <w:numId w:val="28"/>
        </w:numPr>
        <w:spacing w:after="120"/>
        <w:jc w:val="both"/>
        <w:rPr>
          <w:b/>
          <w:sz w:val="22"/>
          <w:szCs w:val="22"/>
        </w:rPr>
      </w:pPr>
      <w:r w:rsidRPr="00AD5D7E">
        <w:rPr>
          <w:b/>
          <w:sz w:val="22"/>
        </w:rPr>
        <w:lastRenderedPageBreak/>
        <w:t>Consider to support different TTI length</w:t>
      </w:r>
      <w:r>
        <w:rPr>
          <w:b/>
          <w:sz w:val="22"/>
        </w:rPr>
        <w:t>s</w:t>
      </w:r>
      <w:r w:rsidRPr="00AD5D7E">
        <w:rPr>
          <w:b/>
          <w:sz w:val="22"/>
        </w:rPr>
        <w:t xml:space="preserve"> in DL and UL as well as varying TTI lengths within one subframe. </w:t>
      </w:r>
    </w:p>
    <w:p w14:paraId="4FBEEB32" w14:textId="77777777" w:rsidR="00541C56" w:rsidRDefault="00541C56" w:rsidP="004666E3">
      <w:pPr>
        <w:rPr>
          <w:b/>
          <w:szCs w:val="22"/>
          <w:lang w:val="en-US"/>
        </w:rPr>
      </w:pPr>
    </w:p>
    <w:p w14:paraId="60967ED3" w14:textId="77777777" w:rsidR="00A05D90" w:rsidRDefault="00A05D90" w:rsidP="004666E3">
      <w:pPr>
        <w:rPr>
          <w:b/>
          <w:szCs w:val="22"/>
          <w:lang w:val="en-US"/>
        </w:rPr>
      </w:pPr>
      <w:r w:rsidRPr="00B361F5">
        <w:rPr>
          <w:b/>
          <w:szCs w:val="22"/>
          <w:lang w:val="en-US"/>
        </w:rPr>
        <w:t>Proposals:</w:t>
      </w:r>
    </w:p>
    <w:p w14:paraId="1B584609" w14:textId="77777777" w:rsidR="00FE0E28" w:rsidRPr="00CE7C21" w:rsidRDefault="00FE0E28" w:rsidP="00FE0E28">
      <w:pPr>
        <w:pStyle w:val="ListParagraph"/>
        <w:numPr>
          <w:ilvl w:val="0"/>
          <w:numId w:val="28"/>
        </w:numPr>
        <w:spacing w:after="120"/>
        <w:jc w:val="both"/>
        <w:rPr>
          <w:b/>
          <w:sz w:val="22"/>
          <w:szCs w:val="22"/>
          <w:lang w:val="en-GB"/>
        </w:rPr>
      </w:pPr>
      <w:r w:rsidRPr="003C72D5">
        <w:rPr>
          <w:b/>
          <w:szCs w:val="22"/>
        </w:rPr>
        <w:t>S</w:t>
      </w:r>
      <w:r w:rsidRPr="00CE7C21">
        <w:rPr>
          <w:b/>
          <w:sz w:val="22"/>
          <w:szCs w:val="22"/>
        </w:rPr>
        <w:t xml:space="preserve">tudy techniques to reduce the TTI </w:t>
      </w:r>
      <w:r>
        <w:rPr>
          <w:b/>
          <w:sz w:val="22"/>
          <w:szCs w:val="22"/>
        </w:rPr>
        <w:t xml:space="preserve">from </w:t>
      </w:r>
      <w:r w:rsidRPr="00CE7C21">
        <w:rPr>
          <w:b/>
          <w:sz w:val="22"/>
          <w:szCs w:val="22"/>
        </w:rPr>
        <w:t>7 to 1 symbols for frame structure 1, 2 and 3 considering the following aspects in the design:</w:t>
      </w:r>
    </w:p>
    <w:p w14:paraId="24838A8F" w14:textId="77777777" w:rsidR="00FE0E28" w:rsidRPr="00CE7C21" w:rsidRDefault="00FE0E28" w:rsidP="00FE0E28">
      <w:pPr>
        <w:pStyle w:val="ListParagraph"/>
        <w:numPr>
          <w:ilvl w:val="1"/>
          <w:numId w:val="28"/>
        </w:numPr>
        <w:spacing w:after="120"/>
        <w:jc w:val="both"/>
        <w:rPr>
          <w:b/>
          <w:sz w:val="22"/>
          <w:szCs w:val="22"/>
          <w:lang w:val="en-GB"/>
        </w:rPr>
      </w:pPr>
      <w:r w:rsidRPr="00CE7C21">
        <w:rPr>
          <w:b/>
          <w:sz w:val="22"/>
          <w:szCs w:val="22"/>
          <w:lang w:val="en-GB"/>
        </w:rPr>
        <w:t>Reduced processing and feedback timing</w:t>
      </w:r>
      <w:r>
        <w:rPr>
          <w:b/>
          <w:sz w:val="22"/>
          <w:szCs w:val="22"/>
          <w:lang w:val="en-GB"/>
        </w:rPr>
        <w:t>.</w:t>
      </w:r>
    </w:p>
    <w:p w14:paraId="656747C5" w14:textId="77777777" w:rsidR="00FE0E28" w:rsidRPr="00CE7C21" w:rsidRDefault="00FE0E28" w:rsidP="00FE0E28">
      <w:pPr>
        <w:pStyle w:val="ListParagraph"/>
        <w:numPr>
          <w:ilvl w:val="1"/>
          <w:numId w:val="28"/>
        </w:numPr>
        <w:spacing w:after="120"/>
        <w:jc w:val="both"/>
        <w:rPr>
          <w:b/>
          <w:sz w:val="22"/>
          <w:szCs w:val="22"/>
          <w:lang w:val="en-GB"/>
        </w:rPr>
      </w:pPr>
      <w:r w:rsidRPr="00CE7C21">
        <w:rPr>
          <w:b/>
          <w:sz w:val="22"/>
          <w:szCs w:val="22"/>
          <w:lang w:val="en-GB"/>
        </w:rPr>
        <w:t>Shared channel design details including reference symbol design</w:t>
      </w:r>
      <w:r>
        <w:rPr>
          <w:b/>
          <w:sz w:val="22"/>
          <w:szCs w:val="22"/>
          <w:lang w:val="en-GB"/>
        </w:rPr>
        <w:t>.</w:t>
      </w:r>
    </w:p>
    <w:p w14:paraId="463936C5" w14:textId="77777777" w:rsidR="00FE0E28" w:rsidRPr="00CE7C21" w:rsidRDefault="00FE0E28" w:rsidP="00FE0E28">
      <w:pPr>
        <w:pStyle w:val="ListParagraph"/>
        <w:numPr>
          <w:ilvl w:val="1"/>
          <w:numId w:val="28"/>
        </w:numPr>
        <w:spacing w:after="120"/>
        <w:jc w:val="both"/>
        <w:rPr>
          <w:b/>
          <w:sz w:val="22"/>
          <w:szCs w:val="22"/>
          <w:lang w:val="en-GB"/>
        </w:rPr>
      </w:pPr>
      <w:r w:rsidRPr="00CE7C21">
        <w:rPr>
          <w:b/>
          <w:sz w:val="22"/>
          <w:szCs w:val="22"/>
          <w:lang w:val="en-GB"/>
        </w:rPr>
        <w:t>Scheduling of reduced TTI lengths for UL and DL</w:t>
      </w:r>
      <w:r>
        <w:rPr>
          <w:b/>
          <w:sz w:val="22"/>
          <w:szCs w:val="22"/>
          <w:lang w:val="en-GB"/>
        </w:rPr>
        <w:t>.</w:t>
      </w:r>
    </w:p>
    <w:p w14:paraId="1BF6F41E" w14:textId="77777777" w:rsidR="00FE0E28" w:rsidRPr="00CE7C21" w:rsidRDefault="00FE0E28" w:rsidP="00FE0E28">
      <w:pPr>
        <w:pStyle w:val="ListParagraph"/>
        <w:numPr>
          <w:ilvl w:val="1"/>
          <w:numId w:val="28"/>
        </w:numPr>
        <w:spacing w:after="120"/>
        <w:jc w:val="both"/>
        <w:rPr>
          <w:b/>
          <w:sz w:val="22"/>
          <w:szCs w:val="22"/>
          <w:lang w:val="en-GB"/>
        </w:rPr>
      </w:pPr>
      <w:r w:rsidRPr="00CE7C21">
        <w:rPr>
          <w:b/>
          <w:sz w:val="22"/>
          <w:szCs w:val="22"/>
          <w:lang w:val="en-GB"/>
        </w:rPr>
        <w:t>Multiple TTI lengths for both data and control in the same subframe and different subframes</w:t>
      </w:r>
      <w:r>
        <w:rPr>
          <w:b/>
          <w:sz w:val="22"/>
          <w:szCs w:val="22"/>
          <w:lang w:val="en-GB"/>
        </w:rPr>
        <w:t>.</w:t>
      </w:r>
    </w:p>
    <w:p w14:paraId="5313029E" w14:textId="32439120" w:rsidR="00FE0E28" w:rsidRPr="00AD5D7E" w:rsidRDefault="00FE0E28" w:rsidP="00AD5D7E">
      <w:pPr>
        <w:pStyle w:val="ListParagraph"/>
        <w:numPr>
          <w:ilvl w:val="0"/>
          <w:numId w:val="28"/>
        </w:numPr>
        <w:spacing w:after="240"/>
        <w:jc w:val="both"/>
        <w:rPr>
          <w:b/>
          <w:szCs w:val="22"/>
        </w:rPr>
      </w:pPr>
      <w:r w:rsidRPr="00CE7C21">
        <w:rPr>
          <w:b/>
          <w:sz w:val="22"/>
          <w:szCs w:val="22"/>
        </w:rPr>
        <w:t>Study maximum TA reduction independent of TTI reduction technique</w:t>
      </w:r>
      <w:r>
        <w:rPr>
          <w:b/>
          <w:sz w:val="22"/>
          <w:szCs w:val="22"/>
        </w:rPr>
        <w:t>s.</w:t>
      </w:r>
    </w:p>
    <w:p w14:paraId="088C4EAE" w14:textId="4723E340" w:rsidR="00855039" w:rsidRPr="0064335A" w:rsidRDefault="00C64D01" w:rsidP="00C64D01">
      <w:pPr>
        <w:pStyle w:val="ListParagraph"/>
        <w:numPr>
          <w:ilvl w:val="0"/>
          <w:numId w:val="26"/>
        </w:numPr>
        <w:rPr>
          <w:b/>
          <w:sz w:val="22"/>
        </w:rPr>
      </w:pPr>
      <w:r w:rsidRPr="0064335A">
        <w:rPr>
          <w:b/>
          <w:sz w:val="22"/>
        </w:rPr>
        <w:t>Capture the above discussion in the TR.</w:t>
      </w:r>
    </w:p>
    <w:p w14:paraId="09B31D84" w14:textId="77777777" w:rsidR="00B67E6C" w:rsidRPr="00A742FA" w:rsidRDefault="00B67E6C" w:rsidP="00B67E6C">
      <w:pPr>
        <w:pStyle w:val="Heading1"/>
        <w:rPr>
          <w:lang w:val="en-US"/>
        </w:rPr>
      </w:pPr>
      <w:r w:rsidRPr="00A742FA">
        <w:rPr>
          <w:lang w:val="en-US"/>
        </w:rPr>
        <w:t>Reference</w:t>
      </w:r>
      <w:r w:rsidR="00E3500B">
        <w:rPr>
          <w:lang w:val="en-US"/>
        </w:rPr>
        <w:t>s</w:t>
      </w:r>
    </w:p>
    <w:p w14:paraId="377FFC30" w14:textId="7BF557B6" w:rsidR="004330E9" w:rsidRPr="00A82094" w:rsidRDefault="005E4540" w:rsidP="00A82094">
      <w:pPr>
        <w:pStyle w:val="Reference"/>
      </w:pPr>
      <w:bookmarkStart w:id="5" w:name="_Ref415666081"/>
      <w:bookmarkStart w:id="6" w:name="_Ref363567898"/>
      <w:bookmarkStart w:id="7" w:name="_Ref367350341"/>
      <w:bookmarkStart w:id="8" w:name="_Ref370111837"/>
      <w:bookmarkStart w:id="9" w:name="_Ref370203071"/>
      <w:bookmarkStart w:id="10" w:name="_Ref377571746"/>
      <w:bookmarkStart w:id="11" w:name="_Ref386564944"/>
      <w:bookmarkStart w:id="12" w:name="_Ref386565146"/>
      <w:bookmarkStart w:id="13" w:name="_Ref395083208"/>
      <w:r w:rsidRPr="005E4540">
        <w:rPr>
          <w:lang w:val="en-US"/>
        </w:rPr>
        <w:t>R</w:t>
      </w:r>
      <w:r w:rsidR="005C6244">
        <w:rPr>
          <w:lang w:val="en-US"/>
        </w:rPr>
        <w:t>P</w:t>
      </w:r>
      <w:r w:rsidRPr="005E4540">
        <w:rPr>
          <w:lang w:val="en-US"/>
        </w:rPr>
        <w:t>-</w:t>
      </w:r>
      <w:r w:rsidR="009307A6">
        <w:rPr>
          <w:lang w:val="en-US"/>
        </w:rPr>
        <w:t>15</w:t>
      </w:r>
      <w:bookmarkEnd w:id="5"/>
      <w:bookmarkEnd w:id="6"/>
      <w:bookmarkEnd w:id="7"/>
      <w:bookmarkEnd w:id="8"/>
      <w:bookmarkEnd w:id="9"/>
      <w:bookmarkEnd w:id="10"/>
      <w:bookmarkEnd w:id="11"/>
      <w:bookmarkEnd w:id="12"/>
      <w:bookmarkEnd w:id="13"/>
      <w:r w:rsidR="005C6244">
        <w:rPr>
          <w:lang w:val="en-US"/>
        </w:rPr>
        <w:t xml:space="preserve">0465 </w:t>
      </w:r>
      <w:r w:rsidR="004E0394" w:rsidRPr="005C6244">
        <w:t>Study on Latenc</w:t>
      </w:r>
      <w:r w:rsidR="005C6244">
        <w:t>y reduction techniques for LTE</w:t>
      </w:r>
      <w:r w:rsidR="00A82094">
        <w:t xml:space="preserve"> (</w:t>
      </w:r>
      <w:r w:rsidR="000158FA">
        <w:t>S</w:t>
      </w:r>
      <w:r w:rsidR="00A82094">
        <w:t>ID).</w:t>
      </w:r>
    </w:p>
    <w:sectPr w:rsidR="004330E9" w:rsidRPr="00A82094" w:rsidSect="005A7521">
      <w:pgSz w:w="11907" w:h="16839" w:code="9"/>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F9D6E0" w15:done="0"/>
  <w15:commentEx w15:paraId="09B519C8" w15:done="0"/>
  <w15:commentEx w15:paraId="03AACF4C" w15:done="0"/>
  <w15:commentEx w15:paraId="762CBE39" w15:done="0"/>
  <w15:commentEx w15:paraId="73D677E7" w15:done="0"/>
  <w15:commentEx w15:paraId="05C2C797" w15:done="0"/>
  <w15:commentEx w15:paraId="1C6FAA46" w15:done="0"/>
  <w15:commentEx w15:paraId="01F066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CF724" w14:textId="77777777" w:rsidR="006857BF" w:rsidRDefault="006857BF" w:rsidP="000C2022">
      <w:pPr>
        <w:spacing w:after="0"/>
      </w:pPr>
      <w:r>
        <w:separator/>
      </w:r>
    </w:p>
  </w:endnote>
  <w:endnote w:type="continuationSeparator" w:id="0">
    <w:p w14:paraId="580E1561" w14:textId="77777777" w:rsidR="006857BF" w:rsidRDefault="006857BF"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CAFA7" w14:textId="77777777" w:rsidR="006857BF" w:rsidRDefault="006857BF" w:rsidP="000C2022">
      <w:pPr>
        <w:spacing w:after="0"/>
      </w:pPr>
      <w:r>
        <w:separator/>
      </w:r>
    </w:p>
  </w:footnote>
  <w:footnote w:type="continuationSeparator" w:id="0">
    <w:p w14:paraId="039D96AD" w14:textId="77777777" w:rsidR="006857BF" w:rsidRDefault="006857BF"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6883C97"/>
    <w:multiLevelType w:val="hybridMultilevel"/>
    <w:tmpl w:val="D31EB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CA3DC7"/>
    <w:multiLevelType w:val="hybridMultilevel"/>
    <w:tmpl w:val="5A726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8">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6C31FE"/>
    <w:multiLevelType w:val="hybridMultilevel"/>
    <w:tmpl w:val="4A1ECB88"/>
    <w:lvl w:ilvl="0" w:tplc="9664E6C2">
      <w:start w:val="1"/>
      <w:numFmt w:val="bullet"/>
      <w:lvlText w:val="›"/>
      <w:lvlJc w:val="left"/>
      <w:pPr>
        <w:tabs>
          <w:tab w:val="num" w:pos="720"/>
        </w:tabs>
        <w:ind w:left="720" w:hanging="360"/>
      </w:pPr>
      <w:rPr>
        <w:rFonts w:ascii="Arial" w:hAnsi="Arial" w:hint="default"/>
      </w:rPr>
    </w:lvl>
    <w:lvl w:ilvl="1" w:tplc="30DE2EAA">
      <w:start w:val="45"/>
      <w:numFmt w:val="bullet"/>
      <w:lvlText w:val="–"/>
      <w:lvlJc w:val="left"/>
      <w:pPr>
        <w:tabs>
          <w:tab w:val="num" w:pos="1440"/>
        </w:tabs>
        <w:ind w:left="1440" w:hanging="360"/>
      </w:pPr>
      <w:rPr>
        <w:rFonts w:ascii="Ericsson Capital TT" w:hAnsi="Ericsson Capital TT" w:hint="default"/>
      </w:rPr>
    </w:lvl>
    <w:lvl w:ilvl="2" w:tplc="9FF85B12" w:tentative="1">
      <w:start w:val="1"/>
      <w:numFmt w:val="bullet"/>
      <w:lvlText w:val="›"/>
      <w:lvlJc w:val="left"/>
      <w:pPr>
        <w:tabs>
          <w:tab w:val="num" w:pos="2160"/>
        </w:tabs>
        <w:ind w:left="2160" w:hanging="360"/>
      </w:pPr>
      <w:rPr>
        <w:rFonts w:ascii="Arial" w:hAnsi="Arial" w:hint="default"/>
      </w:rPr>
    </w:lvl>
    <w:lvl w:ilvl="3" w:tplc="2020D254" w:tentative="1">
      <w:start w:val="1"/>
      <w:numFmt w:val="bullet"/>
      <w:lvlText w:val="›"/>
      <w:lvlJc w:val="left"/>
      <w:pPr>
        <w:tabs>
          <w:tab w:val="num" w:pos="2880"/>
        </w:tabs>
        <w:ind w:left="2880" w:hanging="360"/>
      </w:pPr>
      <w:rPr>
        <w:rFonts w:ascii="Arial" w:hAnsi="Arial" w:hint="default"/>
      </w:rPr>
    </w:lvl>
    <w:lvl w:ilvl="4" w:tplc="79540C72" w:tentative="1">
      <w:start w:val="1"/>
      <w:numFmt w:val="bullet"/>
      <w:lvlText w:val="›"/>
      <w:lvlJc w:val="left"/>
      <w:pPr>
        <w:tabs>
          <w:tab w:val="num" w:pos="3600"/>
        </w:tabs>
        <w:ind w:left="3600" w:hanging="360"/>
      </w:pPr>
      <w:rPr>
        <w:rFonts w:ascii="Arial" w:hAnsi="Arial" w:hint="default"/>
      </w:rPr>
    </w:lvl>
    <w:lvl w:ilvl="5" w:tplc="D5D294B8" w:tentative="1">
      <w:start w:val="1"/>
      <w:numFmt w:val="bullet"/>
      <w:lvlText w:val="›"/>
      <w:lvlJc w:val="left"/>
      <w:pPr>
        <w:tabs>
          <w:tab w:val="num" w:pos="4320"/>
        </w:tabs>
        <w:ind w:left="4320" w:hanging="360"/>
      </w:pPr>
      <w:rPr>
        <w:rFonts w:ascii="Arial" w:hAnsi="Arial" w:hint="default"/>
      </w:rPr>
    </w:lvl>
    <w:lvl w:ilvl="6" w:tplc="DAC0A2FA" w:tentative="1">
      <w:start w:val="1"/>
      <w:numFmt w:val="bullet"/>
      <w:lvlText w:val="›"/>
      <w:lvlJc w:val="left"/>
      <w:pPr>
        <w:tabs>
          <w:tab w:val="num" w:pos="5040"/>
        </w:tabs>
        <w:ind w:left="5040" w:hanging="360"/>
      </w:pPr>
      <w:rPr>
        <w:rFonts w:ascii="Arial" w:hAnsi="Arial" w:hint="default"/>
      </w:rPr>
    </w:lvl>
    <w:lvl w:ilvl="7" w:tplc="C3927490" w:tentative="1">
      <w:start w:val="1"/>
      <w:numFmt w:val="bullet"/>
      <w:lvlText w:val="›"/>
      <w:lvlJc w:val="left"/>
      <w:pPr>
        <w:tabs>
          <w:tab w:val="num" w:pos="5760"/>
        </w:tabs>
        <w:ind w:left="5760" w:hanging="360"/>
      </w:pPr>
      <w:rPr>
        <w:rFonts w:ascii="Arial" w:hAnsi="Arial" w:hint="default"/>
      </w:rPr>
    </w:lvl>
    <w:lvl w:ilvl="8" w:tplc="497EF9F8" w:tentative="1">
      <w:start w:val="1"/>
      <w:numFmt w:val="bullet"/>
      <w:lvlText w:val="›"/>
      <w:lvlJc w:val="left"/>
      <w:pPr>
        <w:tabs>
          <w:tab w:val="num" w:pos="6480"/>
        </w:tabs>
        <w:ind w:left="6480" w:hanging="360"/>
      </w:pPr>
      <w:rPr>
        <w:rFonts w:ascii="Arial" w:hAnsi="Arial" w:hint="default"/>
      </w:rPr>
    </w:lvl>
  </w:abstractNum>
  <w:abstractNum w:abstractNumId="12">
    <w:nsid w:val="2FF32E1D"/>
    <w:multiLevelType w:val="hybridMultilevel"/>
    <w:tmpl w:val="6F58F7FA"/>
    <w:lvl w:ilvl="0" w:tplc="CD7814BE">
      <w:start w:val="1"/>
      <w:numFmt w:val="bullet"/>
      <w:lvlText w:val=""/>
      <w:lvlJc w:val="left"/>
      <w:pPr>
        <w:tabs>
          <w:tab w:val="num" w:pos="1080"/>
        </w:tabs>
        <w:ind w:left="1080" w:hanging="360"/>
      </w:pPr>
      <w:rPr>
        <w:rFonts w:ascii="Symbol" w:hAnsi="Symbol" w:hint="default"/>
        <w:color w:val="auto"/>
      </w:rPr>
    </w:lvl>
    <w:lvl w:ilvl="1" w:tplc="CD7814BE">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348B03C8"/>
    <w:multiLevelType w:val="hybridMultilevel"/>
    <w:tmpl w:val="97262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6165E1"/>
    <w:multiLevelType w:val="hybridMultilevel"/>
    <w:tmpl w:val="8200D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AC5440"/>
    <w:multiLevelType w:val="hybridMultilevel"/>
    <w:tmpl w:val="DFFE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3D464F3"/>
    <w:multiLevelType w:val="hybridMultilevel"/>
    <w:tmpl w:val="138E9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8B64A8"/>
    <w:multiLevelType w:val="hybridMultilevel"/>
    <w:tmpl w:val="B212F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792524"/>
    <w:multiLevelType w:val="hybridMultilevel"/>
    <w:tmpl w:val="03786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CD4E8E"/>
    <w:multiLevelType w:val="hybridMultilevel"/>
    <w:tmpl w:val="FFA27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150D77"/>
    <w:multiLevelType w:val="hybridMultilevel"/>
    <w:tmpl w:val="253E2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AA5F1D"/>
    <w:multiLevelType w:val="hybridMultilevel"/>
    <w:tmpl w:val="2B303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25">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CD46F7"/>
    <w:multiLevelType w:val="hybridMultilevel"/>
    <w:tmpl w:val="52BAF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58744A"/>
    <w:multiLevelType w:val="hybridMultilevel"/>
    <w:tmpl w:val="29CA9EEA"/>
    <w:lvl w:ilvl="0" w:tplc="EF8EBF1E">
      <w:start w:val="1"/>
      <w:numFmt w:val="bullet"/>
      <w:lvlText w:val="›"/>
      <w:lvlJc w:val="left"/>
      <w:pPr>
        <w:tabs>
          <w:tab w:val="num" w:pos="720"/>
        </w:tabs>
        <w:ind w:left="720" w:hanging="360"/>
      </w:pPr>
      <w:rPr>
        <w:rFonts w:ascii="Arial" w:hAnsi="Arial" w:hint="default"/>
      </w:rPr>
    </w:lvl>
    <w:lvl w:ilvl="1" w:tplc="5E1488D8" w:tentative="1">
      <w:start w:val="1"/>
      <w:numFmt w:val="bullet"/>
      <w:lvlText w:val="›"/>
      <w:lvlJc w:val="left"/>
      <w:pPr>
        <w:tabs>
          <w:tab w:val="num" w:pos="1440"/>
        </w:tabs>
        <w:ind w:left="1440" w:hanging="360"/>
      </w:pPr>
      <w:rPr>
        <w:rFonts w:ascii="Arial" w:hAnsi="Arial" w:hint="default"/>
      </w:rPr>
    </w:lvl>
    <w:lvl w:ilvl="2" w:tplc="68E0CB84" w:tentative="1">
      <w:start w:val="1"/>
      <w:numFmt w:val="bullet"/>
      <w:lvlText w:val="›"/>
      <w:lvlJc w:val="left"/>
      <w:pPr>
        <w:tabs>
          <w:tab w:val="num" w:pos="2160"/>
        </w:tabs>
        <w:ind w:left="2160" w:hanging="360"/>
      </w:pPr>
      <w:rPr>
        <w:rFonts w:ascii="Arial" w:hAnsi="Arial" w:hint="default"/>
      </w:rPr>
    </w:lvl>
    <w:lvl w:ilvl="3" w:tplc="3320D9DE" w:tentative="1">
      <w:start w:val="1"/>
      <w:numFmt w:val="bullet"/>
      <w:lvlText w:val="›"/>
      <w:lvlJc w:val="left"/>
      <w:pPr>
        <w:tabs>
          <w:tab w:val="num" w:pos="2880"/>
        </w:tabs>
        <w:ind w:left="2880" w:hanging="360"/>
      </w:pPr>
      <w:rPr>
        <w:rFonts w:ascii="Arial" w:hAnsi="Arial" w:hint="default"/>
      </w:rPr>
    </w:lvl>
    <w:lvl w:ilvl="4" w:tplc="B5088B98" w:tentative="1">
      <w:start w:val="1"/>
      <w:numFmt w:val="bullet"/>
      <w:lvlText w:val="›"/>
      <w:lvlJc w:val="left"/>
      <w:pPr>
        <w:tabs>
          <w:tab w:val="num" w:pos="3600"/>
        </w:tabs>
        <w:ind w:left="3600" w:hanging="360"/>
      </w:pPr>
      <w:rPr>
        <w:rFonts w:ascii="Arial" w:hAnsi="Arial" w:hint="default"/>
      </w:rPr>
    </w:lvl>
    <w:lvl w:ilvl="5" w:tplc="BEA43FF2" w:tentative="1">
      <w:start w:val="1"/>
      <w:numFmt w:val="bullet"/>
      <w:lvlText w:val="›"/>
      <w:lvlJc w:val="left"/>
      <w:pPr>
        <w:tabs>
          <w:tab w:val="num" w:pos="4320"/>
        </w:tabs>
        <w:ind w:left="4320" w:hanging="360"/>
      </w:pPr>
      <w:rPr>
        <w:rFonts w:ascii="Arial" w:hAnsi="Arial" w:hint="default"/>
      </w:rPr>
    </w:lvl>
    <w:lvl w:ilvl="6" w:tplc="82765608" w:tentative="1">
      <w:start w:val="1"/>
      <w:numFmt w:val="bullet"/>
      <w:lvlText w:val="›"/>
      <w:lvlJc w:val="left"/>
      <w:pPr>
        <w:tabs>
          <w:tab w:val="num" w:pos="5040"/>
        </w:tabs>
        <w:ind w:left="5040" w:hanging="360"/>
      </w:pPr>
      <w:rPr>
        <w:rFonts w:ascii="Arial" w:hAnsi="Arial" w:hint="default"/>
      </w:rPr>
    </w:lvl>
    <w:lvl w:ilvl="7" w:tplc="E4A669D8" w:tentative="1">
      <w:start w:val="1"/>
      <w:numFmt w:val="bullet"/>
      <w:lvlText w:val="›"/>
      <w:lvlJc w:val="left"/>
      <w:pPr>
        <w:tabs>
          <w:tab w:val="num" w:pos="5760"/>
        </w:tabs>
        <w:ind w:left="5760" w:hanging="360"/>
      </w:pPr>
      <w:rPr>
        <w:rFonts w:ascii="Arial" w:hAnsi="Arial" w:hint="default"/>
      </w:rPr>
    </w:lvl>
    <w:lvl w:ilvl="8" w:tplc="E14E05EA" w:tentative="1">
      <w:start w:val="1"/>
      <w:numFmt w:val="bullet"/>
      <w:lvlText w:val="›"/>
      <w:lvlJc w:val="left"/>
      <w:pPr>
        <w:tabs>
          <w:tab w:val="num" w:pos="6480"/>
        </w:tabs>
        <w:ind w:left="6480" w:hanging="360"/>
      </w:pPr>
      <w:rPr>
        <w:rFonts w:ascii="Arial" w:hAnsi="Arial" w:hint="default"/>
      </w:rPr>
    </w:lvl>
  </w:abstractNum>
  <w:abstractNum w:abstractNumId="29">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651DBC"/>
    <w:multiLevelType w:val="hybridMultilevel"/>
    <w:tmpl w:val="D8E8D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76367A6"/>
    <w:multiLevelType w:val="hybridMultilevel"/>
    <w:tmpl w:val="213A2A8C"/>
    <w:lvl w:ilvl="0" w:tplc="8A44F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C957DB"/>
    <w:multiLevelType w:val="hybridMultilevel"/>
    <w:tmpl w:val="99607EC4"/>
    <w:lvl w:ilvl="0" w:tplc="8A44F8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3"/>
  </w:num>
  <w:num w:numId="4">
    <w:abstractNumId w:val="8"/>
  </w:num>
  <w:num w:numId="5">
    <w:abstractNumId w:val="26"/>
  </w:num>
  <w:num w:numId="6">
    <w:abstractNumId w:val="6"/>
  </w:num>
  <w:num w:numId="7">
    <w:abstractNumId w:val="33"/>
  </w:num>
  <w:num w:numId="8">
    <w:abstractNumId w:val="24"/>
  </w:num>
  <w:num w:numId="9">
    <w:abstractNumId w:val="30"/>
  </w:num>
  <w:num w:numId="10">
    <w:abstractNumId w:val="9"/>
  </w:num>
  <w:num w:numId="11">
    <w:abstractNumId w:val="25"/>
  </w:num>
  <w:num w:numId="12">
    <w:abstractNumId w:val="10"/>
  </w:num>
  <w:num w:numId="13">
    <w:abstractNumId w:val="4"/>
  </w:num>
  <w:num w:numId="14">
    <w:abstractNumId w:val="2"/>
  </w:num>
  <w:num w:numId="15">
    <w:abstractNumId w:val="7"/>
  </w:num>
  <w:num w:numId="16">
    <w:abstractNumId w:val="2"/>
  </w:num>
  <w:num w:numId="17">
    <w:abstractNumId w:val="31"/>
  </w:num>
  <w:num w:numId="18">
    <w:abstractNumId w:val="16"/>
  </w:num>
  <w:num w:numId="19">
    <w:abstractNumId w:val="20"/>
  </w:num>
  <w:num w:numId="20">
    <w:abstractNumId w:val="12"/>
  </w:num>
  <w:num w:numId="21">
    <w:abstractNumId w:val="35"/>
  </w:num>
  <w:num w:numId="22">
    <w:abstractNumId w:val="34"/>
  </w:num>
  <w:num w:numId="23">
    <w:abstractNumId w:val="21"/>
  </w:num>
  <w:num w:numId="24">
    <w:abstractNumId w:val="29"/>
  </w:num>
  <w:num w:numId="25">
    <w:abstractNumId w:val="19"/>
  </w:num>
  <w:num w:numId="26">
    <w:abstractNumId w:val="3"/>
  </w:num>
  <w:num w:numId="27">
    <w:abstractNumId w:val="27"/>
  </w:num>
  <w:num w:numId="28">
    <w:abstractNumId w:val="22"/>
  </w:num>
  <w:num w:numId="29">
    <w:abstractNumId w:val="17"/>
  </w:num>
  <w:num w:numId="30">
    <w:abstractNumId w:val="15"/>
  </w:num>
  <w:num w:numId="31">
    <w:abstractNumId w:val="32"/>
  </w:num>
  <w:num w:numId="32">
    <w:abstractNumId w:val="11"/>
  </w:num>
  <w:num w:numId="33">
    <w:abstractNumId w:val="23"/>
  </w:num>
  <w:num w:numId="34">
    <w:abstractNumId w:val="28"/>
  </w:num>
  <w:num w:numId="35">
    <w:abstractNumId w:val="18"/>
  </w:num>
  <w:num w:numId="36">
    <w:abstractNumId w:val="0"/>
  </w:num>
  <w:num w:numId="37">
    <w:abstractNumId w:val="14"/>
  </w:num>
  <w:num w:numId="38">
    <w:abstractNumId w:val="5"/>
  </w:num>
  <w:num w:numId="39">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2BBE"/>
    <w:rsid w:val="00006C28"/>
    <w:rsid w:val="00006F31"/>
    <w:rsid w:val="00010190"/>
    <w:rsid w:val="00012223"/>
    <w:rsid w:val="0001395A"/>
    <w:rsid w:val="00015731"/>
    <w:rsid w:val="000158FA"/>
    <w:rsid w:val="00015C65"/>
    <w:rsid w:val="00017365"/>
    <w:rsid w:val="00021C89"/>
    <w:rsid w:val="00023C54"/>
    <w:rsid w:val="00023CF5"/>
    <w:rsid w:val="000248B1"/>
    <w:rsid w:val="00024DA7"/>
    <w:rsid w:val="00025FD9"/>
    <w:rsid w:val="000323DE"/>
    <w:rsid w:val="00035E6C"/>
    <w:rsid w:val="00036EFD"/>
    <w:rsid w:val="000374CB"/>
    <w:rsid w:val="00037EDB"/>
    <w:rsid w:val="00042674"/>
    <w:rsid w:val="000434E5"/>
    <w:rsid w:val="0004417C"/>
    <w:rsid w:val="00044E96"/>
    <w:rsid w:val="0004502C"/>
    <w:rsid w:val="00045A96"/>
    <w:rsid w:val="000462B9"/>
    <w:rsid w:val="000509AD"/>
    <w:rsid w:val="000513DB"/>
    <w:rsid w:val="00051FFB"/>
    <w:rsid w:val="00052C52"/>
    <w:rsid w:val="000545C6"/>
    <w:rsid w:val="00055357"/>
    <w:rsid w:val="00055B89"/>
    <w:rsid w:val="000575B0"/>
    <w:rsid w:val="00057C01"/>
    <w:rsid w:val="00063371"/>
    <w:rsid w:val="000661EF"/>
    <w:rsid w:val="00066A5A"/>
    <w:rsid w:val="00066C59"/>
    <w:rsid w:val="00070520"/>
    <w:rsid w:val="00070AE9"/>
    <w:rsid w:val="0007460E"/>
    <w:rsid w:val="0007476D"/>
    <w:rsid w:val="00076361"/>
    <w:rsid w:val="000766CC"/>
    <w:rsid w:val="00080E20"/>
    <w:rsid w:val="00082D5A"/>
    <w:rsid w:val="00090129"/>
    <w:rsid w:val="0009036B"/>
    <w:rsid w:val="000916FA"/>
    <w:rsid w:val="0009172B"/>
    <w:rsid w:val="00093DBF"/>
    <w:rsid w:val="000955EF"/>
    <w:rsid w:val="000A0A13"/>
    <w:rsid w:val="000A2F4C"/>
    <w:rsid w:val="000A375A"/>
    <w:rsid w:val="000A3CBB"/>
    <w:rsid w:val="000A6D95"/>
    <w:rsid w:val="000A716A"/>
    <w:rsid w:val="000B1A2C"/>
    <w:rsid w:val="000B3E0F"/>
    <w:rsid w:val="000C017F"/>
    <w:rsid w:val="000C1373"/>
    <w:rsid w:val="000C1A13"/>
    <w:rsid w:val="000C2022"/>
    <w:rsid w:val="000C553D"/>
    <w:rsid w:val="000C61AA"/>
    <w:rsid w:val="000C7D43"/>
    <w:rsid w:val="000D1369"/>
    <w:rsid w:val="000D1E70"/>
    <w:rsid w:val="000D799A"/>
    <w:rsid w:val="000E08C9"/>
    <w:rsid w:val="000F2A38"/>
    <w:rsid w:val="000F2C29"/>
    <w:rsid w:val="000F6096"/>
    <w:rsid w:val="000F7999"/>
    <w:rsid w:val="00100788"/>
    <w:rsid w:val="00102793"/>
    <w:rsid w:val="00106BC2"/>
    <w:rsid w:val="0011354F"/>
    <w:rsid w:val="00114680"/>
    <w:rsid w:val="00120819"/>
    <w:rsid w:val="00121252"/>
    <w:rsid w:val="001219E0"/>
    <w:rsid w:val="00122B17"/>
    <w:rsid w:val="00122E62"/>
    <w:rsid w:val="00132821"/>
    <w:rsid w:val="001352A3"/>
    <w:rsid w:val="001423F6"/>
    <w:rsid w:val="00142F02"/>
    <w:rsid w:val="00143E8C"/>
    <w:rsid w:val="00144E7D"/>
    <w:rsid w:val="00145CB4"/>
    <w:rsid w:val="00145D1F"/>
    <w:rsid w:val="00145E4A"/>
    <w:rsid w:val="00150D13"/>
    <w:rsid w:val="00151103"/>
    <w:rsid w:val="00154016"/>
    <w:rsid w:val="001548FA"/>
    <w:rsid w:val="001551BE"/>
    <w:rsid w:val="00156079"/>
    <w:rsid w:val="001622E7"/>
    <w:rsid w:val="00165095"/>
    <w:rsid w:val="00171752"/>
    <w:rsid w:val="00171C9F"/>
    <w:rsid w:val="00172149"/>
    <w:rsid w:val="00172C95"/>
    <w:rsid w:val="0017317C"/>
    <w:rsid w:val="00176033"/>
    <w:rsid w:val="00176F4D"/>
    <w:rsid w:val="001811DE"/>
    <w:rsid w:val="00181D11"/>
    <w:rsid w:val="00183454"/>
    <w:rsid w:val="001849E3"/>
    <w:rsid w:val="00185F0A"/>
    <w:rsid w:val="00195254"/>
    <w:rsid w:val="00196436"/>
    <w:rsid w:val="001A16DB"/>
    <w:rsid w:val="001A4934"/>
    <w:rsid w:val="001B0678"/>
    <w:rsid w:val="001B1AFF"/>
    <w:rsid w:val="001B243B"/>
    <w:rsid w:val="001B2802"/>
    <w:rsid w:val="001B3E32"/>
    <w:rsid w:val="001B4D6F"/>
    <w:rsid w:val="001C3A4A"/>
    <w:rsid w:val="001C3BE9"/>
    <w:rsid w:val="001C605C"/>
    <w:rsid w:val="001C6C5C"/>
    <w:rsid w:val="001D1488"/>
    <w:rsid w:val="001D1708"/>
    <w:rsid w:val="001D18A2"/>
    <w:rsid w:val="001D2088"/>
    <w:rsid w:val="001D3DA2"/>
    <w:rsid w:val="001D7487"/>
    <w:rsid w:val="001E1D25"/>
    <w:rsid w:val="001E3E04"/>
    <w:rsid w:val="001E412C"/>
    <w:rsid w:val="001E5D99"/>
    <w:rsid w:val="001E5F67"/>
    <w:rsid w:val="001E6CEA"/>
    <w:rsid w:val="001F3FAA"/>
    <w:rsid w:val="001F4C78"/>
    <w:rsid w:val="00204EBB"/>
    <w:rsid w:val="002051BF"/>
    <w:rsid w:val="00205542"/>
    <w:rsid w:val="00206068"/>
    <w:rsid w:val="00207A80"/>
    <w:rsid w:val="00211705"/>
    <w:rsid w:val="00217110"/>
    <w:rsid w:val="00220517"/>
    <w:rsid w:val="00220960"/>
    <w:rsid w:val="00230DB5"/>
    <w:rsid w:val="00233CDA"/>
    <w:rsid w:val="002438B0"/>
    <w:rsid w:val="00243B7F"/>
    <w:rsid w:val="00243D6D"/>
    <w:rsid w:val="00244AF5"/>
    <w:rsid w:val="00246EE2"/>
    <w:rsid w:val="00246F2C"/>
    <w:rsid w:val="0024710A"/>
    <w:rsid w:val="00247262"/>
    <w:rsid w:val="002475FD"/>
    <w:rsid w:val="002536F6"/>
    <w:rsid w:val="00254F3E"/>
    <w:rsid w:val="00255D31"/>
    <w:rsid w:val="0026164E"/>
    <w:rsid w:val="00261F15"/>
    <w:rsid w:val="00262477"/>
    <w:rsid w:val="00263A41"/>
    <w:rsid w:val="00267263"/>
    <w:rsid w:val="00271199"/>
    <w:rsid w:val="002724AE"/>
    <w:rsid w:val="00273B32"/>
    <w:rsid w:val="002763B9"/>
    <w:rsid w:val="00280F46"/>
    <w:rsid w:val="002873AE"/>
    <w:rsid w:val="002902F8"/>
    <w:rsid w:val="00291178"/>
    <w:rsid w:val="00292344"/>
    <w:rsid w:val="002972C9"/>
    <w:rsid w:val="002976C7"/>
    <w:rsid w:val="002A11BF"/>
    <w:rsid w:val="002A25D1"/>
    <w:rsid w:val="002A276D"/>
    <w:rsid w:val="002A2990"/>
    <w:rsid w:val="002A3E1F"/>
    <w:rsid w:val="002A4A3D"/>
    <w:rsid w:val="002A5561"/>
    <w:rsid w:val="002A5C38"/>
    <w:rsid w:val="002A7E37"/>
    <w:rsid w:val="002B19A1"/>
    <w:rsid w:val="002B270D"/>
    <w:rsid w:val="002B54F0"/>
    <w:rsid w:val="002B565F"/>
    <w:rsid w:val="002B5740"/>
    <w:rsid w:val="002C0275"/>
    <w:rsid w:val="002C1086"/>
    <w:rsid w:val="002C1ECB"/>
    <w:rsid w:val="002C2709"/>
    <w:rsid w:val="002D2663"/>
    <w:rsid w:val="002D5A86"/>
    <w:rsid w:val="002E0B95"/>
    <w:rsid w:val="002E10FF"/>
    <w:rsid w:val="002E4309"/>
    <w:rsid w:val="002E5646"/>
    <w:rsid w:val="002E5EE6"/>
    <w:rsid w:val="002E621C"/>
    <w:rsid w:val="002E7422"/>
    <w:rsid w:val="002F0487"/>
    <w:rsid w:val="002F1D4B"/>
    <w:rsid w:val="002F5212"/>
    <w:rsid w:val="002F6F3E"/>
    <w:rsid w:val="002F7180"/>
    <w:rsid w:val="002F7888"/>
    <w:rsid w:val="00300303"/>
    <w:rsid w:val="00300365"/>
    <w:rsid w:val="003018A7"/>
    <w:rsid w:val="00306C11"/>
    <w:rsid w:val="00312F31"/>
    <w:rsid w:val="00314E22"/>
    <w:rsid w:val="003163C9"/>
    <w:rsid w:val="00327856"/>
    <w:rsid w:val="003303A5"/>
    <w:rsid w:val="003304C9"/>
    <w:rsid w:val="00334E15"/>
    <w:rsid w:val="003379E0"/>
    <w:rsid w:val="00342DBD"/>
    <w:rsid w:val="00343D1D"/>
    <w:rsid w:val="0034717F"/>
    <w:rsid w:val="00351633"/>
    <w:rsid w:val="003516E0"/>
    <w:rsid w:val="00353292"/>
    <w:rsid w:val="003538F3"/>
    <w:rsid w:val="00362654"/>
    <w:rsid w:val="003661CA"/>
    <w:rsid w:val="003679F1"/>
    <w:rsid w:val="0037105A"/>
    <w:rsid w:val="00371529"/>
    <w:rsid w:val="00376018"/>
    <w:rsid w:val="00382360"/>
    <w:rsid w:val="00386414"/>
    <w:rsid w:val="0039469C"/>
    <w:rsid w:val="003954F9"/>
    <w:rsid w:val="003A0C6E"/>
    <w:rsid w:val="003A150D"/>
    <w:rsid w:val="003A3390"/>
    <w:rsid w:val="003A4CF0"/>
    <w:rsid w:val="003A6663"/>
    <w:rsid w:val="003A740A"/>
    <w:rsid w:val="003B1067"/>
    <w:rsid w:val="003B12BE"/>
    <w:rsid w:val="003B26B3"/>
    <w:rsid w:val="003B3042"/>
    <w:rsid w:val="003B3DBC"/>
    <w:rsid w:val="003B5FD2"/>
    <w:rsid w:val="003C0B95"/>
    <w:rsid w:val="003C1499"/>
    <w:rsid w:val="003C72D5"/>
    <w:rsid w:val="003D0546"/>
    <w:rsid w:val="003D1A79"/>
    <w:rsid w:val="003D1D6C"/>
    <w:rsid w:val="003D2A44"/>
    <w:rsid w:val="003D5818"/>
    <w:rsid w:val="003D66C5"/>
    <w:rsid w:val="003E18BC"/>
    <w:rsid w:val="003E2444"/>
    <w:rsid w:val="003E2608"/>
    <w:rsid w:val="003E2C6C"/>
    <w:rsid w:val="003E3822"/>
    <w:rsid w:val="003E3994"/>
    <w:rsid w:val="003E674A"/>
    <w:rsid w:val="003E6AE4"/>
    <w:rsid w:val="003E78A4"/>
    <w:rsid w:val="003E7A42"/>
    <w:rsid w:val="003E7FA9"/>
    <w:rsid w:val="003F0362"/>
    <w:rsid w:val="003F0B7A"/>
    <w:rsid w:val="003F1250"/>
    <w:rsid w:val="003F15C9"/>
    <w:rsid w:val="003F1959"/>
    <w:rsid w:val="003F25CA"/>
    <w:rsid w:val="003F5352"/>
    <w:rsid w:val="003F5886"/>
    <w:rsid w:val="003F6284"/>
    <w:rsid w:val="003F6DC1"/>
    <w:rsid w:val="00401A72"/>
    <w:rsid w:val="00403322"/>
    <w:rsid w:val="00403A8E"/>
    <w:rsid w:val="00405A7C"/>
    <w:rsid w:val="00411A31"/>
    <w:rsid w:val="004123B1"/>
    <w:rsid w:val="00413BB1"/>
    <w:rsid w:val="00415D57"/>
    <w:rsid w:val="00420ADA"/>
    <w:rsid w:val="0042188B"/>
    <w:rsid w:val="00421B71"/>
    <w:rsid w:val="004222C6"/>
    <w:rsid w:val="004234E1"/>
    <w:rsid w:val="00432D5E"/>
    <w:rsid w:val="004330E9"/>
    <w:rsid w:val="004363BA"/>
    <w:rsid w:val="004366BC"/>
    <w:rsid w:val="00436735"/>
    <w:rsid w:val="0044293A"/>
    <w:rsid w:val="004440D5"/>
    <w:rsid w:val="00450D1B"/>
    <w:rsid w:val="0045271A"/>
    <w:rsid w:val="00454194"/>
    <w:rsid w:val="00454D0A"/>
    <w:rsid w:val="00457AEE"/>
    <w:rsid w:val="00461BC3"/>
    <w:rsid w:val="00464E47"/>
    <w:rsid w:val="004666E3"/>
    <w:rsid w:val="00470832"/>
    <w:rsid w:val="00472F28"/>
    <w:rsid w:val="0047627B"/>
    <w:rsid w:val="0047671A"/>
    <w:rsid w:val="00491FE8"/>
    <w:rsid w:val="00493BCC"/>
    <w:rsid w:val="00493E02"/>
    <w:rsid w:val="00493EF6"/>
    <w:rsid w:val="00495E43"/>
    <w:rsid w:val="00497C79"/>
    <w:rsid w:val="004A29A4"/>
    <w:rsid w:val="004A37E7"/>
    <w:rsid w:val="004A3C88"/>
    <w:rsid w:val="004A458C"/>
    <w:rsid w:val="004B178F"/>
    <w:rsid w:val="004B2B12"/>
    <w:rsid w:val="004B2C22"/>
    <w:rsid w:val="004B2C34"/>
    <w:rsid w:val="004B68DC"/>
    <w:rsid w:val="004C191C"/>
    <w:rsid w:val="004C3C4C"/>
    <w:rsid w:val="004C5334"/>
    <w:rsid w:val="004C7B4E"/>
    <w:rsid w:val="004D1500"/>
    <w:rsid w:val="004D24E3"/>
    <w:rsid w:val="004D2AA8"/>
    <w:rsid w:val="004D3107"/>
    <w:rsid w:val="004D37F7"/>
    <w:rsid w:val="004E0394"/>
    <w:rsid w:val="004F03E9"/>
    <w:rsid w:val="004F101B"/>
    <w:rsid w:val="004F1226"/>
    <w:rsid w:val="004F2B4F"/>
    <w:rsid w:val="004F4E04"/>
    <w:rsid w:val="004F6284"/>
    <w:rsid w:val="005024EA"/>
    <w:rsid w:val="005043CF"/>
    <w:rsid w:val="0050491E"/>
    <w:rsid w:val="0050603A"/>
    <w:rsid w:val="00510BEB"/>
    <w:rsid w:val="00512450"/>
    <w:rsid w:val="0051313F"/>
    <w:rsid w:val="005132BF"/>
    <w:rsid w:val="0051694C"/>
    <w:rsid w:val="005209E0"/>
    <w:rsid w:val="0052162B"/>
    <w:rsid w:val="00524832"/>
    <w:rsid w:val="0052793E"/>
    <w:rsid w:val="005348AA"/>
    <w:rsid w:val="0053717E"/>
    <w:rsid w:val="00537727"/>
    <w:rsid w:val="005379FE"/>
    <w:rsid w:val="00541C56"/>
    <w:rsid w:val="00541D0A"/>
    <w:rsid w:val="005440D2"/>
    <w:rsid w:val="00544D3C"/>
    <w:rsid w:val="00547578"/>
    <w:rsid w:val="00550D3B"/>
    <w:rsid w:val="005510E4"/>
    <w:rsid w:val="0056116A"/>
    <w:rsid w:val="005620C5"/>
    <w:rsid w:val="00563939"/>
    <w:rsid w:val="0057203A"/>
    <w:rsid w:val="005723AB"/>
    <w:rsid w:val="0057268E"/>
    <w:rsid w:val="0057376C"/>
    <w:rsid w:val="00573D17"/>
    <w:rsid w:val="00574CE5"/>
    <w:rsid w:val="00577988"/>
    <w:rsid w:val="0058097B"/>
    <w:rsid w:val="0058129C"/>
    <w:rsid w:val="005834E1"/>
    <w:rsid w:val="00584351"/>
    <w:rsid w:val="00584828"/>
    <w:rsid w:val="00584D0F"/>
    <w:rsid w:val="005854D3"/>
    <w:rsid w:val="0059079F"/>
    <w:rsid w:val="00591EC0"/>
    <w:rsid w:val="0059498A"/>
    <w:rsid w:val="00596CE3"/>
    <w:rsid w:val="005A1B3C"/>
    <w:rsid w:val="005A2B54"/>
    <w:rsid w:val="005A6DD3"/>
    <w:rsid w:val="005A7521"/>
    <w:rsid w:val="005B128C"/>
    <w:rsid w:val="005B1A07"/>
    <w:rsid w:val="005B2933"/>
    <w:rsid w:val="005B30DC"/>
    <w:rsid w:val="005B31A3"/>
    <w:rsid w:val="005B71E6"/>
    <w:rsid w:val="005C1E47"/>
    <w:rsid w:val="005C4EB4"/>
    <w:rsid w:val="005C59F5"/>
    <w:rsid w:val="005C6244"/>
    <w:rsid w:val="005D327D"/>
    <w:rsid w:val="005D341B"/>
    <w:rsid w:val="005D5E82"/>
    <w:rsid w:val="005D6ACE"/>
    <w:rsid w:val="005D77D6"/>
    <w:rsid w:val="005D7ED8"/>
    <w:rsid w:val="005E1B83"/>
    <w:rsid w:val="005E4540"/>
    <w:rsid w:val="005E4AFC"/>
    <w:rsid w:val="005E63A5"/>
    <w:rsid w:val="005E66DC"/>
    <w:rsid w:val="005E755F"/>
    <w:rsid w:val="005E7623"/>
    <w:rsid w:val="005E7E94"/>
    <w:rsid w:val="005F0256"/>
    <w:rsid w:val="005F06BF"/>
    <w:rsid w:val="005F1028"/>
    <w:rsid w:val="005F10F0"/>
    <w:rsid w:val="005F1159"/>
    <w:rsid w:val="005F366A"/>
    <w:rsid w:val="005F4B92"/>
    <w:rsid w:val="005F69D4"/>
    <w:rsid w:val="005F6ABD"/>
    <w:rsid w:val="005F6C35"/>
    <w:rsid w:val="005F736C"/>
    <w:rsid w:val="006011FA"/>
    <w:rsid w:val="006076BA"/>
    <w:rsid w:val="00610E45"/>
    <w:rsid w:val="00612CCC"/>
    <w:rsid w:val="00614405"/>
    <w:rsid w:val="00614DF9"/>
    <w:rsid w:val="0062343F"/>
    <w:rsid w:val="006245EE"/>
    <w:rsid w:val="0062526A"/>
    <w:rsid w:val="00631569"/>
    <w:rsid w:val="00631F6D"/>
    <w:rsid w:val="006324FD"/>
    <w:rsid w:val="00632AA0"/>
    <w:rsid w:val="006336CA"/>
    <w:rsid w:val="00637CE4"/>
    <w:rsid w:val="00637FBE"/>
    <w:rsid w:val="0064138E"/>
    <w:rsid w:val="00642A91"/>
    <w:rsid w:val="0064335A"/>
    <w:rsid w:val="00645491"/>
    <w:rsid w:val="00647D52"/>
    <w:rsid w:val="00652A89"/>
    <w:rsid w:val="00656BEC"/>
    <w:rsid w:val="00657A20"/>
    <w:rsid w:val="00657EDB"/>
    <w:rsid w:val="0066038E"/>
    <w:rsid w:val="006626B1"/>
    <w:rsid w:val="006635EE"/>
    <w:rsid w:val="006668FB"/>
    <w:rsid w:val="0067004F"/>
    <w:rsid w:val="006759D4"/>
    <w:rsid w:val="006769AF"/>
    <w:rsid w:val="00677EEA"/>
    <w:rsid w:val="00681011"/>
    <w:rsid w:val="00683238"/>
    <w:rsid w:val="00683798"/>
    <w:rsid w:val="00684536"/>
    <w:rsid w:val="006857BF"/>
    <w:rsid w:val="00685DE3"/>
    <w:rsid w:val="00690C6C"/>
    <w:rsid w:val="00690E3C"/>
    <w:rsid w:val="00692E19"/>
    <w:rsid w:val="00697F9D"/>
    <w:rsid w:val="006A1698"/>
    <w:rsid w:val="006A1B35"/>
    <w:rsid w:val="006A356A"/>
    <w:rsid w:val="006A3911"/>
    <w:rsid w:val="006A4162"/>
    <w:rsid w:val="006A7283"/>
    <w:rsid w:val="006A7F14"/>
    <w:rsid w:val="006B09AD"/>
    <w:rsid w:val="006B1671"/>
    <w:rsid w:val="006B2F1F"/>
    <w:rsid w:val="006B6F07"/>
    <w:rsid w:val="006B7BBC"/>
    <w:rsid w:val="006C0EED"/>
    <w:rsid w:val="006C10FC"/>
    <w:rsid w:val="006C4334"/>
    <w:rsid w:val="006C4557"/>
    <w:rsid w:val="006C6C6E"/>
    <w:rsid w:val="006D2FCB"/>
    <w:rsid w:val="006D344C"/>
    <w:rsid w:val="006D356B"/>
    <w:rsid w:val="006D48A6"/>
    <w:rsid w:val="006D5BE2"/>
    <w:rsid w:val="006D7142"/>
    <w:rsid w:val="006E34FB"/>
    <w:rsid w:val="006E491B"/>
    <w:rsid w:val="006E7199"/>
    <w:rsid w:val="006E7272"/>
    <w:rsid w:val="0070165B"/>
    <w:rsid w:val="00702B09"/>
    <w:rsid w:val="00702E77"/>
    <w:rsid w:val="007072A1"/>
    <w:rsid w:val="00710D00"/>
    <w:rsid w:val="007118A4"/>
    <w:rsid w:val="00715E98"/>
    <w:rsid w:val="007206B3"/>
    <w:rsid w:val="007227BD"/>
    <w:rsid w:val="00722D67"/>
    <w:rsid w:val="00731AAE"/>
    <w:rsid w:val="00731E26"/>
    <w:rsid w:val="0073395C"/>
    <w:rsid w:val="00733B14"/>
    <w:rsid w:val="007347F0"/>
    <w:rsid w:val="00734D57"/>
    <w:rsid w:val="0073537C"/>
    <w:rsid w:val="00736A5B"/>
    <w:rsid w:val="007378D4"/>
    <w:rsid w:val="00737BC2"/>
    <w:rsid w:val="00741B81"/>
    <w:rsid w:val="00741DD8"/>
    <w:rsid w:val="00741E8F"/>
    <w:rsid w:val="007468B1"/>
    <w:rsid w:val="0076135D"/>
    <w:rsid w:val="007622B7"/>
    <w:rsid w:val="007641DB"/>
    <w:rsid w:val="00764BF9"/>
    <w:rsid w:val="00764E6B"/>
    <w:rsid w:val="00767599"/>
    <w:rsid w:val="00771213"/>
    <w:rsid w:val="007712BB"/>
    <w:rsid w:val="00773161"/>
    <w:rsid w:val="00774D67"/>
    <w:rsid w:val="007754C7"/>
    <w:rsid w:val="007755B8"/>
    <w:rsid w:val="007769C4"/>
    <w:rsid w:val="00777FDC"/>
    <w:rsid w:val="00783C53"/>
    <w:rsid w:val="00785AB3"/>
    <w:rsid w:val="00785C78"/>
    <w:rsid w:val="0078702F"/>
    <w:rsid w:val="00790BBC"/>
    <w:rsid w:val="00791076"/>
    <w:rsid w:val="0079186C"/>
    <w:rsid w:val="00796302"/>
    <w:rsid w:val="007A08C7"/>
    <w:rsid w:val="007A15A1"/>
    <w:rsid w:val="007A68C7"/>
    <w:rsid w:val="007B0F8F"/>
    <w:rsid w:val="007B1235"/>
    <w:rsid w:val="007B2611"/>
    <w:rsid w:val="007B3A8A"/>
    <w:rsid w:val="007C241D"/>
    <w:rsid w:val="007C671F"/>
    <w:rsid w:val="007C739B"/>
    <w:rsid w:val="007D3E6E"/>
    <w:rsid w:val="007E1855"/>
    <w:rsid w:val="007E1F3D"/>
    <w:rsid w:val="007E31E2"/>
    <w:rsid w:val="007E7289"/>
    <w:rsid w:val="007F15BF"/>
    <w:rsid w:val="007F1CC1"/>
    <w:rsid w:val="007F2DC4"/>
    <w:rsid w:val="007F50A4"/>
    <w:rsid w:val="007F748F"/>
    <w:rsid w:val="007F755B"/>
    <w:rsid w:val="00802F3A"/>
    <w:rsid w:val="008058AD"/>
    <w:rsid w:val="0080596A"/>
    <w:rsid w:val="00805985"/>
    <w:rsid w:val="00806190"/>
    <w:rsid w:val="00806C18"/>
    <w:rsid w:val="00811A47"/>
    <w:rsid w:val="00815DFF"/>
    <w:rsid w:val="0081625A"/>
    <w:rsid w:val="00816725"/>
    <w:rsid w:val="008201B4"/>
    <w:rsid w:val="0082021F"/>
    <w:rsid w:val="008216BE"/>
    <w:rsid w:val="00822912"/>
    <w:rsid w:val="008244BC"/>
    <w:rsid w:val="00825897"/>
    <w:rsid w:val="008264B1"/>
    <w:rsid w:val="00826C78"/>
    <w:rsid w:val="0082726C"/>
    <w:rsid w:val="008336A1"/>
    <w:rsid w:val="008339C0"/>
    <w:rsid w:val="00835C36"/>
    <w:rsid w:val="008362F8"/>
    <w:rsid w:val="0084117B"/>
    <w:rsid w:val="0084628A"/>
    <w:rsid w:val="008465E4"/>
    <w:rsid w:val="00850B58"/>
    <w:rsid w:val="0085122B"/>
    <w:rsid w:val="00851306"/>
    <w:rsid w:val="00855039"/>
    <w:rsid w:val="008550B2"/>
    <w:rsid w:val="0085627F"/>
    <w:rsid w:val="00860724"/>
    <w:rsid w:val="00860CB9"/>
    <w:rsid w:val="0086135D"/>
    <w:rsid w:val="00862F4B"/>
    <w:rsid w:val="00865064"/>
    <w:rsid w:val="00871068"/>
    <w:rsid w:val="0087250A"/>
    <w:rsid w:val="008725B4"/>
    <w:rsid w:val="00874B0F"/>
    <w:rsid w:val="00876D38"/>
    <w:rsid w:val="00881396"/>
    <w:rsid w:val="00882F81"/>
    <w:rsid w:val="00884662"/>
    <w:rsid w:val="0088475D"/>
    <w:rsid w:val="00884A37"/>
    <w:rsid w:val="00885257"/>
    <w:rsid w:val="00885740"/>
    <w:rsid w:val="00886CEC"/>
    <w:rsid w:val="00886D42"/>
    <w:rsid w:val="00887955"/>
    <w:rsid w:val="008907C6"/>
    <w:rsid w:val="008931B3"/>
    <w:rsid w:val="00896C35"/>
    <w:rsid w:val="008A3508"/>
    <w:rsid w:val="008A529E"/>
    <w:rsid w:val="008B2053"/>
    <w:rsid w:val="008B371B"/>
    <w:rsid w:val="008B7A21"/>
    <w:rsid w:val="008C3936"/>
    <w:rsid w:val="008D1A69"/>
    <w:rsid w:val="008D2B4E"/>
    <w:rsid w:val="008D4155"/>
    <w:rsid w:val="008E00FE"/>
    <w:rsid w:val="008E225D"/>
    <w:rsid w:val="008E30C4"/>
    <w:rsid w:val="008E4F69"/>
    <w:rsid w:val="008E67E0"/>
    <w:rsid w:val="008E7D5C"/>
    <w:rsid w:val="008F0545"/>
    <w:rsid w:val="008F43C3"/>
    <w:rsid w:val="008F52B5"/>
    <w:rsid w:val="008F713F"/>
    <w:rsid w:val="009031F8"/>
    <w:rsid w:val="009112B3"/>
    <w:rsid w:val="00914A33"/>
    <w:rsid w:val="00917B4C"/>
    <w:rsid w:val="00920753"/>
    <w:rsid w:val="0092115B"/>
    <w:rsid w:val="009219D9"/>
    <w:rsid w:val="009222F7"/>
    <w:rsid w:val="00922393"/>
    <w:rsid w:val="009307A6"/>
    <w:rsid w:val="00935300"/>
    <w:rsid w:val="0094016B"/>
    <w:rsid w:val="00941B6B"/>
    <w:rsid w:val="00941EC9"/>
    <w:rsid w:val="00942467"/>
    <w:rsid w:val="00942A6E"/>
    <w:rsid w:val="0094625E"/>
    <w:rsid w:val="0094722A"/>
    <w:rsid w:val="009501C2"/>
    <w:rsid w:val="00951588"/>
    <w:rsid w:val="0095266D"/>
    <w:rsid w:val="0095279F"/>
    <w:rsid w:val="0095560D"/>
    <w:rsid w:val="00962C5E"/>
    <w:rsid w:val="0096568B"/>
    <w:rsid w:val="0097066C"/>
    <w:rsid w:val="009718CD"/>
    <w:rsid w:val="009719E8"/>
    <w:rsid w:val="00973821"/>
    <w:rsid w:val="00981094"/>
    <w:rsid w:val="00981656"/>
    <w:rsid w:val="00981C03"/>
    <w:rsid w:val="00982B40"/>
    <w:rsid w:val="00983D96"/>
    <w:rsid w:val="00984E6A"/>
    <w:rsid w:val="009858EF"/>
    <w:rsid w:val="00986376"/>
    <w:rsid w:val="00986A7F"/>
    <w:rsid w:val="009879A4"/>
    <w:rsid w:val="00987C14"/>
    <w:rsid w:val="00987DA8"/>
    <w:rsid w:val="009902E0"/>
    <w:rsid w:val="00990DB2"/>
    <w:rsid w:val="00991E60"/>
    <w:rsid w:val="009948BA"/>
    <w:rsid w:val="009A076F"/>
    <w:rsid w:val="009A6D72"/>
    <w:rsid w:val="009A7D0C"/>
    <w:rsid w:val="009B1CF8"/>
    <w:rsid w:val="009B1D8F"/>
    <w:rsid w:val="009B4D08"/>
    <w:rsid w:val="009B5ADE"/>
    <w:rsid w:val="009C39C4"/>
    <w:rsid w:val="009C514D"/>
    <w:rsid w:val="009D5F5C"/>
    <w:rsid w:val="009E1318"/>
    <w:rsid w:val="009E3784"/>
    <w:rsid w:val="009E3C59"/>
    <w:rsid w:val="009E4053"/>
    <w:rsid w:val="009E431E"/>
    <w:rsid w:val="009E5676"/>
    <w:rsid w:val="009E76AA"/>
    <w:rsid w:val="009E7CE9"/>
    <w:rsid w:val="009F2E8A"/>
    <w:rsid w:val="009F58B1"/>
    <w:rsid w:val="009F594C"/>
    <w:rsid w:val="00A0104A"/>
    <w:rsid w:val="00A030BC"/>
    <w:rsid w:val="00A032AF"/>
    <w:rsid w:val="00A03AA7"/>
    <w:rsid w:val="00A0509E"/>
    <w:rsid w:val="00A05360"/>
    <w:rsid w:val="00A05D90"/>
    <w:rsid w:val="00A05E19"/>
    <w:rsid w:val="00A06F1F"/>
    <w:rsid w:val="00A11022"/>
    <w:rsid w:val="00A11D4D"/>
    <w:rsid w:val="00A12573"/>
    <w:rsid w:val="00A13165"/>
    <w:rsid w:val="00A1419D"/>
    <w:rsid w:val="00A16C20"/>
    <w:rsid w:val="00A17E8E"/>
    <w:rsid w:val="00A25822"/>
    <w:rsid w:val="00A25907"/>
    <w:rsid w:val="00A26480"/>
    <w:rsid w:val="00A27BCD"/>
    <w:rsid w:val="00A32B50"/>
    <w:rsid w:val="00A41FE4"/>
    <w:rsid w:val="00A433A5"/>
    <w:rsid w:val="00A44420"/>
    <w:rsid w:val="00A45250"/>
    <w:rsid w:val="00A4748B"/>
    <w:rsid w:val="00A50B27"/>
    <w:rsid w:val="00A52252"/>
    <w:rsid w:val="00A55D34"/>
    <w:rsid w:val="00A6307E"/>
    <w:rsid w:val="00A644C1"/>
    <w:rsid w:val="00A64AA3"/>
    <w:rsid w:val="00A64D22"/>
    <w:rsid w:val="00A66BD0"/>
    <w:rsid w:val="00A6754E"/>
    <w:rsid w:val="00A70AEB"/>
    <w:rsid w:val="00A72ABA"/>
    <w:rsid w:val="00A7397A"/>
    <w:rsid w:val="00A742FA"/>
    <w:rsid w:val="00A76A5C"/>
    <w:rsid w:val="00A76C99"/>
    <w:rsid w:val="00A81A0C"/>
    <w:rsid w:val="00A82094"/>
    <w:rsid w:val="00A82BAF"/>
    <w:rsid w:val="00A82C6E"/>
    <w:rsid w:val="00A87C1E"/>
    <w:rsid w:val="00A90052"/>
    <w:rsid w:val="00A932DC"/>
    <w:rsid w:val="00A93602"/>
    <w:rsid w:val="00AA1E05"/>
    <w:rsid w:val="00AA2822"/>
    <w:rsid w:val="00AA3CEB"/>
    <w:rsid w:val="00AA63DC"/>
    <w:rsid w:val="00AA70DE"/>
    <w:rsid w:val="00AB2267"/>
    <w:rsid w:val="00AB6C40"/>
    <w:rsid w:val="00AB6F6C"/>
    <w:rsid w:val="00AC0650"/>
    <w:rsid w:val="00AC08C1"/>
    <w:rsid w:val="00AC4075"/>
    <w:rsid w:val="00AC513E"/>
    <w:rsid w:val="00AC56A1"/>
    <w:rsid w:val="00AD07EB"/>
    <w:rsid w:val="00AD23CE"/>
    <w:rsid w:val="00AD5D7E"/>
    <w:rsid w:val="00AD6BEE"/>
    <w:rsid w:val="00AE0BC0"/>
    <w:rsid w:val="00AE1191"/>
    <w:rsid w:val="00AE1AD3"/>
    <w:rsid w:val="00AE6155"/>
    <w:rsid w:val="00AF18BC"/>
    <w:rsid w:val="00AF51F4"/>
    <w:rsid w:val="00B013A9"/>
    <w:rsid w:val="00B031CB"/>
    <w:rsid w:val="00B03371"/>
    <w:rsid w:val="00B0596D"/>
    <w:rsid w:val="00B100FF"/>
    <w:rsid w:val="00B13991"/>
    <w:rsid w:val="00B1589C"/>
    <w:rsid w:val="00B15EA7"/>
    <w:rsid w:val="00B224A2"/>
    <w:rsid w:val="00B2252B"/>
    <w:rsid w:val="00B23615"/>
    <w:rsid w:val="00B23D20"/>
    <w:rsid w:val="00B250E2"/>
    <w:rsid w:val="00B251C0"/>
    <w:rsid w:val="00B302C2"/>
    <w:rsid w:val="00B31017"/>
    <w:rsid w:val="00B32ACB"/>
    <w:rsid w:val="00B351AE"/>
    <w:rsid w:val="00B361F5"/>
    <w:rsid w:val="00B37468"/>
    <w:rsid w:val="00B40AC3"/>
    <w:rsid w:val="00B43560"/>
    <w:rsid w:val="00B44038"/>
    <w:rsid w:val="00B46811"/>
    <w:rsid w:val="00B46A1C"/>
    <w:rsid w:val="00B50B10"/>
    <w:rsid w:val="00B535B7"/>
    <w:rsid w:val="00B57CAE"/>
    <w:rsid w:val="00B57E64"/>
    <w:rsid w:val="00B608EB"/>
    <w:rsid w:val="00B6241B"/>
    <w:rsid w:val="00B658F9"/>
    <w:rsid w:val="00B67E6C"/>
    <w:rsid w:val="00B700AB"/>
    <w:rsid w:val="00B71FD6"/>
    <w:rsid w:val="00B72634"/>
    <w:rsid w:val="00B740AB"/>
    <w:rsid w:val="00B77AD4"/>
    <w:rsid w:val="00B77C50"/>
    <w:rsid w:val="00B84582"/>
    <w:rsid w:val="00B863BF"/>
    <w:rsid w:val="00B904CA"/>
    <w:rsid w:val="00B9084F"/>
    <w:rsid w:val="00B91B14"/>
    <w:rsid w:val="00B91FCE"/>
    <w:rsid w:val="00B92956"/>
    <w:rsid w:val="00B92AA2"/>
    <w:rsid w:val="00B93AFD"/>
    <w:rsid w:val="00B93B6C"/>
    <w:rsid w:val="00B943A3"/>
    <w:rsid w:val="00BA05A9"/>
    <w:rsid w:val="00BA13CB"/>
    <w:rsid w:val="00BA40E5"/>
    <w:rsid w:val="00BA4172"/>
    <w:rsid w:val="00BA4785"/>
    <w:rsid w:val="00BA64E8"/>
    <w:rsid w:val="00BB3DFD"/>
    <w:rsid w:val="00BB7F3A"/>
    <w:rsid w:val="00BC1EAC"/>
    <w:rsid w:val="00BC43AC"/>
    <w:rsid w:val="00BD1DD3"/>
    <w:rsid w:val="00BD4545"/>
    <w:rsid w:val="00BD549A"/>
    <w:rsid w:val="00BD5705"/>
    <w:rsid w:val="00BD5A37"/>
    <w:rsid w:val="00BD7B3A"/>
    <w:rsid w:val="00BE0510"/>
    <w:rsid w:val="00BE1F19"/>
    <w:rsid w:val="00BE298B"/>
    <w:rsid w:val="00BE4D5A"/>
    <w:rsid w:val="00BE4E5A"/>
    <w:rsid w:val="00BE7608"/>
    <w:rsid w:val="00BE7D9B"/>
    <w:rsid w:val="00BF0289"/>
    <w:rsid w:val="00BF4E20"/>
    <w:rsid w:val="00BF4F67"/>
    <w:rsid w:val="00BF5DB0"/>
    <w:rsid w:val="00C02E55"/>
    <w:rsid w:val="00C032D2"/>
    <w:rsid w:val="00C04481"/>
    <w:rsid w:val="00C0777F"/>
    <w:rsid w:val="00C10227"/>
    <w:rsid w:val="00C11E5B"/>
    <w:rsid w:val="00C130F9"/>
    <w:rsid w:val="00C17ABB"/>
    <w:rsid w:val="00C205F2"/>
    <w:rsid w:val="00C21DAD"/>
    <w:rsid w:val="00C22625"/>
    <w:rsid w:val="00C23006"/>
    <w:rsid w:val="00C23A01"/>
    <w:rsid w:val="00C249D0"/>
    <w:rsid w:val="00C257EA"/>
    <w:rsid w:val="00C3016D"/>
    <w:rsid w:val="00C30E4A"/>
    <w:rsid w:val="00C325BA"/>
    <w:rsid w:val="00C3311C"/>
    <w:rsid w:val="00C37799"/>
    <w:rsid w:val="00C430F7"/>
    <w:rsid w:val="00C43A5C"/>
    <w:rsid w:val="00C45E74"/>
    <w:rsid w:val="00C46BD0"/>
    <w:rsid w:val="00C52450"/>
    <w:rsid w:val="00C5492C"/>
    <w:rsid w:val="00C54FEF"/>
    <w:rsid w:val="00C560D3"/>
    <w:rsid w:val="00C62312"/>
    <w:rsid w:val="00C62619"/>
    <w:rsid w:val="00C62EF3"/>
    <w:rsid w:val="00C640D3"/>
    <w:rsid w:val="00C64D01"/>
    <w:rsid w:val="00C66278"/>
    <w:rsid w:val="00C80673"/>
    <w:rsid w:val="00C81FEF"/>
    <w:rsid w:val="00C83CEF"/>
    <w:rsid w:val="00C9378E"/>
    <w:rsid w:val="00C93ECC"/>
    <w:rsid w:val="00C97378"/>
    <w:rsid w:val="00CA01D2"/>
    <w:rsid w:val="00CA1420"/>
    <w:rsid w:val="00CA3E6B"/>
    <w:rsid w:val="00CA40CF"/>
    <w:rsid w:val="00CA5F0B"/>
    <w:rsid w:val="00CA6416"/>
    <w:rsid w:val="00CB23D1"/>
    <w:rsid w:val="00CB2748"/>
    <w:rsid w:val="00CB7119"/>
    <w:rsid w:val="00CB7D6D"/>
    <w:rsid w:val="00CC02D4"/>
    <w:rsid w:val="00CC02F3"/>
    <w:rsid w:val="00CC12A2"/>
    <w:rsid w:val="00CC2368"/>
    <w:rsid w:val="00CC7000"/>
    <w:rsid w:val="00CD2D71"/>
    <w:rsid w:val="00CD4627"/>
    <w:rsid w:val="00CD50CA"/>
    <w:rsid w:val="00CD77FE"/>
    <w:rsid w:val="00CE0054"/>
    <w:rsid w:val="00CE0684"/>
    <w:rsid w:val="00CE13E3"/>
    <w:rsid w:val="00CE27B0"/>
    <w:rsid w:val="00CE3791"/>
    <w:rsid w:val="00CE5698"/>
    <w:rsid w:val="00CF081F"/>
    <w:rsid w:val="00CF1F88"/>
    <w:rsid w:val="00CF3F35"/>
    <w:rsid w:val="00CF49AA"/>
    <w:rsid w:val="00CF530A"/>
    <w:rsid w:val="00CF7246"/>
    <w:rsid w:val="00D06301"/>
    <w:rsid w:val="00D07663"/>
    <w:rsid w:val="00D1140C"/>
    <w:rsid w:val="00D12319"/>
    <w:rsid w:val="00D1528F"/>
    <w:rsid w:val="00D20A17"/>
    <w:rsid w:val="00D232E6"/>
    <w:rsid w:val="00D24D52"/>
    <w:rsid w:val="00D24F2E"/>
    <w:rsid w:val="00D257B9"/>
    <w:rsid w:val="00D30438"/>
    <w:rsid w:val="00D31D2F"/>
    <w:rsid w:val="00D34DC8"/>
    <w:rsid w:val="00D37BBA"/>
    <w:rsid w:val="00D424D3"/>
    <w:rsid w:val="00D424FC"/>
    <w:rsid w:val="00D44020"/>
    <w:rsid w:val="00D453CF"/>
    <w:rsid w:val="00D52C3E"/>
    <w:rsid w:val="00D55D02"/>
    <w:rsid w:val="00D565EC"/>
    <w:rsid w:val="00D6025E"/>
    <w:rsid w:val="00D62F82"/>
    <w:rsid w:val="00D63272"/>
    <w:rsid w:val="00D65925"/>
    <w:rsid w:val="00D65AA7"/>
    <w:rsid w:val="00D66182"/>
    <w:rsid w:val="00D67910"/>
    <w:rsid w:val="00D751FF"/>
    <w:rsid w:val="00D77F26"/>
    <w:rsid w:val="00D80C4F"/>
    <w:rsid w:val="00D82055"/>
    <w:rsid w:val="00D82576"/>
    <w:rsid w:val="00D84E23"/>
    <w:rsid w:val="00D874B9"/>
    <w:rsid w:val="00D879A6"/>
    <w:rsid w:val="00D95A85"/>
    <w:rsid w:val="00D96A10"/>
    <w:rsid w:val="00D96AEA"/>
    <w:rsid w:val="00DA340E"/>
    <w:rsid w:val="00DA7BA8"/>
    <w:rsid w:val="00DB0E16"/>
    <w:rsid w:val="00DB34A6"/>
    <w:rsid w:val="00DB4010"/>
    <w:rsid w:val="00DB7848"/>
    <w:rsid w:val="00DB7CFA"/>
    <w:rsid w:val="00DC250D"/>
    <w:rsid w:val="00DC67C4"/>
    <w:rsid w:val="00DD339A"/>
    <w:rsid w:val="00DD7B80"/>
    <w:rsid w:val="00DE18DD"/>
    <w:rsid w:val="00DE2561"/>
    <w:rsid w:val="00DE5074"/>
    <w:rsid w:val="00DE52B3"/>
    <w:rsid w:val="00DE6959"/>
    <w:rsid w:val="00DE7AB7"/>
    <w:rsid w:val="00DE7CF1"/>
    <w:rsid w:val="00DF05C8"/>
    <w:rsid w:val="00DF163E"/>
    <w:rsid w:val="00DF1FD2"/>
    <w:rsid w:val="00DF2A7B"/>
    <w:rsid w:val="00DF3053"/>
    <w:rsid w:val="00DF39ED"/>
    <w:rsid w:val="00DF570C"/>
    <w:rsid w:val="00E0301F"/>
    <w:rsid w:val="00E0544A"/>
    <w:rsid w:val="00E057C8"/>
    <w:rsid w:val="00E05B68"/>
    <w:rsid w:val="00E10C75"/>
    <w:rsid w:val="00E162CE"/>
    <w:rsid w:val="00E168F2"/>
    <w:rsid w:val="00E16CD2"/>
    <w:rsid w:val="00E22C90"/>
    <w:rsid w:val="00E245B4"/>
    <w:rsid w:val="00E2647C"/>
    <w:rsid w:val="00E26E4D"/>
    <w:rsid w:val="00E279B8"/>
    <w:rsid w:val="00E320B6"/>
    <w:rsid w:val="00E32BB9"/>
    <w:rsid w:val="00E338D2"/>
    <w:rsid w:val="00E3500B"/>
    <w:rsid w:val="00E36335"/>
    <w:rsid w:val="00E3649C"/>
    <w:rsid w:val="00E42157"/>
    <w:rsid w:val="00E429F2"/>
    <w:rsid w:val="00E50347"/>
    <w:rsid w:val="00E51787"/>
    <w:rsid w:val="00E53BED"/>
    <w:rsid w:val="00E5556D"/>
    <w:rsid w:val="00E57C83"/>
    <w:rsid w:val="00E60680"/>
    <w:rsid w:val="00E63160"/>
    <w:rsid w:val="00E63997"/>
    <w:rsid w:val="00E643C2"/>
    <w:rsid w:val="00E654FD"/>
    <w:rsid w:val="00E6772D"/>
    <w:rsid w:val="00E71A58"/>
    <w:rsid w:val="00E73240"/>
    <w:rsid w:val="00E74575"/>
    <w:rsid w:val="00E74DA6"/>
    <w:rsid w:val="00E7554D"/>
    <w:rsid w:val="00E75C99"/>
    <w:rsid w:val="00E75F6C"/>
    <w:rsid w:val="00E81D31"/>
    <w:rsid w:val="00E828D7"/>
    <w:rsid w:val="00E82C6F"/>
    <w:rsid w:val="00E8312F"/>
    <w:rsid w:val="00E85BCA"/>
    <w:rsid w:val="00E864A1"/>
    <w:rsid w:val="00E9049B"/>
    <w:rsid w:val="00E9310D"/>
    <w:rsid w:val="00E93B91"/>
    <w:rsid w:val="00E95F60"/>
    <w:rsid w:val="00EA39F0"/>
    <w:rsid w:val="00EA4DD6"/>
    <w:rsid w:val="00EA4F2A"/>
    <w:rsid w:val="00EA60DA"/>
    <w:rsid w:val="00EB14AF"/>
    <w:rsid w:val="00EB385C"/>
    <w:rsid w:val="00EB4B2B"/>
    <w:rsid w:val="00EB5E8D"/>
    <w:rsid w:val="00EB6B39"/>
    <w:rsid w:val="00EB6DE2"/>
    <w:rsid w:val="00EB78AB"/>
    <w:rsid w:val="00EC1132"/>
    <w:rsid w:val="00EC30CC"/>
    <w:rsid w:val="00EC3FAD"/>
    <w:rsid w:val="00EC5236"/>
    <w:rsid w:val="00ED08C4"/>
    <w:rsid w:val="00ED18DA"/>
    <w:rsid w:val="00ED24F8"/>
    <w:rsid w:val="00ED4540"/>
    <w:rsid w:val="00ED52A7"/>
    <w:rsid w:val="00EE0E8E"/>
    <w:rsid w:val="00EE36B7"/>
    <w:rsid w:val="00EE40E7"/>
    <w:rsid w:val="00EE541F"/>
    <w:rsid w:val="00EF04AE"/>
    <w:rsid w:val="00EF1382"/>
    <w:rsid w:val="00EF2626"/>
    <w:rsid w:val="00EF5B11"/>
    <w:rsid w:val="00F046DE"/>
    <w:rsid w:val="00F20F38"/>
    <w:rsid w:val="00F23A20"/>
    <w:rsid w:val="00F27174"/>
    <w:rsid w:val="00F318A9"/>
    <w:rsid w:val="00F31ED9"/>
    <w:rsid w:val="00F3289B"/>
    <w:rsid w:val="00F34369"/>
    <w:rsid w:val="00F37321"/>
    <w:rsid w:val="00F37552"/>
    <w:rsid w:val="00F41AA6"/>
    <w:rsid w:val="00F45C7B"/>
    <w:rsid w:val="00F46D37"/>
    <w:rsid w:val="00F52092"/>
    <w:rsid w:val="00F52849"/>
    <w:rsid w:val="00F52A86"/>
    <w:rsid w:val="00F52EFE"/>
    <w:rsid w:val="00F54256"/>
    <w:rsid w:val="00F563E8"/>
    <w:rsid w:val="00F6172B"/>
    <w:rsid w:val="00F649DD"/>
    <w:rsid w:val="00F64AF3"/>
    <w:rsid w:val="00F65A04"/>
    <w:rsid w:val="00F65E0F"/>
    <w:rsid w:val="00F67C23"/>
    <w:rsid w:val="00F70B2E"/>
    <w:rsid w:val="00F70F6D"/>
    <w:rsid w:val="00F71A00"/>
    <w:rsid w:val="00F71B9D"/>
    <w:rsid w:val="00F72466"/>
    <w:rsid w:val="00F728A4"/>
    <w:rsid w:val="00F73BE8"/>
    <w:rsid w:val="00F74459"/>
    <w:rsid w:val="00F745E6"/>
    <w:rsid w:val="00F76A7F"/>
    <w:rsid w:val="00F81014"/>
    <w:rsid w:val="00F81C25"/>
    <w:rsid w:val="00F830DF"/>
    <w:rsid w:val="00F84079"/>
    <w:rsid w:val="00F863FD"/>
    <w:rsid w:val="00F86782"/>
    <w:rsid w:val="00F9047E"/>
    <w:rsid w:val="00F9200E"/>
    <w:rsid w:val="00F93FF2"/>
    <w:rsid w:val="00F95557"/>
    <w:rsid w:val="00F96573"/>
    <w:rsid w:val="00F96B97"/>
    <w:rsid w:val="00F973F5"/>
    <w:rsid w:val="00FA09D3"/>
    <w:rsid w:val="00FA1150"/>
    <w:rsid w:val="00FA153A"/>
    <w:rsid w:val="00FA3911"/>
    <w:rsid w:val="00FA53B4"/>
    <w:rsid w:val="00FA77E0"/>
    <w:rsid w:val="00FB0DF8"/>
    <w:rsid w:val="00FB2E91"/>
    <w:rsid w:val="00FB6807"/>
    <w:rsid w:val="00FC51C0"/>
    <w:rsid w:val="00FC54FC"/>
    <w:rsid w:val="00FD5354"/>
    <w:rsid w:val="00FD570C"/>
    <w:rsid w:val="00FE0E28"/>
    <w:rsid w:val="00FE31EE"/>
    <w:rsid w:val="00FE512E"/>
    <w:rsid w:val="00FE565C"/>
    <w:rsid w:val="00FE5A30"/>
    <w:rsid w:val="00FE5AF7"/>
    <w:rsid w:val="00FF179B"/>
    <w:rsid w:val="00FF251D"/>
    <w:rsid w:val="00FF4A9B"/>
    <w:rsid w:val="00FF5AD7"/>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C3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semiHidden/>
    <w:unhideWhenUsed/>
    <w:rsid w:val="00B23D20"/>
    <w:rPr>
      <w:sz w:val="16"/>
      <w:szCs w:val="16"/>
    </w:rPr>
  </w:style>
  <w:style w:type="paragraph" w:styleId="CommentText">
    <w:name w:val="annotation text"/>
    <w:basedOn w:val="Normal"/>
    <w:link w:val="CommentTextChar"/>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EQ">
    <w:name w:val="EQ"/>
    <w:basedOn w:val="Normal"/>
    <w:next w:val="Normal"/>
    <w:rsid w:val="000248B1"/>
    <w:pPr>
      <w:keepLines/>
      <w:tabs>
        <w:tab w:val="center" w:pos="4536"/>
        <w:tab w:val="right" w:pos="9072"/>
      </w:tabs>
      <w:overflowPunct/>
      <w:autoSpaceDE/>
      <w:autoSpaceDN/>
      <w:adjustRightInd/>
      <w:spacing w:after="180"/>
      <w:jc w:val="left"/>
      <w:textAlignment w:val="auto"/>
    </w:pPr>
    <w:rPr>
      <w:noProof/>
      <w:sz w:val="20"/>
      <w:lang w:eastAsia="en-US"/>
    </w:rPr>
  </w:style>
  <w:style w:type="character" w:styleId="PlaceholderText">
    <w:name w:val="Placeholder Text"/>
    <w:basedOn w:val="DefaultParagraphFont"/>
    <w:uiPriority w:val="99"/>
    <w:semiHidden/>
    <w:rsid w:val="00E7324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semiHidden/>
    <w:unhideWhenUsed/>
    <w:rsid w:val="00B23D20"/>
    <w:rPr>
      <w:sz w:val="16"/>
      <w:szCs w:val="16"/>
    </w:rPr>
  </w:style>
  <w:style w:type="paragraph" w:styleId="CommentText">
    <w:name w:val="annotation text"/>
    <w:basedOn w:val="Normal"/>
    <w:link w:val="CommentTextChar"/>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EQ">
    <w:name w:val="EQ"/>
    <w:basedOn w:val="Normal"/>
    <w:next w:val="Normal"/>
    <w:rsid w:val="000248B1"/>
    <w:pPr>
      <w:keepLines/>
      <w:tabs>
        <w:tab w:val="center" w:pos="4536"/>
        <w:tab w:val="right" w:pos="9072"/>
      </w:tabs>
      <w:overflowPunct/>
      <w:autoSpaceDE/>
      <w:autoSpaceDN/>
      <w:adjustRightInd/>
      <w:spacing w:after="180"/>
      <w:jc w:val="left"/>
      <w:textAlignment w:val="auto"/>
    </w:pPr>
    <w:rPr>
      <w:noProof/>
      <w:sz w:val="20"/>
      <w:lang w:eastAsia="en-US"/>
    </w:rPr>
  </w:style>
  <w:style w:type="character" w:styleId="PlaceholderText">
    <w:name w:val="Placeholder Text"/>
    <w:basedOn w:val="DefaultParagraphFont"/>
    <w:uiPriority w:val="99"/>
    <w:semiHidden/>
    <w:rsid w:val="00E7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65899337">
      <w:bodyDiv w:val="1"/>
      <w:marLeft w:val="0"/>
      <w:marRight w:val="0"/>
      <w:marTop w:val="0"/>
      <w:marBottom w:val="0"/>
      <w:divBdr>
        <w:top w:val="none" w:sz="0" w:space="0" w:color="auto"/>
        <w:left w:val="none" w:sz="0" w:space="0" w:color="auto"/>
        <w:bottom w:val="none" w:sz="0" w:space="0" w:color="auto"/>
        <w:right w:val="none" w:sz="0" w:space="0" w:color="auto"/>
      </w:divBdr>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38670743">
      <w:bodyDiv w:val="1"/>
      <w:marLeft w:val="0"/>
      <w:marRight w:val="0"/>
      <w:marTop w:val="0"/>
      <w:marBottom w:val="0"/>
      <w:divBdr>
        <w:top w:val="none" w:sz="0" w:space="0" w:color="auto"/>
        <w:left w:val="none" w:sz="0" w:space="0" w:color="auto"/>
        <w:bottom w:val="none" w:sz="0" w:space="0" w:color="auto"/>
        <w:right w:val="none" w:sz="0" w:space="0" w:color="auto"/>
      </w:divBdr>
      <w:divsChild>
        <w:div w:id="1360200014">
          <w:marLeft w:val="274"/>
          <w:marRight w:val="0"/>
          <w:marTop w:val="67"/>
          <w:marBottom w:val="0"/>
          <w:divBdr>
            <w:top w:val="none" w:sz="0" w:space="0" w:color="auto"/>
            <w:left w:val="none" w:sz="0" w:space="0" w:color="auto"/>
            <w:bottom w:val="none" w:sz="0" w:space="0" w:color="auto"/>
            <w:right w:val="none" w:sz="0" w:space="0" w:color="auto"/>
          </w:divBdr>
        </w:div>
        <w:div w:id="1010986005">
          <w:marLeft w:val="835"/>
          <w:marRight w:val="0"/>
          <w:marTop w:val="58"/>
          <w:marBottom w:val="0"/>
          <w:divBdr>
            <w:top w:val="none" w:sz="0" w:space="0" w:color="auto"/>
            <w:left w:val="none" w:sz="0" w:space="0" w:color="auto"/>
            <w:bottom w:val="none" w:sz="0" w:space="0" w:color="auto"/>
            <w:right w:val="none" w:sz="0" w:space="0" w:color="auto"/>
          </w:divBdr>
        </w:div>
        <w:div w:id="2091854435">
          <w:marLeft w:val="835"/>
          <w:marRight w:val="0"/>
          <w:marTop w:val="58"/>
          <w:marBottom w:val="0"/>
          <w:divBdr>
            <w:top w:val="none" w:sz="0" w:space="0" w:color="auto"/>
            <w:left w:val="none" w:sz="0" w:space="0" w:color="auto"/>
            <w:bottom w:val="none" w:sz="0" w:space="0" w:color="auto"/>
            <w:right w:val="none" w:sz="0" w:space="0" w:color="auto"/>
          </w:divBdr>
        </w:div>
      </w:divsChild>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992680290">
      <w:bodyDiv w:val="1"/>
      <w:marLeft w:val="0"/>
      <w:marRight w:val="0"/>
      <w:marTop w:val="0"/>
      <w:marBottom w:val="0"/>
      <w:divBdr>
        <w:top w:val="none" w:sz="0" w:space="0" w:color="auto"/>
        <w:left w:val="none" w:sz="0" w:space="0" w:color="auto"/>
        <w:bottom w:val="none" w:sz="0" w:space="0" w:color="auto"/>
        <w:right w:val="none" w:sz="0" w:space="0" w:color="auto"/>
      </w:divBdr>
      <w:divsChild>
        <w:div w:id="5209088">
          <w:marLeft w:val="274"/>
          <w:marRight w:val="0"/>
          <w:marTop w:val="115"/>
          <w:marBottom w:val="0"/>
          <w:divBdr>
            <w:top w:val="none" w:sz="0" w:space="0" w:color="auto"/>
            <w:left w:val="none" w:sz="0" w:space="0" w:color="auto"/>
            <w:bottom w:val="none" w:sz="0" w:space="0" w:color="auto"/>
            <w:right w:val="none" w:sz="0" w:space="0" w:color="auto"/>
          </w:divBdr>
        </w:div>
        <w:div w:id="1214583747">
          <w:marLeft w:val="274"/>
          <w:marRight w:val="0"/>
          <w:marTop w:val="115"/>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CA785-CF17-4D70-B2BF-30C19C3F1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1500</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Yang A</dc:creator>
  <cp:lastModifiedBy>Xinghua Song</cp:lastModifiedBy>
  <cp:revision>13</cp:revision>
  <cp:lastPrinted>2014-08-07T12:35:00Z</cp:lastPrinted>
  <dcterms:created xsi:type="dcterms:W3CDTF">2015-11-06T17:07:00Z</dcterms:created>
  <dcterms:modified xsi:type="dcterms:W3CDTF">2015-11-06T17:34:00Z</dcterms:modified>
</cp:coreProperties>
</file>