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96" w:rsidRPr="00B31292" w:rsidRDefault="00674296" w:rsidP="00674296">
      <w:pPr>
        <w:pStyle w:val="Header"/>
        <w:tabs>
          <w:tab w:val="clear" w:pos="4320"/>
          <w:tab w:val="clear" w:pos="8640"/>
          <w:tab w:val="right" w:pos="9072"/>
        </w:tabs>
        <w:rPr>
          <w:rFonts w:cs="Arial"/>
          <w:b/>
          <w:bCs/>
          <w:sz w:val="22"/>
          <w:szCs w:val="22"/>
          <w:lang w:val="en-AU"/>
        </w:rPr>
      </w:pPr>
      <w:r w:rsidRPr="00B31292">
        <w:rPr>
          <w:rFonts w:ascii="Arial" w:hAnsi="Arial" w:cs="Arial"/>
          <w:b/>
          <w:bCs/>
          <w:sz w:val="22"/>
          <w:szCs w:val="22"/>
          <w:lang w:val="en-AU"/>
        </w:rPr>
        <w:t>3GPP TSG RAN WG1 Meeting #8</w:t>
      </w:r>
      <w:r>
        <w:rPr>
          <w:rFonts w:ascii="Arial" w:hAnsi="Arial" w:cs="Arial"/>
          <w:b/>
          <w:bCs/>
          <w:sz w:val="22"/>
          <w:szCs w:val="22"/>
          <w:lang w:val="en-AU"/>
        </w:rPr>
        <w:t>2bis</w:t>
      </w:r>
      <w:r w:rsidRPr="00B31292">
        <w:rPr>
          <w:rFonts w:ascii="Arial" w:hAnsi="Arial" w:cs="Arial"/>
          <w:b/>
          <w:bCs/>
          <w:sz w:val="22"/>
          <w:szCs w:val="22"/>
          <w:lang w:val="en-AU"/>
        </w:rPr>
        <w:tab/>
      </w:r>
      <w:r w:rsidRPr="00BB7B5C">
        <w:rPr>
          <w:rFonts w:ascii="Arial" w:hAnsi="Arial" w:cs="Arial"/>
          <w:b/>
          <w:bCs/>
          <w:sz w:val="22"/>
          <w:lang w:val="en-AU"/>
        </w:rPr>
        <w:t>R1-15</w:t>
      </w:r>
      <w:r w:rsidR="00210B0D">
        <w:rPr>
          <w:rFonts w:ascii="Arial" w:hAnsi="Arial" w:cs="Arial"/>
          <w:b/>
          <w:bCs/>
          <w:sz w:val="22"/>
        </w:rPr>
        <w:t>5688</w:t>
      </w:r>
    </w:p>
    <w:p w:rsidR="00674296" w:rsidRPr="00B31292" w:rsidRDefault="00C028BB" w:rsidP="00674296">
      <w:pPr>
        <w:pStyle w:val="Header"/>
        <w:tabs>
          <w:tab w:val="clear" w:pos="4320"/>
        </w:tabs>
        <w:rPr>
          <w:rFonts w:ascii="Arial" w:hAnsi="Arial" w:cs="Arial"/>
          <w:b/>
          <w:bCs/>
          <w:sz w:val="22"/>
          <w:szCs w:val="22"/>
          <w:lang w:val="en-AU"/>
        </w:rPr>
      </w:pPr>
      <w:r w:rsidRPr="00B94F94">
        <w:rPr>
          <w:rFonts w:ascii="Arial" w:hAnsi="Arial" w:cs="Arial"/>
          <w:b/>
          <w:bCs/>
          <w:sz w:val="22"/>
          <w:szCs w:val="22"/>
          <w:lang w:val="en-AU"/>
        </w:rPr>
        <w:t>Malmo</w:t>
      </w:r>
      <w:r w:rsidR="00674296" w:rsidRPr="00B94F94">
        <w:rPr>
          <w:rFonts w:ascii="Arial" w:hAnsi="Arial" w:cs="Arial"/>
          <w:b/>
          <w:bCs/>
          <w:sz w:val="22"/>
          <w:szCs w:val="22"/>
          <w:lang w:val="en-AU"/>
        </w:rPr>
        <w:t xml:space="preserve">, </w:t>
      </w:r>
      <w:r w:rsidRPr="00B94F94">
        <w:rPr>
          <w:rFonts w:ascii="Arial" w:hAnsi="Arial" w:cs="Arial"/>
          <w:b/>
          <w:bCs/>
          <w:sz w:val="22"/>
          <w:szCs w:val="22"/>
          <w:lang w:val="en-AU"/>
        </w:rPr>
        <w:t>SWEDEN</w:t>
      </w:r>
      <w:r w:rsidR="00674296" w:rsidRPr="00B94F94">
        <w:rPr>
          <w:rFonts w:ascii="Arial" w:hAnsi="Arial" w:cs="Arial"/>
          <w:b/>
          <w:bCs/>
          <w:sz w:val="22"/>
          <w:szCs w:val="22"/>
          <w:lang w:val="en-AU"/>
        </w:rPr>
        <w:t xml:space="preserve">, </w:t>
      </w:r>
      <w:r w:rsidRPr="00B94F94">
        <w:rPr>
          <w:rFonts w:ascii="Arial" w:hAnsi="Arial" w:cs="Arial"/>
          <w:b/>
          <w:bCs/>
          <w:sz w:val="22"/>
          <w:szCs w:val="22"/>
        </w:rPr>
        <w:t>5 - 9 October 2015</w:t>
      </w:r>
    </w:p>
    <w:p w:rsidR="00674296" w:rsidRPr="00B31292" w:rsidRDefault="00674296" w:rsidP="00674296">
      <w:pPr>
        <w:pStyle w:val="Header"/>
        <w:rPr>
          <w:b/>
          <w:bCs/>
          <w:lang w:val="en-AU"/>
        </w:rPr>
      </w:pPr>
    </w:p>
    <w:p w:rsidR="00674296" w:rsidRPr="00B31292" w:rsidRDefault="00674296" w:rsidP="00674296">
      <w:pPr>
        <w:tabs>
          <w:tab w:val="left" w:pos="1820"/>
        </w:tabs>
        <w:spacing w:after="60"/>
        <w:jc w:val="both"/>
        <w:rPr>
          <w:rFonts w:ascii="Arial" w:hAnsi="Arial" w:cs="Arial"/>
          <w:b/>
          <w:bCs/>
          <w:lang w:val="en-AU"/>
        </w:rPr>
      </w:pPr>
      <w:r w:rsidRPr="006675FE">
        <w:rPr>
          <w:rFonts w:ascii="Arial" w:hAnsi="Arial" w:cs="Arial"/>
          <w:b/>
          <w:lang w:val="en-AU"/>
        </w:rPr>
        <w:t>Agenda Item</w:t>
      </w:r>
      <w:r w:rsidRPr="00514229">
        <w:rPr>
          <w:rFonts w:ascii="Arial" w:hAnsi="Arial" w:cs="Arial"/>
          <w:b/>
          <w:lang w:val="en-AU"/>
        </w:rPr>
        <w:t>:</w:t>
      </w:r>
      <w:r w:rsidRPr="00514229">
        <w:rPr>
          <w:rFonts w:ascii="Arial" w:hAnsi="Arial" w:cs="Arial"/>
          <w:b/>
          <w:bCs/>
          <w:lang w:val="en-AU"/>
        </w:rPr>
        <w:tab/>
      </w:r>
      <w:r w:rsidR="00514229" w:rsidRPr="00514229">
        <w:rPr>
          <w:rFonts w:ascii="Arial" w:hAnsi="Arial" w:cs="Arial"/>
          <w:b/>
          <w:bCs/>
          <w:lang w:val="en-AU"/>
        </w:rPr>
        <w:t>7.2.2.1</w:t>
      </w:r>
      <w:r w:rsidR="00514229">
        <w:rPr>
          <w:rFonts w:ascii="Arial" w:hAnsi="Arial" w:cs="Arial"/>
          <w:b/>
          <w:bCs/>
          <w:lang w:val="en-AU"/>
        </w:rPr>
        <w:t>.2</w:t>
      </w:r>
    </w:p>
    <w:p w:rsidR="00674296" w:rsidRPr="00B31292" w:rsidRDefault="00674296" w:rsidP="00674296">
      <w:pPr>
        <w:tabs>
          <w:tab w:val="left" w:pos="1820"/>
        </w:tabs>
        <w:spacing w:after="60"/>
        <w:jc w:val="both"/>
        <w:rPr>
          <w:rFonts w:ascii="Arial" w:hAnsi="Arial" w:cs="Arial"/>
          <w:b/>
          <w:bCs/>
          <w:lang w:val="en-AU"/>
        </w:rPr>
      </w:pPr>
      <w:r w:rsidRPr="00B31292">
        <w:rPr>
          <w:rFonts w:ascii="Arial" w:hAnsi="Arial" w:cs="Arial"/>
          <w:b/>
          <w:lang w:val="en-AU"/>
        </w:rPr>
        <w:t>Source:</w:t>
      </w:r>
      <w:r w:rsidRPr="00B31292">
        <w:rPr>
          <w:rFonts w:ascii="Arial" w:hAnsi="Arial" w:cs="Arial"/>
          <w:b/>
          <w:bCs/>
          <w:lang w:val="en-AU"/>
        </w:rPr>
        <w:t xml:space="preserve"> </w:t>
      </w:r>
      <w:r w:rsidRPr="00B31292">
        <w:rPr>
          <w:rFonts w:ascii="Arial" w:hAnsi="Arial" w:cs="Arial"/>
          <w:b/>
          <w:bCs/>
          <w:lang w:val="en-AU"/>
        </w:rPr>
        <w:tab/>
        <w:t>NEC</w:t>
      </w:r>
    </w:p>
    <w:p w:rsidR="00674296" w:rsidRPr="00B31292" w:rsidRDefault="00674296" w:rsidP="00674296">
      <w:pPr>
        <w:tabs>
          <w:tab w:val="left" w:pos="1820"/>
        </w:tabs>
        <w:spacing w:after="60"/>
        <w:ind w:left="1820" w:hanging="1820"/>
        <w:rPr>
          <w:rFonts w:ascii="Arial" w:hAnsi="Arial" w:cs="Arial"/>
          <w:b/>
          <w:lang w:val="en-AU"/>
        </w:rPr>
      </w:pPr>
      <w:r w:rsidRPr="004155CF">
        <w:rPr>
          <w:rFonts w:ascii="Arial" w:hAnsi="Arial" w:cs="Arial"/>
          <w:b/>
          <w:lang w:val="en-AU"/>
        </w:rPr>
        <w:t>Title:</w:t>
      </w:r>
      <w:r w:rsidRPr="004155CF">
        <w:rPr>
          <w:rFonts w:ascii="Arial" w:hAnsi="Arial" w:cs="Arial"/>
          <w:b/>
          <w:bCs/>
          <w:lang w:val="en-AU"/>
        </w:rPr>
        <w:tab/>
      </w:r>
      <w:r w:rsidR="004155CF" w:rsidRPr="004155CF">
        <w:rPr>
          <w:rFonts w:ascii="Arial" w:hAnsi="Arial" w:cs="Arial"/>
          <w:b/>
          <w:bCs/>
        </w:rPr>
        <w:t>HARQ-ACK codebook d</w:t>
      </w:r>
      <w:r w:rsidR="001E4B91" w:rsidRPr="004155CF">
        <w:rPr>
          <w:rFonts w:ascii="Arial" w:hAnsi="Arial" w:cs="Arial"/>
          <w:b/>
          <w:bCs/>
        </w:rPr>
        <w:t>etermination</w:t>
      </w:r>
    </w:p>
    <w:p w:rsidR="00674296" w:rsidRPr="00B31292" w:rsidRDefault="00674296" w:rsidP="00674296">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t>Discussion</w:t>
      </w:r>
    </w:p>
    <w:p w:rsidR="00674296" w:rsidRPr="00B31292" w:rsidRDefault="00674296" w:rsidP="00674296">
      <w:pPr>
        <w:pStyle w:val="Heading1"/>
        <w:spacing w:after="120"/>
        <w:jc w:val="both"/>
        <w:rPr>
          <w:bCs w:val="0"/>
          <w:sz w:val="22"/>
          <w:szCs w:val="22"/>
          <w:lang w:val="en-AU"/>
        </w:rPr>
      </w:pPr>
      <w:r w:rsidRPr="00B31292">
        <w:rPr>
          <w:bCs w:val="0"/>
          <w:sz w:val="22"/>
          <w:szCs w:val="22"/>
          <w:lang w:val="en-AU"/>
        </w:rPr>
        <w:t>Introduction</w:t>
      </w:r>
    </w:p>
    <w:p w:rsidR="00F312CB" w:rsidRDefault="00674296" w:rsidP="00F312CB">
      <w:pPr>
        <w:spacing w:after="120"/>
        <w:jc w:val="both"/>
        <w:rPr>
          <w:bCs/>
          <w:sz w:val="22"/>
          <w:szCs w:val="22"/>
          <w:lang w:val="en-AU" w:eastAsia="en-AU"/>
        </w:rPr>
      </w:pPr>
      <w:r>
        <w:rPr>
          <w:bCs/>
          <w:sz w:val="22"/>
          <w:szCs w:val="22"/>
          <w:lang w:val="en-AU" w:eastAsia="en-AU"/>
        </w:rPr>
        <w:t>In RAN</w:t>
      </w:r>
      <w:r w:rsidR="00862CA0">
        <w:rPr>
          <w:bCs/>
          <w:sz w:val="22"/>
          <w:szCs w:val="22"/>
          <w:lang w:val="en-AU" w:eastAsia="en-AU"/>
        </w:rPr>
        <w:t>1</w:t>
      </w:r>
      <w:r>
        <w:rPr>
          <w:bCs/>
          <w:sz w:val="22"/>
          <w:szCs w:val="22"/>
          <w:lang w:val="en-AU" w:eastAsia="en-AU"/>
        </w:rPr>
        <w:t>#</w:t>
      </w:r>
      <w:r w:rsidR="00862CA0">
        <w:rPr>
          <w:bCs/>
          <w:sz w:val="22"/>
          <w:szCs w:val="22"/>
          <w:lang w:val="en-AU" w:eastAsia="en-AU"/>
        </w:rPr>
        <w:t>82</w:t>
      </w:r>
      <w:r>
        <w:rPr>
          <w:bCs/>
          <w:sz w:val="22"/>
          <w:szCs w:val="22"/>
          <w:lang w:val="en-AU" w:eastAsia="en-AU"/>
        </w:rPr>
        <w:t xml:space="preserve"> meeting</w:t>
      </w:r>
      <w:r w:rsidR="00862CA0">
        <w:rPr>
          <w:bCs/>
          <w:sz w:val="22"/>
          <w:szCs w:val="22"/>
          <w:lang w:val="en-AU" w:eastAsia="en-AU"/>
        </w:rPr>
        <w:t xml:space="preserve">, following agreements were reached regarding HARQ-ACK codebook determination </w:t>
      </w:r>
      <w:r w:rsidR="00862CA0">
        <w:rPr>
          <w:bCs/>
          <w:sz w:val="22"/>
          <w:szCs w:val="22"/>
          <w:lang w:val="en-AU" w:eastAsia="en-AU"/>
        </w:rPr>
        <w:fldChar w:fldCharType="begin"/>
      </w:r>
      <w:r w:rsidR="00862CA0">
        <w:rPr>
          <w:bCs/>
          <w:sz w:val="22"/>
          <w:szCs w:val="22"/>
          <w:lang w:val="en-AU" w:eastAsia="en-AU"/>
        </w:rPr>
        <w:instrText xml:space="preserve"> REF _Ref429389492 \r \h </w:instrText>
      </w:r>
      <w:r w:rsidR="00862CA0">
        <w:rPr>
          <w:bCs/>
          <w:sz w:val="22"/>
          <w:szCs w:val="22"/>
          <w:lang w:val="en-AU" w:eastAsia="en-AU"/>
        </w:rPr>
      </w:r>
      <w:r w:rsidR="00862CA0">
        <w:rPr>
          <w:bCs/>
          <w:sz w:val="22"/>
          <w:szCs w:val="22"/>
          <w:lang w:val="en-AU" w:eastAsia="en-AU"/>
        </w:rPr>
        <w:fldChar w:fldCharType="separate"/>
      </w:r>
      <w:r w:rsidR="00862CA0">
        <w:rPr>
          <w:bCs/>
          <w:sz w:val="22"/>
          <w:szCs w:val="22"/>
          <w:lang w:val="en-AU" w:eastAsia="en-AU"/>
        </w:rPr>
        <w:t>[1]</w:t>
      </w:r>
      <w:r w:rsidR="00862CA0">
        <w:rPr>
          <w:bCs/>
          <w:sz w:val="22"/>
          <w:szCs w:val="22"/>
          <w:lang w:val="en-AU" w:eastAsia="en-AU"/>
        </w:rPr>
        <w:fldChar w:fldCharType="end"/>
      </w:r>
      <w:r w:rsidR="00862CA0">
        <w:rPr>
          <w:bCs/>
          <w:sz w:val="22"/>
          <w:szCs w:val="22"/>
          <w:lang w:val="en-AU" w:eastAsia="en-AU"/>
        </w:rPr>
        <w:t>.</w:t>
      </w:r>
    </w:p>
    <w:p w:rsidR="00876F66" w:rsidRDefault="00876F66" w:rsidP="00876F66">
      <w:pPr>
        <w:overflowPunct w:val="0"/>
        <w:autoSpaceDE w:val="0"/>
        <w:autoSpaceDN w:val="0"/>
        <w:adjustRightInd w:val="0"/>
        <w:textAlignment w:val="baseline"/>
        <w:rPr>
          <w:rFonts w:ascii="Times" w:eastAsia="MS Mincho" w:hAnsi="Times"/>
          <w:b/>
          <w:sz w:val="22"/>
          <w:u w:val="single"/>
        </w:rPr>
      </w:pPr>
      <w:r>
        <w:rPr>
          <w:rFonts w:ascii="Times" w:eastAsia="MS Mincho" w:hAnsi="Times"/>
          <w:b/>
          <w:sz w:val="22"/>
          <w:highlight w:val="green"/>
          <w:u w:val="single"/>
        </w:rPr>
        <w:t>Agreements:</w:t>
      </w:r>
    </w:p>
    <w:p w:rsidR="00876F66" w:rsidRDefault="00876F66" w:rsidP="00876F66">
      <w:pPr>
        <w:numPr>
          <w:ilvl w:val="0"/>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HARQ-ACK codebook size is dynamically determined</w:t>
      </w:r>
    </w:p>
    <w:p w:rsidR="00876F66" w:rsidRDefault="00876F66" w:rsidP="00876F66">
      <w:pPr>
        <w:numPr>
          <w:ilvl w:val="1"/>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To ensure same understanding between eNB and UE regarding the HARQ-ACK codebook (including HARQ-ACK order and size)</w:t>
      </w:r>
    </w:p>
    <w:p w:rsidR="00876F66" w:rsidRDefault="00876F66" w:rsidP="00876F66">
      <w:pPr>
        <w:numPr>
          <w:ilvl w:val="1"/>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 xml:space="preserve">FFS, eNB transmits signaling in DL assignment: </w:t>
      </w:r>
    </w:p>
    <w:p w:rsidR="00876F66" w:rsidRDefault="00876F66" w:rsidP="00876F66">
      <w:pPr>
        <w:numPr>
          <w:ilvl w:val="2"/>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 xml:space="preserve">FFS: Detailed signaling, e.g., </w:t>
      </w:r>
    </w:p>
    <w:p w:rsidR="00876F66" w:rsidRDefault="00876F66" w:rsidP="00876F66">
      <w:pPr>
        <w:numPr>
          <w:ilvl w:val="3"/>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Counter DAI only</w:t>
      </w:r>
    </w:p>
    <w:p w:rsidR="00876F66" w:rsidRDefault="00876F66" w:rsidP="00876F66">
      <w:pPr>
        <w:numPr>
          <w:ilvl w:val="4"/>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FFS: Whether DAI can be not consecutive</w:t>
      </w:r>
    </w:p>
    <w:p w:rsidR="00876F66" w:rsidRDefault="00876F66" w:rsidP="00876F66">
      <w:pPr>
        <w:numPr>
          <w:ilvl w:val="3"/>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A Counter DAI and a Total DAI</w:t>
      </w:r>
    </w:p>
    <w:p w:rsidR="00876F66" w:rsidRDefault="00876F66" w:rsidP="00876F66">
      <w:pPr>
        <w:numPr>
          <w:ilvl w:val="3"/>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Combined DAI carrying either Counter or Total, based on the order of scheduling</w:t>
      </w:r>
    </w:p>
    <w:p w:rsidR="00876F66" w:rsidRDefault="00876F66" w:rsidP="00876F66">
      <w:pPr>
        <w:numPr>
          <w:ilvl w:val="3"/>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HARQ-ACK codebook indicator to indicate the possible carriers</w:t>
      </w:r>
    </w:p>
    <w:p w:rsidR="00876F66" w:rsidRDefault="00876F66" w:rsidP="00876F66">
      <w:pPr>
        <w:numPr>
          <w:ilvl w:val="1"/>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Note: Other alternatives are not precluded</w:t>
      </w:r>
    </w:p>
    <w:p w:rsidR="00876F66" w:rsidRDefault="00876F66" w:rsidP="00876F66">
      <w:pPr>
        <w:numPr>
          <w:ilvl w:val="1"/>
          <w:numId w:val="10"/>
        </w:numPr>
        <w:overflowPunct w:val="0"/>
        <w:autoSpaceDE w:val="0"/>
        <w:autoSpaceDN w:val="0"/>
        <w:adjustRightInd w:val="0"/>
        <w:textAlignment w:val="baseline"/>
        <w:rPr>
          <w:rFonts w:ascii="Times" w:eastAsia="MS Mincho" w:hAnsi="Times"/>
          <w:sz w:val="22"/>
        </w:rPr>
      </w:pPr>
      <w:r>
        <w:rPr>
          <w:rFonts w:ascii="Times" w:eastAsia="MS Mincho" w:hAnsi="Times"/>
          <w:sz w:val="22"/>
        </w:rPr>
        <w:t>FFS: Additional UL signaling to indicate HARQ ACK codebook size</w:t>
      </w:r>
    </w:p>
    <w:p w:rsidR="00876F66" w:rsidRPr="00876F66" w:rsidRDefault="00876F66" w:rsidP="00991C10">
      <w:pPr>
        <w:numPr>
          <w:ilvl w:val="0"/>
          <w:numId w:val="10"/>
        </w:numPr>
        <w:overflowPunct w:val="0"/>
        <w:autoSpaceDE w:val="0"/>
        <w:autoSpaceDN w:val="0"/>
        <w:adjustRightInd w:val="0"/>
        <w:spacing w:after="120"/>
        <w:textAlignment w:val="baseline"/>
        <w:rPr>
          <w:rFonts w:ascii="Times" w:eastAsia="MS Mincho" w:hAnsi="Times"/>
          <w:sz w:val="22"/>
        </w:rPr>
      </w:pPr>
      <w:r w:rsidRPr="00876F66">
        <w:rPr>
          <w:rFonts w:ascii="Times" w:eastAsia="MS Mincho" w:hAnsi="Times"/>
          <w:sz w:val="22"/>
        </w:rPr>
        <w:t>FFS: PUCCH format adaptation</w:t>
      </w:r>
    </w:p>
    <w:p w:rsidR="00674296" w:rsidRPr="006675FE" w:rsidRDefault="00876F66" w:rsidP="00674296">
      <w:pPr>
        <w:spacing w:after="120"/>
        <w:jc w:val="both"/>
        <w:rPr>
          <w:bCs/>
          <w:sz w:val="22"/>
          <w:szCs w:val="22"/>
          <w:lang w:val="en-AU" w:eastAsia="en-AU"/>
        </w:rPr>
      </w:pPr>
      <w:r>
        <w:rPr>
          <w:bCs/>
          <w:sz w:val="22"/>
          <w:szCs w:val="22"/>
          <w:lang w:val="en-AU" w:eastAsia="en-AU"/>
        </w:rPr>
        <w:t>In this contribution, we provide our proposal to ensure same understanding between eNB and UE regarding the HARQ-ACK codebook (including HARQ-ACK order and size).</w:t>
      </w:r>
    </w:p>
    <w:p w:rsidR="00674296" w:rsidRDefault="00674296" w:rsidP="00674296">
      <w:pPr>
        <w:pStyle w:val="Heading1"/>
        <w:spacing w:after="120"/>
        <w:jc w:val="both"/>
        <w:rPr>
          <w:sz w:val="22"/>
          <w:szCs w:val="22"/>
          <w:lang w:val="en-AU" w:eastAsia="en-AU"/>
        </w:rPr>
      </w:pPr>
      <w:r w:rsidRPr="006675FE">
        <w:rPr>
          <w:sz w:val="22"/>
          <w:szCs w:val="22"/>
          <w:lang w:val="en-AU" w:eastAsia="en-AU"/>
        </w:rPr>
        <w:t>Discussion</w:t>
      </w:r>
    </w:p>
    <w:p w:rsidR="000267AD" w:rsidRPr="00991C10" w:rsidRDefault="00855235" w:rsidP="00F312CB">
      <w:pPr>
        <w:spacing w:after="200" w:line="276" w:lineRule="auto"/>
        <w:contextualSpacing/>
        <w:jc w:val="both"/>
        <w:rPr>
          <w:sz w:val="22"/>
          <w:szCs w:val="22"/>
        </w:rPr>
      </w:pPr>
      <w:r w:rsidRPr="00991C10">
        <w:rPr>
          <w:sz w:val="22"/>
          <w:szCs w:val="22"/>
        </w:rPr>
        <w:t>As outlined in the email discussio</w:t>
      </w:r>
      <w:r w:rsidR="0021056A" w:rsidRPr="00991C10">
        <w:rPr>
          <w:sz w:val="22"/>
          <w:szCs w:val="22"/>
        </w:rPr>
        <w:t xml:space="preserve">n on 3GPP RAN1 email reflector </w:t>
      </w:r>
      <w:r w:rsidR="0021056A" w:rsidRPr="00991C10">
        <w:rPr>
          <w:sz w:val="22"/>
          <w:szCs w:val="22"/>
        </w:rPr>
        <w:fldChar w:fldCharType="begin"/>
      </w:r>
      <w:r w:rsidR="0021056A" w:rsidRPr="00991C10">
        <w:rPr>
          <w:sz w:val="22"/>
          <w:szCs w:val="22"/>
        </w:rPr>
        <w:instrText xml:space="preserve"> REF _Ref430867462 \r \h </w:instrText>
      </w:r>
      <w:r w:rsidR="0021056A" w:rsidRPr="00991C10">
        <w:rPr>
          <w:sz w:val="22"/>
          <w:szCs w:val="22"/>
        </w:rPr>
      </w:r>
      <w:r w:rsidR="00991C10">
        <w:rPr>
          <w:sz w:val="22"/>
          <w:szCs w:val="22"/>
        </w:rPr>
        <w:instrText xml:space="preserve"> \* MERGEFORMAT </w:instrText>
      </w:r>
      <w:r w:rsidR="0021056A" w:rsidRPr="00991C10">
        <w:rPr>
          <w:sz w:val="22"/>
          <w:szCs w:val="22"/>
        </w:rPr>
        <w:fldChar w:fldCharType="separate"/>
      </w:r>
      <w:r w:rsidR="0021056A" w:rsidRPr="00991C10">
        <w:rPr>
          <w:sz w:val="22"/>
          <w:szCs w:val="22"/>
        </w:rPr>
        <w:t>[2]</w:t>
      </w:r>
      <w:r w:rsidR="0021056A" w:rsidRPr="00991C10">
        <w:rPr>
          <w:sz w:val="22"/>
          <w:szCs w:val="22"/>
        </w:rPr>
        <w:fldChar w:fldCharType="end"/>
      </w:r>
      <w:r w:rsidR="0021056A" w:rsidRPr="00991C10">
        <w:rPr>
          <w:sz w:val="22"/>
          <w:szCs w:val="22"/>
        </w:rPr>
        <w:t>, dynamic determination of HARQ-ACK codebook size creates a need to ensure same understanding on the HARQ-ACK order and codebook size between eNB and the UE. In order to fulfill this need, companies have proposed following solutions, which have been described in detail in</w:t>
      </w:r>
      <w:r w:rsidR="000267AD" w:rsidRPr="00991C10">
        <w:rPr>
          <w:sz w:val="22"/>
          <w:szCs w:val="22"/>
        </w:rPr>
        <w:t xml:space="preserve"> </w:t>
      </w:r>
      <w:r w:rsidR="000267AD" w:rsidRPr="00991C10">
        <w:rPr>
          <w:sz w:val="22"/>
          <w:szCs w:val="22"/>
        </w:rPr>
        <w:fldChar w:fldCharType="begin"/>
      </w:r>
      <w:r w:rsidR="000267AD" w:rsidRPr="00991C10">
        <w:rPr>
          <w:sz w:val="22"/>
          <w:szCs w:val="22"/>
        </w:rPr>
        <w:instrText xml:space="preserve"> REF _Ref430867771 \r \h </w:instrText>
      </w:r>
      <w:r w:rsidR="000267AD" w:rsidRPr="00991C10">
        <w:rPr>
          <w:sz w:val="22"/>
          <w:szCs w:val="22"/>
        </w:rPr>
      </w:r>
      <w:r w:rsidR="00991C10">
        <w:rPr>
          <w:sz w:val="22"/>
          <w:szCs w:val="22"/>
        </w:rPr>
        <w:instrText xml:space="preserve"> \* MERGEFORMAT </w:instrText>
      </w:r>
      <w:r w:rsidR="000267AD" w:rsidRPr="00991C10">
        <w:rPr>
          <w:sz w:val="22"/>
          <w:szCs w:val="22"/>
        </w:rPr>
        <w:fldChar w:fldCharType="separate"/>
      </w:r>
      <w:r w:rsidR="000267AD" w:rsidRPr="00991C10">
        <w:rPr>
          <w:sz w:val="22"/>
          <w:szCs w:val="22"/>
        </w:rPr>
        <w:t>[3]</w:t>
      </w:r>
      <w:r w:rsidR="000267AD" w:rsidRPr="00991C10">
        <w:rPr>
          <w:sz w:val="22"/>
          <w:szCs w:val="22"/>
        </w:rPr>
        <w:fldChar w:fldCharType="end"/>
      </w:r>
      <w:r w:rsidR="000267AD" w:rsidRPr="00991C10">
        <w:rPr>
          <w:sz w:val="22"/>
          <w:szCs w:val="22"/>
        </w:rPr>
        <w:t xml:space="preserve">. </w:t>
      </w:r>
    </w:p>
    <w:p w:rsidR="000267AD" w:rsidRPr="00991C10" w:rsidRDefault="000267AD" w:rsidP="00AA11E4">
      <w:pPr>
        <w:pStyle w:val="ListParagraph"/>
        <w:numPr>
          <w:ilvl w:val="0"/>
          <w:numId w:val="11"/>
        </w:numPr>
        <w:spacing w:after="200" w:line="276" w:lineRule="auto"/>
        <w:contextualSpacing/>
        <w:jc w:val="both"/>
        <w:rPr>
          <w:rFonts w:ascii="Times New Roman" w:hAnsi="Times New Roman"/>
        </w:rPr>
      </w:pPr>
      <w:r w:rsidRPr="00991C10">
        <w:rPr>
          <w:rFonts w:ascii="Times New Roman" w:hAnsi="Times New Roman"/>
        </w:rPr>
        <w:t>CC-domain DAI</w:t>
      </w:r>
    </w:p>
    <w:p w:rsidR="00AA11E4" w:rsidRPr="00991C10" w:rsidRDefault="000267AD" w:rsidP="00AA11E4">
      <w:pPr>
        <w:pStyle w:val="ListParagraph"/>
        <w:numPr>
          <w:ilvl w:val="0"/>
          <w:numId w:val="11"/>
        </w:numPr>
        <w:spacing w:after="200" w:line="276" w:lineRule="auto"/>
        <w:contextualSpacing/>
        <w:jc w:val="both"/>
        <w:rPr>
          <w:rFonts w:ascii="Times New Roman" w:hAnsi="Times New Roman"/>
        </w:rPr>
      </w:pPr>
      <w:r w:rsidRPr="00991C10">
        <w:rPr>
          <w:rFonts w:ascii="Times New Roman" w:hAnsi="Times New Roman"/>
        </w:rPr>
        <w:t>HARQ-ACK codebook indicator</w:t>
      </w:r>
    </w:p>
    <w:p w:rsidR="00472348" w:rsidRPr="00991C10" w:rsidRDefault="000267AD" w:rsidP="00AA11E4">
      <w:pPr>
        <w:pStyle w:val="ListParagraph"/>
        <w:numPr>
          <w:ilvl w:val="0"/>
          <w:numId w:val="11"/>
        </w:numPr>
        <w:spacing w:after="200" w:line="276" w:lineRule="auto"/>
        <w:contextualSpacing/>
        <w:jc w:val="both"/>
        <w:rPr>
          <w:rFonts w:ascii="Times New Roman" w:hAnsi="Times New Roman"/>
        </w:rPr>
      </w:pPr>
      <w:r w:rsidRPr="00991C10">
        <w:rPr>
          <w:rFonts w:ascii="Times New Roman" w:hAnsi="Times New Roman"/>
        </w:rPr>
        <w:t>CRC scrambling to reduce impact of error cases.</w:t>
      </w:r>
      <w:r w:rsidR="0021056A" w:rsidRPr="00991C10">
        <w:rPr>
          <w:rFonts w:ascii="Times New Roman" w:hAnsi="Times New Roman"/>
        </w:rPr>
        <w:t xml:space="preserve"> </w:t>
      </w:r>
    </w:p>
    <w:p w:rsidR="009D324B" w:rsidRPr="00991C10" w:rsidRDefault="00AA11E4" w:rsidP="00EA7F96">
      <w:pPr>
        <w:jc w:val="both"/>
        <w:rPr>
          <w:sz w:val="22"/>
          <w:szCs w:val="22"/>
          <w:lang w:eastAsia="ja-JP"/>
        </w:rPr>
      </w:pPr>
      <w:r w:rsidRPr="00991C10">
        <w:rPr>
          <w:sz w:val="22"/>
          <w:szCs w:val="22"/>
          <w:lang w:eastAsia="ja-JP"/>
        </w:rPr>
        <w:t xml:space="preserve">There are </w:t>
      </w:r>
      <w:r w:rsidR="00991C10">
        <w:rPr>
          <w:sz w:val="22"/>
          <w:szCs w:val="22"/>
          <w:lang w:eastAsia="ja-JP"/>
        </w:rPr>
        <w:t xml:space="preserve">mainly </w:t>
      </w:r>
      <w:r w:rsidR="009D324B" w:rsidRPr="00991C10">
        <w:rPr>
          <w:sz w:val="22"/>
          <w:szCs w:val="22"/>
          <w:lang w:eastAsia="ja-JP"/>
        </w:rPr>
        <w:t>two</w:t>
      </w:r>
      <w:r w:rsidRPr="00991C10">
        <w:rPr>
          <w:sz w:val="22"/>
          <w:szCs w:val="22"/>
          <w:lang w:eastAsia="ja-JP"/>
        </w:rPr>
        <w:t xml:space="preserve"> issues associated with CC-domain DAI </w:t>
      </w:r>
      <w:r w:rsidR="00991C10">
        <w:rPr>
          <w:sz w:val="22"/>
          <w:szCs w:val="22"/>
          <w:lang w:eastAsia="ja-JP"/>
        </w:rPr>
        <w:t>approach</w:t>
      </w:r>
      <w:r w:rsidRPr="00991C10">
        <w:rPr>
          <w:sz w:val="22"/>
          <w:szCs w:val="22"/>
          <w:lang w:eastAsia="ja-JP"/>
        </w:rPr>
        <w:t>. Firstly, UE cannot be</w:t>
      </w:r>
      <w:r w:rsidR="00991C10">
        <w:rPr>
          <w:sz w:val="22"/>
          <w:szCs w:val="22"/>
          <w:lang w:eastAsia="ja-JP"/>
        </w:rPr>
        <w:t xml:space="preserve"> aware of the (E</w:t>
      </w:r>
      <w:proofErr w:type="gramStart"/>
      <w:r w:rsidR="00991C10">
        <w:rPr>
          <w:sz w:val="22"/>
          <w:szCs w:val="22"/>
          <w:lang w:eastAsia="ja-JP"/>
        </w:rPr>
        <w:t>)PDCCH</w:t>
      </w:r>
      <w:proofErr w:type="gramEnd"/>
      <w:r w:rsidR="00991C10">
        <w:rPr>
          <w:sz w:val="22"/>
          <w:szCs w:val="22"/>
          <w:lang w:eastAsia="ja-JP"/>
        </w:rPr>
        <w:t xml:space="preserve"> miss-</w:t>
      </w:r>
      <w:r w:rsidRPr="00991C10">
        <w:rPr>
          <w:sz w:val="22"/>
          <w:szCs w:val="22"/>
          <w:lang w:eastAsia="ja-JP"/>
        </w:rPr>
        <w:t xml:space="preserve">detection for </w:t>
      </w:r>
      <w:r w:rsidR="009D324B" w:rsidRPr="00991C10">
        <w:rPr>
          <w:sz w:val="22"/>
          <w:szCs w:val="22"/>
          <w:lang w:eastAsia="ja-JP"/>
        </w:rPr>
        <w:t xml:space="preserve">one or more last CCs/subframe and </w:t>
      </w:r>
      <w:r w:rsidR="00991C10">
        <w:rPr>
          <w:sz w:val="22"/>
          <w:szCs w:val="22"/>
          <w:lang w:eastAsia="ja-JP"/>
        </w:rPr>
        <w:t>(E)PDCCH</w:t>
      </w:r>
      <w:r w:rsidRPr="00991C10">
        <w:rPr>
          <w:sz w:val="22"/>
          <w:szCs w:val="22"/>
          <w:lang w:eastAsia="ja-JP"/>
        </w:rPr>
        <w:t xml:space="preserve"> false detection of any CCs/subframes. Due to these, the understanding of codebook size between UE and eNB can be different. </w:t>
      </w:r>
      <w:r w:rsidR="009D324B" w:rsidRPr="00991C10">
        <w:rPr>
          <w:sz w:val="22"/>
          <w:szCs w:val="22"/>
          <w:lang w:eastAsia="ja-JP"/>
        </w:rPr>
        <w:t xml:space="preserve">In order to eliminate this issue, additional amendments are needed for the CC-domain DAI technique, which makes things </w:t>
      </w:r>
      <w:r w:rsidR="00991C10">
        <w:rPr>
          <w:sz w:val="22"/>
          <w:szCs w:val="22"/>
          <w:lang w:eastAsia="ja-JP"/>
        </w:rPr>
        <w:t xml:space="preserve">significantly </w:t>
      </w:r>
      <w:r w:rsidR="009D324B" w:rsidRPr="00991C10">
        <w:rPr>
          <w:sz w:val="22"/>
          <w:szCs w:val="22"/>
          <w:lang w:eastAsia="ja-JP"/>
        </w:rPr>
        <w:t>more complicated.</w:t>
      </w:r>
    </w:p>
    <w:p w:rsidR="00CF43D7" w:rsidRPr="00991C10" w:rsidRDefault="009D324B" w:rsidP="00EA7F96">
      <w:pPr>
        <w:jc w:val="both"/>
        <w:rPr>
          <w:sz w:val="22"/>
          <w:szCs w:val="22"/>
          <w:lang w:eastAsia="ja-JP"/>
        </w:rPr>
      </w:pPr>
      <w:r w:rsidRPr="00991C10">
        <w:rPr>
          <w:sz w:val="22"/>
          <w:szCs w:val="22"/>
          <w:lang w:eastAsia="ja-JP"/>
        </w:rPr>
        <w:t xml:space="preserve">Secondly, there can be ambiguity on TMs of CCs for which the UE misses </w:t>
      </w:r>
      <w:r w:rsidR="00991C10">
        <w:rPr>
          <w:sz w:val="22"/>
          <w:szCs w:val="22"/>
          <w:lang w:eastAsia="ja-JP"/>
        </w:rPr>
        <w:t>(E</w:t>
      </w:r>
      <w:proofErr w:type="gramStart"/>
      <w:r w:rsidR="00991C10">
        <w:rPr>
          <w:sz w:val="22"/>
          <w:szCs w:val="22"/>
          <w:lang w:eastAsia="ja-JP"/>
        </w:rPr>
        <w:t>)PDCCH</w:t>
      </w:r>
      <w:proofErr w:type="gramEnd"/>
      <w:r w:rsidRPr="00991C10">
        <w:rPr>
          <w:sz w:val="22"/>
          <w:szCs w:val="22"/>
          <w:lang w:eastAsia="ja-JP"/>
        </w:rPr>
        <w:t xml:space="preserve"> because UE cannot always kn</w:t>
      </w:r>
      <w:r w:rsidR="00991C10">
        <w:rPr>
          <w:sz w:val="22"/>
          <w:szCs w:val="22"/>
          <w:lang w:eastAsia="ja-JP"/>
        </w:rPr>
        <w:t>ow exactly on which CC the miss-</w:t>
      </w:r>
      <w:r w:rsidRPr="00991C10">
        <w:rPr>
          <w:sz w:val="22"/>
          <w:szCs w:val="22"/>
          <w:lang w:eastAsia="ja-JP"/>
        </w:rPr>
        <w:t xml:space="preserve">detection occurs. </w:t>
      </w:r>
    </w:p>
    <w:p w:rsidR="00D44B12" w:rsidRPr="00991C10" w:rsidRDefault="00D44B12" w:rsidP="00EA7F96">
      <w:pPr>
        <w:jc w:val="both"/>
        <w:rPr>
          <w:sz w:val="22"/>
          <w:szCs w:val="22"/>
          <w:lang w:eastAsia="ja-JP"/>
        </w:rPr>
      </w:pPr>
    </w:p>
    <w:p w:rsidR="00D44B12" w:rsidRPr="00991C10" w:rsidRDefault="00D44B12" w:rsidP="00EA7F96">
      <w:pPr>
        <w:jc w:val="both"/>
        <w:rPr>
          <w:sz w:val="22"/>
          <w:szCs w:val="22"/>
          <w:lang w:eastAsia="ja-JP"/>
        </w:rPr>
      </w:pPr>
      <w:r w:rsidRPr="00991C10">
        <w:rPr>
          <w:sz w:val="22"/>
          <w:szCs w:val="22"/>
          <w:lang w:eastAsia="ja-JP"/>
        </w:rPr>
        <w:t>In HARQ-ACK codebook indicator method, a set of HARQ-ACK codeboo</w:t>
      </w:r>
      <w:r w:rsidR="00991C10">
        <w:rPr>
          <w:sz w:val="22"/>
          <w:szCs w:val="22"/>
          <w:lang w:eastAsia="ja-JP"/>
        </w:rPr>
        <w:t xml:space="preserve">ks are pre-defined or </w:t>
      </w:r>
      <w:proofErr w:type="spellStart"/>
      <w:r w:rsidR="00991C10">
        <w:rPr>
          <w:sz w:val="22"/>
          <w:szCs w:val="22"/>
          <w:lang w:eastAsia="ja-JP"/>
        </w:rPr>
        <w:t>pr</w:t>
      </w:r>
      <w:r w:rsidRPr="00991C10">
        <w:rPr>
          <w:sz w:val="22"/>
          <w:szCs w:val="22"/>
          <w:lang w:eastAsia="ja-JP"/>
        </w:rPr>
        <w:t>c</w:t>
      </w:r>
      <w:proofErr w:type="spellEnd"/>
      <w:r w:rsidRPr="00991C10">
        <w:rPr>
          <w:sz w:val="22"/>
          <w:szCs w:val="22"/>
          <w:lang w:eastAsia="ja-JP"/>
        </w:rPr>
        <w:t xml:space="preserve">-configured and a ‘HARQ-ACK codebook indicator’ in each DL assignment indicates which codebook </w:t>
      </w:r>
      <w:r w:rsidRPr="00991C10">
        <w:rPr>
          <w:sz w:val="22"/>
          <w:szCs w:val="22"/>
          <w:lang w:eastAsia="ja-JP"/>
        </w:rPr>
        <w:lastRenderedPageBreak/>
        <w:t>to be used. In this method, there is a trade-off between the number of bits allocated for ‘HARQ-ACK codebook indicator’ and the scheduling flexibility (number of different codebooks).</w:t>
      </w:r>
    </w:p>
    <w:p w:rsidR="00D62EE3" w:rsidRPr="00991C10" w:rsidRDefault="00D62EE3" w:rsidP="00EA7F96">
      <w:pPr>
        <w:jc w:val="both"/>
        <w:rPr>
          <w:sz w:val="22"/>
          <w:szCs w:val="22"/>
          <w:lang w:eastAsia="ja-JP"/>
        </w:rPr>
      </w:pPr>
    </w:p>
    <w:p w:rsidR="00D62EE3" w:rsidRPr="00991C10" w:rsidRDefault="00D62EE3" w:rsidP="00EA7F96">
      <w:pPr>
        <w:jc w:val="both"/>
        <w:rPr>
          <w:sz w:val="22"/>
          <w:szCs w:val="22"/>
          <w:lang w:eastAsia="ja-JP"/>
        </w:rPr>
      </w:pPr>
      <w:r w:rsidRPr="00991C10">
        <w:rPr>
          <w:sz w:val="22"/>
          <w:szCs w:val="22"/>
          <w:lang w:eastAsia="ja-JP"/>
        </w:rPr>
        <w:t xml:space="preserve">CRC scrambling method aims to reduce the impact of error case by reducing the probability of a passed CRC for an error case. </w:t>
      </w:r>
      <w:r w:rsidR="008C247E" w:rsidRPr="00991C10">
        <w:rPr>
          <w:sz w:val="22"/>
          <w:szCs w:val="22"/>
          <w:lang w:eastAsia="ja-JP"/>
        </w:rPr>
        <w:t>This can be done by defining a set of bit masks and scrambling the CRC with a bit mask which is determined from the HARQ-ACK codebook size or a DAI. This method may also have to limit the codebook to a pre-defined set of codebooks which reduces the decoder flexibility.</w:t>
      </w:r>
    </w:p>
    <w:p w:rsidR="008C247E" w:rsidRPr="00991C10" w:rsidRDefault="008C247E" w:rsidP="00EA7F96">
      <w:pPr>
        <w:jc w:val="both"/>
        <w:rPr>
          <w:sz w:val="22"/>
          <w:szCs w:val="22"/>
          <w:lang w:eastAsia="ja-JP"/>
        </w:rPr>
      </w:pPr>
    </w:p>
    <w:p w:rsidR="003F30A3" w:rsidRPr="00991C10" w:rsidRDefault="003F30A3" w:rsidP="003F30A3">
      <w:pPr>
        <w:pStyle w:val="BodyText"/>
        <w:jc w:val="both"/>
        <w:rPr>
          <w:rFonts w:eastAsia="SimSun"/>
          <w:sz w:val="22"/>
          <w:szCs w:val="22"/>
          <w:lang w:eastAsia="zh-CN"/>
        </w:rPr>
      </w:pPr>
      <w:r w:rsidRPr="00991C10">
        <w:rPr>
          <w:sz w:val="22"/>
          <w:szCs w:val="22"/>
        </w:rPr>
        <w:t xml:space="preserve">In contrast to above solutions, we propose to use a new DCI format, which is called ‘scheduled CC Indicator DCI’, to indicate the exact </w:t>
      </w:r>
      <w:r w:rsidRPr="00991C10">
        <w:rPr>
          <w:rFonts w:eastAsia="SimSun"/>
          <w:sz w:val="22"/>
          <w:szCs w:val="22"/>
          <w:lang w:eastAsia="zh-CN"/>
        </w:rPr>
        <w:t>scheduled CCs in a subframe via a bitmap of length equal to the number of configured CCs.</w:t>
      </w:r>
      <w:r w:rsidRPr="00991C10">
        <w:rPr>
          <w:sz w:val="22"/>
          <w:szCs w:val="22"/>
        </w:rPr>
        <w:t xml:space="preserve"> </w:t>
      </w:r>
      <w:r w:rsidRPr="00991C10">
        <w:rPr>
          <w:rFonts w:eastAsia="SimSun"/>
          <w:sz w:val="22"/>
          <w:szCs w:val="22"/>
          <w:lang w:eastAsia="zh-CN"/>
        </w:rPr>
        <w:t xml:space="preserve">By decoding the bitmap in the new DCI, the UE will have knowledge of number of CCs, the exact CCs, and the order of CCs that have been scheduled in one subframe. The new DCI can be transmitted in multiple CCs (e.g. 2 or 3 or more as needed) to provide reliability. The CCs on which the UE should monitor this new DCI are configurable by the eNB. </w:t>
      </w:r>
    </w:p>
    <w:p w:rsidR="003F30A3" w:rsidRPr="00991C10" w:rsidRDefault="003F30A3" w:rsidP="003F30A3">
      <w:pPr>
        <w:pStyle w:val="BodyText"/>
        <w:jc w:val="both"/>
        <w:rPr>
          <w:rFonts w:eastAsia="SimSun"/>
          <w:sz w:val="22"/>
          <w:szCs w:val="22"/>
          <w:lang w:eastAsia="zh-CN"/>
        </w:rPr>
      </w:pPr>
      <w:r w:rsidRPr="00991C10">
        <w:rPr>
          <w:rFonts w:eastAsia="SimSun"/>
          <w:sz w:val="22"/>
          <w:szCs w:val="22"/>
          <w:lang w:eastAsia="zh-CN"/>
        </w:rPr>
        <w:t xml:space="preserve">UE can first decode this new DCI to find out the exact scheduled CCs in a given subframe, and attempt to decode </w:t>
      </w:r>
      <w:r w:rsidR="00026A94">
        <w:rPr>
          <w:sz w:val="22"/>
          <w:szCs w:val="22"/>
        </w:rPr>
        <w:t>(E</w:t>
      </w:r>
      <w:proofErr w:type="gramStart"/>
      <w:r w:rsidR="00026A94">
        <w:rPr>
          <w:sz w:val="22"/>
          <w:szCs w:val="22"/>
        </w:rPr>
        <w:t>)PDCCH</w:t>
      </w:r>
      <w:proofErr w:type="gramEnd"/>
      <w:r w:rsidRPr="00991C10">
        <w:rPr>
          <w:rFonts w:eastAsia="SimSun"/>
          <w:sz w:val="22"/>
          <w:szCs w:val="22"/>
          <w:lang w:eastAsia="zh-CN"/>
        </w:rPr>
        <w:t xml:space="preserve"> only on the CCs indicated by the bitmap.</w:t>
      </w:r>
    </w:p>
    <w:p w:rsidR="003F30A3" w:rsidRPr="00991C10" w:rsidRDefault="003F30A3" w:rsidP="003F30A3">
      <w:pPr>
        <w:jc w:val="both"/>
        <w:rPr>
          <w:rFonts w:eastAsia="MS Mincho"/>
          <w:sz w:val="22"/>
          <w:szCs w:val="22"/>
        </w:rPr>
      </w:pPr>
      <w:r w:rsidRPr="00991C10">
        <w:rPr>
          <w:sz w:val="22"/>
          <w:szCs w:val="22"/>
        </w:rPr>
        <w:t xml:space="preserve">This provides a simple solution to ensure same understanding between eNB and UE regarding HARQ-ACK order, codebook size, as well as resolving the </w:t>
      </w:r>
      <w:r w:rsidRPr="00991C10">
        <w:rPr>
          <w:rFonts w:eastAsia="MS Mincho"/>
          <w:sz w:val="22"/>
          <w:szCs w:val="22"/>
        </w:rPr>
        <w:t>ambiguity of TMs of CCs.</w:t>
      </w:r>
      <w:r w:rsidRPr="00991C10">
        <w:rPr>
          <w:sz w:val="22"/>
          <w:szCs w:val="22"/>
        </w:rPr>
        <w:t xml:space="preserve"> </w:t>
      </w:r>
      <w:r w:rsidRPr="00991C10">
        <w:rPr>
          <w:rFonts w:eastAsia="MS Mincho"/>
          <w:sz w:val="22"/>
          <w:szCs w:val="22"/>
        </w:rPr>
        <w:t xml:space="preserve">Additionally, this </w:t>
      </w:r>
      <w:r w:rsidR="00026A94">
        <w:rPr>
          <w:rFonts w:eastAsia="MS Mincho"/>
          <w:sz w:val="22"/>
          <w:szCs w:val="22"/>
        </w:rPr>
        <w:t>can be used to reduce</w:t>
      </w:r>
      <w:r w:rsidRPr="00991C10">
        <w:rPr>
          <w:rFonts w:eastAsia="MS Mincho"/>
          <w:sz w:val="22"/>
          <w:szCs w:val="22"/>
        </w:rPr>
        <w:t xml:space="preserve"> the number of blind decodes for the UE</w:t>
      </w:r>
      <w:r w:rsidR="00E078F2">
        <w:rPr>
          <w:rFonts w:eastAsia="MS Mincho"/>
          <w:sz w:val="22"/>
          <w:szCs w:val="22"/>
        </w:rPr>
        <w:t xml:space="preserve"> and also m</w:t>
      </w:r>
      <w:bookmarkStart w:id="0" w:name="_GoBack"/>
      <w:bookmarkEnd w:id="0"/>
      <w:r w:rsidR="00E078F2">
        <w:rPr>
          <w:rFonts w:eastAsia="MS Mincho"/>
          <w:sz w:val="22"/>
          <w:szCs w:val="22"/>
        </w:rPr>
        <w:t>inimizes false positive detection probability of DL grants</w:t>
      </w:r>
      <w:r w:rsidRPr="00991C10">
        <w:rPr>
          <w:rFonts w:eastAsia="MS Mincho"/>
          <w:sz w:val="22"/>
          <w:szCs w:val="22"/>
        </w:rPr>
        <w:t>.</w:t>
      </w:r>
    </w:p>
    <w:p w:rsidR="003F30A3" w:rsidRDefault="003F30A3" w:rsidP="003F30A3">
      <w:pPr>
        <w:jc w:val="both"/>
        <w:rPr>
          <w:rFonts w:eastAsia="MS Mincho"/>
          <w:sz w:val="22"/>
        </w:rPr>
      </w:pPr>
    </w:p>
    <w:p w:rsidR="003F30A3" w:rsidRDefault="003F30A3" w:rsidP="003F30A3">
      <w:pPr>
        <w:jc w:val="both"/>
        <w:rPr>
          <w:lang w:eastAsia="ja-JP"/>
        </w:rPr>
      </w:pPr>
      <w:r w:rsidRPr="003F30A3">
        <w:rPr>
          <w:rFonts w:eastAsia="MS Mincho"/>
          <w:b/>
          <w:i/>
          <w:sz w:val="22"/>
          <w:u w:val="single"/>
        </w:rPr>
        <w:t>Proposal</w:t>
      </w:r>
      <w:r w:rsidRPr="003F30A3">
        <w:rPr>
          <w:rFonts w:eastAsia="MS Mincho"/>
          <w:b/>
          <w:i/>
          <w:sz w:val="22"/>
        </w:rPr>
        <w:t xml:space="preserve">: Use a new DCI format, </w:t>
      </w:r>
      <w:r w:rsidRPr="003F30A3">
        <w:rPr>
          <w:b/>
          <w:i/>
          <w:lang w:eastAsia="ja-JP"/>
        </w:rPr>
        <w:t xml:space="preserve">‘scheduled CC Indicator DCI’, to indicate the exact </w:t>
      </w:r>
      <w:r w:rsidRPr="003F30A3">
        <w:rPr>
          <w:b/>
          <w:i/>
          <w:sz w:val="22"/>
        </w:rPr>
        <w:t>scheduled CCs in a subframe</w:t>
      </w:r>
      <w:r>
        <w:rPr>
          <w:sz w:val="22"/>
        </w:rPr>
        <w:t>.</w:t>
      </w:r>
      <w:r>
        <w:rPr>
          <w:lang w:eastAsia="ja-JP"/>
        </w:rPr>
        <w:t xml:space="preserve"> </w:t>
      </w:r>
    </w:p>
    <w:p w:rsidR="006E42BF" w:rsidRDefault="006E42BF" w:rsidP="00EA7F96">
      <w:pPr>
        <w:jc w:val="both"/>
        <w:rPr>
          <w:lang w:eastAsia="ja-JP"/>
        </w:rPr>
      </w:pPr>
    </w:p>
    <w:p w:rsidR="00674296" w:rsidRDefault="00674296" w:rsidP="00674296">
      <w:pPr>
        <w:pStyle w:val="Heading1"/>
        <w:spacing w:after="120"/>
        <w:jc w:val="both"/>
        <w:rPr>
          <w:sz w:val="22"/>
          <w:szCs w:val="22"/>
          <w:lang w:val="en-AU" w:eastAsia="en-AU"/>
        </w:rPr>
      </w:pPr>
      <w:r w:rsidRPr="006675FE">
        <w:rPr>
          <w:sz w:val="22"/>
          <w:szCs w:val="22"/>
          <w:lang w:val="en-AU" w:eastAsia="en-AU"/>
        </w:rPr>
        <w:t>Conclusion</w:t>
      </w:r>
    </w:p>
    <w:p w:rsidR="00674296" w:rsidRDefault="009B5497" w:rsidP="00674296">
      <w:pPr>
        <w:jc w:val="both"/>
        <w:rPr>
          <w:bCs/>
          <w:sz w:val="22"/>
          <w:szCs w:val="22"/>
          <w:lang w:val="en-AU" w:eastAsia="en-AU"/>
        </w:rPr>
      </w:pPr>
      <w:r>
        <w:rPr>
          <w:rFonts w:eastAsia="MS Mincho"/>
          <w:iCs/>
          <w:sz w:val="22"/>
          <w:szCs w:val="22"/>
          <w:lang w:val="en-AU" w:eastAsia="ja-JP"/>
        </w:rPr>
        <w:t xml:space="preserve">In this contribution, we discussed the proposed solutions </w:t>
      </w:r>
      <w:r>
        <w:rPr>
          <w:bCs/>
          <w:sz w:val="22"/>
          <w:szCs w:val="22"/>
          <w:lang w:val="en-AU" w:eastAsia="en-AU"/>
        </w:rPr>
        <w:t>to ensure same understanding between eNB and UE regarding the HARQ-ACK codebook (including HARQ-ACK order and size) and propose a simple solution as follows.</w:t>
      </w:r>
    </w:p>
    <w:p w:rsidR="009B5497" w:rsidRDefault="009B5497" w:rsidP="00674296">
      <w:pPr>
        <w:jc w:val="both"/>
        <w:rPr>
          <w:bCs/>
          <w:sz w:val="22"/>
          <w:szCs w:val="22"/>
          <w:lang w:val="en-AU" w:eastAsia="en-AU"/>
        </w:rPr>
      </w:pPr>
    </w:p>
    <w:p w:rsidR="009B5497" w:rsidRDefault="009B5497" w:rsidP="009B5497">
      <w:pPr>
        <w:jc w:val="both"/>
        <w:rPr>
          <w:lang w:eastAsia="ja-JP"/>
        </w:rPr>
      </w:pPr>
      <w:r w:rsidRPr="003F30A3">
        <w:rPr>
          <w:rFonts w:eastAsia="MS Mincho"/>
          <w:b/>
          <w:i/>
          <w:sz w:val="22"/>
          <w:u w:val="single"/>
        </w:rPr>
        <w:t>Proposal</w:t>
      </w:r>
      <w:r w:rsidRPr="003F30A3">
        <w:rPr>
          <w:rFonts w:eastAsia="MS Mincho"/>
          <w:b/>
          <w:i/>
          <w:sz w:val="22"/>
        </w:rPr>
        <w:t xml:space="preserve">: Use a new DCI format, </w:t>
      </w:r>
      <w:r w:rsidRPr="003F30A3">
        <w:rPr>
          <w:b/>
          <w:i/>
          <w:lang w:eastAsia="ja-JP"/>
        </w:rPr>
        <w:t xml:space="preserve">‘scheduled CC Indicator DCI’, to indicate the exact </w:t>
      </w:r>
      <w:r w:rsidRPr="003F30A3">
        <w:rPr>
          <w:b/>
          <w:i/>
          <w:sz w:val="22"/>
        </w:rPr>
        <w:t>scheduled CCs in a subframe</w:t>
      </w:r>
      <w:r>
        <w:rPr>
          <w:sz w:val="22"/>
        </w:rPr>
        <w:t>.</w:t>
      </w:r>
      <w:r>
        <w:rPr>
          <w:lang w:eastAsia="ja-JP"/>
        </w:rPr>
        <w:t xml:space="preserve"> </w:t>
      </w:r>
    </w:p>
    <w:p w:rsidR="009B5497" w:rsidRPr="009B5497" w:rsidRDefault="009B5497" w:rsidP="00674296">
      <w:pPr>
        <w:jc w:val="both"/>
        <w:rPr>
          <w:rFonts w:eastAsia="MS Mincho"/>
          <w:iCs/>
          <w:sz w:val="22"/>
          <w:szCs w:val="22"/>
          <w:lang w:val="en-AU" w:eastAsia="ja-JP"/>
        </w:rPr>
      </w:pPr>
    </w:p>
    <w:p w:rsidR="00674296" w:rsidRPr="006675FE" w:rsidRDefault="00674296" w:rsidP="00674296">
      <w:pPr>
        <w:pStyle w:val="Heading1"/>
        <w:numPr>
          <w:ilvl w:val="0"/>
          <w:numId w:val="0"/>
        </w:numPr>
        <w:spacing w:after="120"/>
        <w:ind w:left="425" w:hanging="425"/>
        <w:jc w:val="both"/>
        <w:rPr>
          <w:sz w:val="22"/>
          <w:szCs w:val="22"/>
          <w:lang w:val="en-AU" w:eastAsia="en-AU"/>
        </w:rPr>
      </w:pPr>
      <w:r w:rsidRPr="006675FE">
        <w:rPr>
          <w:sz w:val="22"/>
          <w:szCs w:val="22"/>
          <w:lang w:val="en-AU" w:eastAsia="en-AU"/>
        </w:rPr>
        <w:t>References</w:t>
      </w:r>
    </w:p>
    <w:p w:rsidR="0021056A" w:rsidRDefault="00B05C6A" w:rsidP="0021056A">
      <w:pPr>
        <w:pStyle w:val="ListParagraph"/>
        <w:numPr>
          <w:ilvl w:val="0"/>
          <w:numId w:val="2"/>
        </w:numPr>
        <w:spacing w:after="120"/>
        <w:ind w:left="426"/>
        <w:jc w:val="both"/>
        <w:rPr>
          <w:rFonts w:ascii="Times New Roman" w:hAnsi="Times New Roman"/>
          <w:bCs/>
        </w:rPr>
      </w:pPr>
      <w:bookmarkStart w:id="1" w:name="_Ref429389492"/>
      <w:r>
        <w:rPr>
          <w:rFonts w:ascii="Times New Roman" w:hAnsi="Times New Roman"/>
          <w:bCs/>
        </w:rPr>
        <w:t xml:space="preserve">Chairman’s Notes, </w:t>
      </w:r>
      <w:r w:rsidRPr="00B05C6A">
        <w:rPr>
          <w:rFonts w:ascii="Times New Roman" w:hAnsi="Times New Roman"/>
          <w:bCs/>
        </w:rPr>
        <w:t>3GPP TSG RAN</w:t>
      </w:r>
      <w:r>
        <w:rPr>
          <w:rFonts w:ascii="Times New Roman" w:hAnsi="Times New Roman"/>
          <w:bCs/>
        </w:rPr>
        <w:t xml:space="preserve"> WG1</w:t>
      </w:r>
      <w:r w:rsidRPr="00B05C6A">
        <w:rPr>
          <w:rFonts w:ascii="Times New Roman" w:hAnsi="Times New Roman"/>
          <w:bCs/>
        </w:rPr>
        <w:t xml:space="preserve"> Meeting #</w:t>
      </w:r>
      <w:r>
        <w:rPr>
          <w:rFonts w:ascii="Times New Roman" w:hAnsi="Times New Roman"/>
          <w:bCs/>
        </w:rPr>
        <w:t>82</w:t>
      </w:r>
      <w:r w:rsidRPr="00B05C6A">
        <w:rPr>
          <w:rFonts w:ascii="Times New Roman" w:hAnsi="Times New Roman"/>
          <w:bCs/>
        </w:rPr>
        <w:t xml:space="preserve">, </w:t>
      </w:r>
      <w:r>
        <w:rPr>
          <w:rFonts w:ascii="Times New Roman" w:hAnsi="Times New Roman"/>
          <w:bCs/>
        </w:rPr>
        <w:t>August</w:t>
      </w:r>
      <w:r w:rsidRPr="00B05C6A">
        <w:rPr>
          <w:rFonts w:ascii="Times New Roman" w:hAnsi="Times New Roman"/>
          <w:bCs/>
        </w:rPr>
        <w:t xml:space="preserve"> </w:t>
      </w:r>
      <w:r>
        <w:rPr>
          <w:rFonts w:ascii="Times New Roman" w:hAnsi="Times New Roman"/>
          <w:bCs/>
        </w:rPr>
        <w:t>2</w:t>
      </w:r>
      <w:r w:rsidR="00B875E8">
        <w:rPr>
          <w:rFonts w:ascii="Times New Roman" w:hAnsi="Times New Roman"/>
          <w:bCs/>
        </w:rPr>
        <w:t>4</w:t>
      </w:r>
      <w:r w:rsidRPr="00B05C6A">
        <w:rPr>
          <w:rFonts w:ascii="Times New Roman" w:hAnsi="Times New Roman"/>
          <w:bCs/>
        </w:rPr>
        <w:t>-</w:t>
      </w:r>
      <w:r w:rsidR="00B875E8">
        <w:rPr>
          <w:rFonts w:ascii="Times New Roman" w:hAnsi="Times New Roman"/>
          <w:bCs/>
        </w:rPr>
        <w:t>28</w:t>
      </w:r>
      <w:r w:rsidRPr="00B05C6A">
        <w:rPr>
          <w:rFonts w:ascii="Times New Roman" w:hAnsi="Times New Roman"/>
          <w:bCs/>
        </w:rPr>
        <w:t>, 2015</w:t>
      </w:r>
      <w:bookmarkStart w:id="2" w:name="_Ref430867462"/>
      <w:bookmarkEnd w:id="1"/>
    </w:p>
    <w:p w:rsidR="0021056A" w:rsidRPr="0021056A" w:rsidRDefault="00855235" w:rsidP="0021056A">
      <w:pPr>
        <w:pStyle w:val="ListParagraph"/>
        <w:numPr>
          <w:ilvl w:val="0"/>
          <w:numId w:val="2"/>
        </w:numPr>
        <w:spacing w:after="120"/>
        <w:ind w:left="426"/>
        <w:jc w:val="both"/>
        <w:rPr>
          <w:rFonts w:ascii="Times New Roman" w:hAnsi="Times New Roman"/>
          <w:bCs/>
        </w:rPr>
      </w:pPr>
      <w:r w:rsidRPr="0021056A">
        <w:rPr>
          <w:rFonts w:ascii="Times New Roman" w:hAnsi="Times New Roman"/>
          <w:bCs/>
        </w:rPr>
        <w:t xml:space="preserve">[82-03], HARQ-ACK codebook determination for CA </w:t>
      </w:r>
      <w:proofErr w:type="spellStart"/>
      <w:r w:rsidRPr="0021056A">
        <w:rPr>
          <w:rFonts w:ascii="Times New Roman" w:hAnsi="Times New Roman"/>
          <w:bCs/>
        </w:rPr>
        <w:t>enh</w:t>
      </w:r>
      <w:proofErr w:type="spellEnd"/>
      <w:r w:rsidRPr="0021056A">
        <w:rPr>
          <w:rFonts w:ascii="Times New Roman" w:hAnsi="Times New Roman"/>
          <w:bCs/>
        </w:rPr>
        <w:t>.</w:t>
      </w:r>
      <w:bookmarkEnd w:id="2"/>
    </w:p>
    <w:p w:rsidR="0021056A" w:rsidRPr="0021056A" w:rsidRDefault="0021056A" w:rsidP="0021056A">
      <w:pPr>
        <w:pStyle w:val="ListParagraph"/>
        <w:numPr>
          <w:ilvl w:val="0"/>
          <w:numId w:val="2"/>
        </w:numPr>
        <w:spacing w:after="120"/>
        <w:ind w:left="426"/>
        <w:jc w:val="both"/>
        <w:rPr>
          <w:rFonts w:ascii="Times New Roman" w:hAnsi="Times New Roman"/>
          <w:bCs/>
        </w:rPr>
      </w:pPr>
      <w:bookmarkStart w:id="3" w:name="_Ref430867771"/>
      <w:r w:rsidRPr="0021056A">
        <w:rPr>
          <w:rFonts w:ascii="Times New Roman" w:hAnsi="Times New Roman"/>
          <w:lang w:val="en-US"/>
        </w:rPr>
        <w:t>R1-15xxxx, “Summary of email discussion [82-03]: HARQ-ACK codebook determination”, NTT DOCOMO, INC.</w:t>
      </w:r>
      <w:bookmarkEnd w:id="3"/>
    </w:p>
    <w:sectPr w:rsidR="0021056A" w:rsidRPr="002105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72F8F"/>
    <w:multiLevelType w:val="hybridMultilevel"/>
    <w:tmpl w:val="8F182F34"/>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F6C3688"/>
    <w:multiLevelType w:val="hybridMultilevel"/>
    <w:tmpl w:val="84B826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7716523"/>
    <w:multiLevelType w:val="hybridMultilevel"/>
    <w:tmpl w:val="85242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92233A4"/>
    <w:multiLevelType w:val="hybridMultilevel"/>
    <w:tmpl w:val="B2BE93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71A0EA7"/>
    <w:multiLevelType w:val="hybridMultilevel"/>
    <w:tmpl w:val="BE32285C"/>
    <w:lvl w:ilvl="0" w:tplc="A47A5470">
      <w:start w:val="1"/>
      <w:numFmt w:val="bullet"/>
      <w:lvlText w:val="•"/>
      <w:lvlJc w:val="left"/>
      <w:pPr>
        <w:tabs>
          <w:tab w:val="num" w:pos="360"/>
        </w:tabs>
        <w:ind w:left="360" w:hanging="360"/>
      </w:pPr>
      <w:rPr>
        <w:rFonts w:ascii="Arial" w:hAnsi="Arial" w:cs="Times New Roman" w:hint="default"/>
      </w:rPr>
    </w:lvl>
    <w:lvl w:ilvl="1" w:tplc="9CCEF9DE">
      <w:start w:val="1"/>
      <w:numFmt w:val="bullet"/>
      <w:lvlText w:val="•"/>
      <w:lvlJc w:val="left"/>
      <w:pPr>
        <w:tabs>
          <w:tab w:val="num" w:pos="1080"/>
        </w:tabs>
        <w:ind w:left="1080" w:hanging="360"/>
      </w:pPr>
      <w:rPr>
        <w:rFonts w:ascii="Arial" w:hAnsi="Arial" w:cs="Times New Roman" w:hint="default"/>
      </w:rPr>
    </w:lvl>
    <w:lvl w:ilvl="2" w:tplc="510000DE">
      <w:start w:val="1"/>
      <w:numFmt w:val="bullet"/>
      <w:lvlText w:val="•"/>
      <w:lvlJc w:val="left"/>
      <w:pPr>
        <w:tabs>
          <w:tab w:val="num" w:pos="1800"/>
        </w:tabs>
        <w:ind w:left="1800" w:hanging="360"/>
      </w:pPr>
      <w:rPr>
        <w:rFonts w:ascii="Arial" w:hAnsi="Arial" w:cs="Times New Roman" w:hint="default"/>
      </w:rPr>
    </w:lvl>
    <w:lvl w:ilvl="3" w:tplc="A606B680">
      <w:start w:val="1276"/>
      <w:numFmt w:val="bullet"/>
      <w:lvlText w:val="–"/>
      <w:lvlJc w:val="left"/>
      <w:pPr>
        <w:tabs>
          <w:tab w:val="num" w:pos="2520"/>
        </w:tabs>
        <w:ind w:left="2520" w:hanging="360"/>
      </w:pPr>
      <w:rPr>
        <w:rFonts w:ascii="Arial" w:hAnsi="Arial" w:cs="Times New Roman" w:hint="default"/>
      </w:rPr>
    </w:lvl>
    <w:lvl w:ilvl="4" w:tplc="CE2C2276">
      <w:start w:val="1276"/>
      <w:numFmt w:val="bullet"/>
      <w:lvlText w:val="»"/>
      <w:lvlJc w:val="left"/>
      <w:pPr>
        <w:tabs>
          <w:tab w:val="num" w:pos="3240"/>
        </w:tabs>
        <w:ind w:left="3240" w:hanging="360"/>
      </w:pPr>
      <w:rPr>
        <w:rFonts w:ascii="Arial" w:hAnsi="Arial" w:cs="Times New Roman" w:hint="default"/>
      </w:rPr>
    </w:lvl>
    <w:lvl w:ilvl="5" w:tplc="4FA28926">
      <w:start w:val="1"/>
      <w:numFmt w:val="bullet"/>
      <w:lvlText w:val="•"/>
      <w:lvlJc w:val="left"/>
      <w:pPr>
        <w:tabs>
          <w:tab w:val="num" w:pos="3960"/>
        </w:tabs>
        <w:ind w:left="3960" w:hanging="360"/>
      </w:pPr>
      <w:rPr>
        <w:rFonts w:ascii="Arial" w:hAnsi="Arial" w:cs="Times New Roman" w:hint="default"/>
      </w:rPr>
    </w:lvl>
    <w:lvl w:ilvl="6" w:tplc="EAE88E7C">
      <w:start w:val="1"/>
      <w:numFmt w:val="bullet"/>
      <w:lvlText w:val="•"/>
      <w:lvlJc w:val="left"/>
      <w:pPr>
        <w:tabs>
          <w:tab w:val="num" w:pos="4680"/>
        </w:tabs>
        <w:ind w:left="4680" w:hanging="360"/>
      </w:pPr>
      <w:rPr>
        <w:rFonts w:ascii="Arial" w:hAnsi="Arial" w:cs="Times New Roman" w:hint="default"/>
      </w:rPr>
    </w:lvl>
    <w:lvl w:ilvl="7" w:tplc="C6F8C99E">
      <w:start w:val="1"/>
      <w:numFmt w:val="bullet"/>
      <w:lvlText w:val="•"/>
      <w:lvlJc w:val="left"/>
      <w:pPr>
        <w:tabs>
          <w:tab w:val="num" w:pos="5400"/>
        </w:tabs>
        <w:ind w:left="5400" w:hanging="360"/>
      </w:pPr>
      <w:rPr>
        <w:rFonts w:ascii="Arial" w:hAnsi="Arial" w:cs="Times New Roman" w:hint="default"/>
      </w:rPr>
    </w:lvl>
    <w:lvl w:ilvl="8" w:tplc="43BE5F36">
      <w:start w:val="1"/>
      <w:numFmt w:val="bullet"/>
      <w:lvlText w:val="•"/>
      <w:lvlJc w:val="left"/>
      <w:pPr>
        <w:tabs>
          <w:tab w:val="num" w:pos="6120"/>
        </w:tabs>
        <w:ind w:left="6120" w:hanging="360"/>
      </w:pPr>
      <w:rPr>
        <w:rFonts w:ascii="Arial" w:hAnsi="Arial" w:cs="Times New Roman" w:hint="default"/>
      </w:rPr>
    </w:lvl>
  </w:abstractNum>
  <w:abstractNum w:abstractNumId="6">
    <w:nsid w:val="47F07664"/>
    <w:multiLevelType w:val="hybridMultilevel"/>
    <w:tmpl w:val="7B1A2B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CBD79A1"/>
    <w:multiLevelType w:val="hybridMultilevel"/>
    <w:tmpl w:val="D61EE5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EBE5A7E"/>
    <w:multiLevelType w:val="hybridMultilevel"/>
    <w:tmpl w:val="A84CE6A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62F93548"/>
    <w:multiLevelType w:val="hybridMultilevel"/>
    <w:tmpl w:val="A6326F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10"/>
  </w:num>
  <w:num w:numId="4">
    <w:abstractNumId w:val="7"/>
  </w:num>
  <w:num w:numId="5">
    <w:abstractNumId w:val="3"/>
  </w:num>
  <w:num w:numId="6">
    <w:abstractNumId w:val="6"/>
  </w:num>
  <w:num w:numId="7">
    <w:abstractNumId w:val="4"/>
  </w:num>
  <w:num w:numId="8">
    <w:abstractNumId w:val="2"/>
  </w:num>
  <w:num w:numId="9">
    <w:abstractNumId w:val="9"/>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296"/>
    <w:rsid w:val="00010C8F"/>
    <w:rsid w:val="00011802"/>
    <w:rsid w:val="000267AD"/>
    <w:rsid w:val="00026A94"/>
    <w:rsid w:val="00026B66"/>
    <w:rsid w:val="000B50DC"/>
    <w:rsid w:val="000C38FE"/>
    <w:rsid w:val="000D0DE1"/>
    <w:rsid w:val="000E3E2B"/>
    <w:rsid w:val="001036D6"/>
    <w:rsid w:val="0012740E"/>
    <w:rsid w:val="0017712C"/>
    <w:rsid w:val="001E4B91"/>
    <w:rsid w:val="001E5C99"/>
    <w:rsid w:val="0021056A"/>
    <w:rsid w:val="00210B0D"/>
    <w:rsid w:val="00234629"/>
    <w:rsid w:val="002428A9"/>
    <w:rsid w:val="0029296F"/>
    <w:rsid w:val="002A5BB4"/>
    <w:rsid w:val="002E0C61"/>
    <w:rsid w:val="0030737D"/>
    <w:rsid w:val="00310139"/>
    <w:rsid w:val="003525A4"/>
    <w:rsid w:val="00384F6D"/>
    <w:rsid w:val="003D19EC"/>
    <w:rsid w:val="003D1E35"/>
    <w:rsid w:val="003F30A3"/>
    <w:rsid w:val="00406F29"/>
    <w:rsid w:val="004155CF"/>
    <w:rsid w:val="00423CEF"/>
    <w:rsid w:val="00424AEA"/>
    <w:rsid w:val="00472348"/>
    <w:rsid w:val="00480880"/>
    <w:rsid w:val="00490A90"/>
    <w:rsid w:val="004A75E1"/>
    <w:rsid w:val="004B4178"/>
    <w:rsid w:val="004D5661"/>
    <w:rsid w:val="00514229"/>
    <w:rsid w:val="00525ECB"/>
    <w:rsid w:val="005722AF"/>
    <w:rsid w:val="0057475E"/>
    <w:rsid w:val="005B4EAB"/>
    <w:rsid w:val="005C1EC9"/>
    <w:rsid w:val="006132F9"/>
    <w:rsid w:val="00674296"/>
    <w:rsid w:val="00682910"/>
    <w:rsid w:val="006C0D05"/>
    <w:rsid w:val="006D0305"/>
    <w:rsid w:val="006D7091"/>
    <w:rsid w:val="006E42BF"/>
    <w:rsid w:val="007009D1"/>
    <w:rsid w:val="0070563B"/>
    <w:rsid w:val="0075558B"/>
    <w:rsid w:val="007A60A6"/>
    <w:rsid w:val="007F73B0"/>
    <w:rsid w:val="0085239B"/>
    <w:rsid w:val="00855235"/>
    <w:rsid w:val="00862CA0"/>
    <w:rsid w:val="00876F66"/>
    <w:rsid w:val="008A202C"/>
    <w:rsid w:val="008C247E"/>
    <w:rsid w:val="008C5F46"/>
    <w:rsid w:val="008D2D6D"/>
    <w:rsid w:val="008D3CA7"/>
    <w:rsid w:val="008E0FA6"/>
    <w:rsid w:val="008E10C6"/>
    <w:rsid w:val="008F67F0"/>
    <w:rsid w:val="00911C1F"/>
    <w:rsid w:val="0091672E"/>
    <w:rsid w:val="00921DC9"/>
    <w:rsid w:val="00922EA0"/>
    <w:rsid w:val="00991C10"/>
    <w:rsid w:val="009B3CF0"/>
    <w:rsid w:val="009B5497"/>
    <w:rsid w:val="009D324B"/>
    <w:rsid w:val="009D774D"/>
    <w:rsid w:val="009E5F9F"/>
    <w:rsid w:val="00A041E9"/>
    <w:rsid w:val="00A074F8"/>
    <w:rsid w:val="00A4301C"/>
    <w:rsid w:val="00A720D7"/>
    <w:rsid w:val="00A9697C"/>
    <w:rsid w:val="00AA11E4"/>
    <w:rsid w:val="00AA7F75"/>
    <w:rsid w:val="00AB1865"/>
    <w:rsid w:val="00AD47AB"/>
    <w:rsid w:val="00B05C6A"/>
    <w:rsid w:val="00B64DCB"/>
    <w:rsid w:val="00B65EA4"/>
    <w:rsid w:val="00B875E8"/>
    <w:rsid w:val="00B94F94"/>
    <w:rsid w:val="00BD6021"/>
    <w:rsid w:val="00BD6BF0"/>
    <w:rsid w:val="00C028BB"/>
    <w:rsid w:val="00C22143"/>
    <w:rsid w:val="00C33D7A"/>
    <w:rsid w:val="00C348F4"/>
    <w:rsid w:val="00C72FF6"/>
    <w:rsid w:val="00C9378A"/>
    <w:rsid w:val="00C975A8"/>
    <w:rsid w:val="00CC4921"/>
    <w:rsid w:val="00CC5CA8"/>
    <w:rsid w:val="00CF43D7"/>
    <w:rsid w:val="00D1200D"/>
    <w:rsid w:val="00D40E4E"/>
    <w:rsid w:val="00D44B12"/>
    <w:rsid w:val="00D56B89"/>
    <w:rsid w:val="00D62EE3"/>
    <w:rsid w:val="00DA71F9"/>
    <w:rsid w:val="00DB4E97"/>
    <w:rsid w:val="00DD14B8"/>
    <w:rsid w:val="00DF248E"/>
    <w:rsid w:val="00E078F2"/>
    <w:rsid w:val="00E105AC"/>
    <w:rsid w:val="00E122BA"/>
    <w:rsid w:val="00E332A0"/>
    <w:rsid w:val="00E36D93"/>
    <w:rsid w:val="00E7064C"/>
    <w:rsid w:val="00E71341"/>
    <w:rsid w:val="00E74C8B"/>
    <w:rsid w:val="00EA7F96"/>
    <w:rsid w:val="00EB49C3"/>
    <w:rsid w:val="00F312CB"/>
    <w:rsid w:val="00F55B3F"/>
    <w:rsid w:val="00F81D19"/>
    <w:rsid w:val="00FC4210"/>
    <w:rsid w:val="00FC5969"/>
    <w:rsid w:val="00FD6C89"/>
    <w:rsid w:val="00FE38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 w:type="paragraph" w:styleId="NoSpacing">
    <w:name w:val="No Spacing"/>
    <w:uiPriority w:val="1"/>
    <w:qFormat/>
    <w:rsid w:val="00E332A0"/>
    <w:pPr>
      <w:spacing w:after="0" w:line="240" w:lineRule="auto"/>
    </w:pPr>
  </w:style>
  <w:style w:type="table" w:styleId="TableGrid">
    <w:name w:val="Table Grid"/>
    <w:basedOn w:val="TableNormal"/>
    <w:uiPriority w:val="59"/>
    <w:rsid w:val="00E10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unhideWhenUsed/>
    <w:rsid w:val="003F30A3"/>
    <w:pPr>
      <w:spacing w:after="120"/>
    </w:pPr>
    <w:rPr>
      <w:rFonts w:eastAsia="MS Gothic"/>
      <w:szCs w:val="20"/>
      <w:lang w:val="en-GB" w:eastAsia="ja-JP"/>
    </w:rPr>
  </w:style>
  <w:style w:type="character" w:customStyle="1" w:styleId="BodyTextChar">
    <w:name w:val="Body Text Char"/>
    <w:basedOn w:val="DefaultParagraphFont"/>
    <w:link w:val="BodyText"/>
    <w:semiHidden/>
    <w:rsid w:val="003F30A3"/>
    <w:rPr>
      <w:rFonts w:ascii="Times New Roman" w:eastAsia="MS Gothic" w:hAnsi="Times New Roman" w:cs="Times New Roman"/>
      <w:sz w:val="24"/>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 w:type="paragraph" w:styleId="NoSpacing">
    <w:name w:val="No Spacing"/>
    <w:uiPriority w:val="1"/>
    <w:qFormat/>
    <w:rsid w:val="00E332A0"/>
    <w:pPr>
      <w:spacing w:after="0" w:line="240" w:lineRule="auto"/>
    </w:pPr>
  </w:style>
  <w:style w:type="table" w:styleId="TableGrid">
    <w:name w:val="Table Grid"/>
    <w:basedOn w:val="TableNormal"/>
    <w:uiPriority w:val="59"/>
    <w:rsid w:val="00E10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unhideWhenUsed/>
    <w:rsid w:val="003F30A3"/>
    <w:pPr>
      <w:spacing w:after="120"/>
    </w:pPr>
    <w:rPr>
      <w:rFonts w:eastAsia="MS Gothic"/>
      <w:szCs w:val="20"/>
      <w:lang w:val="en-GB" w:eastAsia="ja-JP"/>
    </w:rPr>
  </w:style>
  <w:style w:type="character" w:customStyle="1" w:styleId="BodyTextChar">
    <w:name w:val="Body Text Char"/>
    <w:basedOn w:val="DefaultParagraphFont"/>
    <w:link w:val="BodyText"/>
    <w:semiHidden/>
    <w:rsid w:val="003F30A3"/>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76066">
      <w:bodyDiv w:val="1"/>
      <w:marLeft w:val="0"/>
      <w:marRight w:val="0"/>
      <w:marTop w:val="0"/>
      <w:marBottom w:val="0"/>
      <w:divBdr>
        <w:top w:val="none" w:sz="0" w:space="0" w:color="auto"/>
        <w:left w:val="none" w:sz="0" w:space="0" w:color="auto"/>
        <w:bottom w:val="none" w:sz="0" w:space="0" w:color="auto"/>
        <w:right w:val="none" w:sz="0" w:space="0" w:color="auto"/>
      </w:divBdr>
    </w:div>
    <w:div w:id="676154226">
      <w:bodyDiv w:val="1"/>
      <w:marLeft w:val="0"/>
      <w:marRight w:val="0"/>
      <w:marTop w:val="0"/>
      <w:marBottom w:val="0"/>
      <w:divBdr>
        <w:top w:val="none" w:sz="0" w:space="0" w:color="auto"/>
        <w:left w:val="none" w:sz="0" w:space="0" w:color="auto"/>
        <w:bottom w:val="none" w:sz="0" w:space="0" w:color="auto"/>
        <w:right w:val="none" w:sz="0" w:space="0" w:color="auto"/>
      </w:divBdr>
    </w:div>
    <w:div w:id="12350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77819-F730-49BE-8EBE-316A8DF0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Pushpika Wijesinghe</dc:creator>
  <cp:lastModifiedBy>NEC</cp:lastModifiedBy>
  <cp:revision>21</cp:revision>
  <dcterms:created xsi:type="dcterms:W3CDTF">2015-09-23T06:19:00Z</dcterms:created>
  <dcterms:modified xsi:type="dcterms:W3CDTF">2015-09-25T05:40:00Z</dcterms:modified>
</cp:coreProperties>
</file>