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7523E84B" w:rsidR="00FA20F7" w:rsidRPr="00077CF3" w:rsidRDefault="00752C50" w:rsidP="00FA20F7">
      <w:pPr>
        <w:pStyle w:val="3GPPHeader"/>
        <w:spacing w:after="0"/>
        <w:rPr>
          <w:rFonts w:ascii="Arial" w:hAnsi="Arial" w:cs="Arial"/>
          <w:szCs w:val="24"/>
          <w:lang w:val="en-US"/>
        </w:rPr>
      </w:pPr>
      <w:bookmarkStart w:id="0" w:name="_GoBack"/>
      <w:bookmarkEnd w:id="0"/>
      <w:r w:rsidRPr="00077CF3">
        <w:rPr>
          <w:rFonts w:ascii="Arial" w:hAnsi="Arial" w:cs="Arial"/>
          <w:lang w:val="en-US"/>
        </w:rPr>
        <w:t>3GPP TSG-RAN WG1 Meeting</w:t>
      </w:r>
      <w:r w:rsidR="001D208F">
        <w:rPr>
          <w:rFonts w:ascii="Arial" w:hAnsi="Arial" w:cs="Arial"/>
          <w:lang w:val="en-US"/>
        </w:rPr>
        <w:t xml:space="preserve"> #82</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563BA3">
        <w:rPr>
          <w:rFonts w:ascii="Arial" w:hAnsi="Arial" w:cs="Arial"/>
          <w:szCs w:val="24"/>
          <w:lang w:val="en-US"/>
        </w:rPr>
        <w:t>4309</w:t>
      </w:r>
    </w:p>
    <w:p w14:paraId="231ECCBD" w14:textId="53ACB6D7" w:rsidR="00FA20F7" w:rsidRPr="00077CF3" w:rsidRDefault="001D208F" w:rsidP="00FA20F7">
      <w:pPr>
        <w:pStyle w:val="3GPPHeader"/>
        <w:rPr>
          <w:rFonts w:ascii="Arial" w:hAnsi="Arial" w:cs="Arial"/>
          <w:lang w:val="en-US"/>
        </w:rPr>
      </w:pPr>
      <w:r>
        <w:rPr>
          <w:rFonts w:ascii="Arial" w:hAnsi="Arial" w:cs="Arial"/>
          <w:lang w:val="en-US"/>
        </w:rPr>
        <w:t>Beijing</w:t>
      </w:r>
      <w:r w:rsidR="00752C50" w:rsidRPr="00077CF3">
        <w:rPr>
          <w:rFonts w:ascii="Arial" w:hAnsi="Arial" w:cs="Arial"/>
          <w:lang w:val="en-US"/>
        </w:rPr>
        <w:t>,</w:t>
      </w:r>
      <w:r w:rsidR="00B92FF8">
        <w:rPr>
          <w:rFonts w:ascii="Arial" w:hAnsi="Arial" w:cs="Arial"/>
          <w:lang w:val="en-US"/>
        </w:rPr>
        <w:t xml:space="preserve"> </w:t>
      </w:r>
      <w:r>
        <w:rPr>
          <w:rFonts w:ascii="Arial" w:hAnsi="Arial" w:cs="Arial"/>
          <w:lang w:val="en-US"/>
        </w:rPr>
        <w:t>China</w:t>
      </w:r>
      <w:r w:rsidR="00B92FF8">
        <w:rPr>
          <w:rFonts w:ascii="Arial" w:hAnsi="Arial" w:cs="Arial"/>
          <w:lang w:val="en-US"/>
        </w:rPr>
        <w:t>,</w:t>
      </w:r>
      <w:r w:rsidR="00752C50" w:rsidRPr="00077CF3">
        <w:rPr>
          <w:rFonts w:ascii="Arial" w:hAnsi="Arial" w:cs="Arial"/>
          <w:lang w:val="en-US"/>
        </w:rPr>
        <w:t xml:space="preserve"> </w:t>
      </w:r>
      <w:r w:rsidR="00B92FF8">
        <w:rPr>
          <w:rFonts w:ascii="Arial" w:hAnsi="Arial" w:cs="Arial"/>
          <w:lang w:val="en-US"/>
        </w:rPr>
        <w:t>2</w:t>
      </w:r>
      <w:r>
        <w:rPr>
          <w:rFonts w:ascii="Arial" w:hAnsi="Arial" w:cs="Arial"/>
          <w:lang w:val="en-US"/>
        </w:rPr>
        <w:t>4</w:t>
      </w:r>
      <w:r w:rsidR="00B92FF8" w:rsidRPr="00B92FF8">
        <w:rPr>
          <w:rFonts w:ascii="Arial" w:hAnsi="Arial" w:cs="Arial"/>
          <w:vertAlign w:val="superscript"/>
          <w:lang w:val="en-US"/>
        </w:rPr>
        <w:t>th</w:t>
      </w:r>
      <w:r w:rsidR="00B92FF8">
        <w:rPr>
          <w:rFonts w:ascii="Arial" w:hAnsi="Arial" w:cs="Arial"/>
          <w:lang w:val="en-US"/>
        </w:rPr>
        <w:t xml:space="preserve"> – 2</w:t>
      </w:r>
      <w:r>
        <w:rPr>
          <w:rFonts w:ascii="Arial" w:hAnsi="Arial" w:cs="Arial"/>
          <w:lang w:val="en-US"/>
        </w:rPr>
        <w:t>8</w:t>
      </w:r>
      <w:r w:rsidR="00B92FF8" w:rsidRPr="00B92FF8">
        <w:rPr>
          <w:rFonts w:ascii="Arial" w:hAnsi="Arial" w:cs="Arial"/>
          <w:vertAlign w:val="superscript"/>
          <w:lang w:val="en-US"/>
        </w:rPr>
        <w:t>th</w:t>
      </w:r>
      <w:r w:rsidR="00B92FF8">
        <w:rPr>
          <w:rFonts w:ascii="Arial" w:hAnsi="Arial" w:cs="Arial"/>
          <w:lang w:val="en-US"/>
        </w:rPr>
        <w:t xml:space="preserve"> </w:t>
      </w:r>
      <w:r>
        <w:rPr>
          <w:rFonts w:ascii="Arial" w:hAnsi="Arial" w:cs="Arial"/>
          <w:lang w:val="en-US"/>
        </w:rPr>
        <w:t>August</w:t>
      </w:r>
      <w:r w:rsidR="00B92FF8">
        <w:rPr>
          <w:rFonts w:ascii="Arial" w:hAnsi="Arial" w:cs="Arial"/>
          <w:lang w:val="en-US"/>
        </w:rPr>
        <w:t xml:space="preserve"> </w:t>
      </w:r>
      <w:r w:rsidR="00752C50" w:rsidRPr="00077CF3">
        <w:rPr>
          <w:rFonts w:ascii="Arial" w:hAnsi="Arial" w:cs="Arial"/>
          <w:lang w:val="en-US"/>
        </w:rPr>
        <w:t>2015</w:t>
      </w:r>
    </w:p>
    <w:p w14:paraId="6FA141D4" w14:textId="1F7BFE37" w:rsidR="00FA20F7" w:rsidRPr="00530F6B" w:rsidRDefault="00FA20F7" w:rsidP="00FA20F7">
      <w:pPr>
        <w:pStyle w:val="CRCoverPage"/>
        <w:tabs>
          <w:tab w:val="left" w:pos="1980"/>
        </w:tabs>
        <w:jc w:val="both"/>
        <w:rPr>
          <w:rFonts w:cs="Arial"/>
          <w:b/>
          <w:bCs/>
          <w:sz w:val="24"/>
          <w:lang w:val="fr-CA" w:eastAsia="ja-JP"/>
        </w:rPr>
      </w:pPr>
      <w:r w:rsidRPr="00530F6B">
        <w:rPr>
          <w:rFonts w:cs="Arial"/>
          <w:b/>
          <w:bCs/>
          <w:sz w:val="24"/>
          <w:lang w:val="fr-CA"/>
        </w:rPr>
        <w:t>Agenda Item:</w:t>
      </w:r>
      <w:r w:rsidRPr="00530F6B">
        <w:rPr>
          <w:rFonts w:cs="Arial"/>
          <w:b/>
          <w:bCs/>
          <w:sz w:val="24"/>
          <w:lang w:val="fr-CA"/>
        </w:rPr>
        <w:tab/>
      </w:r>
      <w:r w:rsidR="00563BA3">
        <w:rPr>
          <w:rFonts w:cs="Arial"/>
          <w:b/>
          <w:bCs/>
          <w:sz w:val="24"/>
          <w:lang w:val="fr-CA"/>
        </w:rPr>
        <w:t>7.2.2.1.2</w:t>
      </w:r>
    </w:p>
    <w:p w14:paraId="186753AF" w14:textId="77777777" w:rsidR="00FA20F7" w:rsidRPr="00530F6B" w:rsidRDefault="0092027E" w:rsidP="00FA20F7">
      <w:pPr>
        <w:tabs>
          <w:tab w:val="left" w:pos="1985"/>
        </w:tabs>
        <w:rPr>
          <w:rFonts w:ascii="Arial" w:hAnsi="Arial" w:cs="Arial"/>
          <w:b/>
          <w:bCs/>
          <w:sz w:val="24"/>
          <w:lang w:val="fr-CA"/>
        </w:rPr>
      </w:pPr>
      <w:r w:rsidRPr="00530F6B">
        <w:rPr>
          <w:rFonts w:ascii="Arial" w:hAnsi="Arial" w:cs="Arial"/>
          <w:b/>
          <w:bCs/>
          <w:sz w:val="24"/>
          <w:lang w:val="fr-CA"/>
        </w:rPr>
        <w:t>Source:</w:t>
      </w:r>
      <w:r w:rsidRPr="00530F6B">
        <w:rPr>
          <w:rFonts w:ascii="Arial" w:hAnsi="Arial" w:cs="Arial"/>
          <w:b/>
          <w:bCs/>
          <w:sz w:val="24"/>
          <w:lang w:val="fr-CA"/>
        </w:rPr>
        <w:tab/>
        <w:t>InterDigital</w:t>
      </w:r>
      <w:r w:rsidR="00E17A3B" w:rsidRPr="00530F6B">
        <w:rPr>
          <w:rFonts w:ascii="Arial" w:hAnsi="Arial" w:cs="Arial"/>
          <w:b/>
          <w:bCs/>
          <w:sz w:val="24"/>
          <w:lang w:val="fr-CA"/>
        </w:rPr>
        <w:t xml:space="preserve"> Communications</w:t>
      </w:r>
    </w:p>
    <w:p w14:paraId="4F02292E" w14:textId="3EBA01DF"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006E72">
        <w:rPr>
          <w:rFonts w:ascii="Arial" w:hAnsi="Arial" w:cs="Arial"/>
          <w:b/>
          <w:bCs/>
          <w:sz w:val="24"/>
          <w:lang w:val="en-US"/>
        </w:rPr>
        <w:t xml:space="preserve">HARQ-ACK </w:t>
      </w:r>
      <w:r w:rsidR="001D208F">
        <w:rPr>
          <w:rFonts w:ascii="Arial" w:hAnsi="Arial" w:cs="Arial"/>
          <w:b/>
          <w:bCs/>
          <w:sz w:val="24"/>
          <w:lang w:val="en-US"/>
        </w:rPr>
        <w:t xml:space="preserve">codebook </w:t>
      </w:r>
      <w:r w:rsidR="00973281">
        <w:rPr>
          <w:rFonts w:ascii="Arial" w:hAnsi="Arial" w:cs="Arial"/>
          <w:b/>
          <w:bCs/>
          <w:sz w:val="24"/>
          <w:lang w:val="en-US"/>
        </w:rPr>
        <w:t>determination</w:t>
      </w:r>
    </w:p>
    <w:p w14:paraId="20F2A3ED" w14:textId="323C5E72"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r w:rsidR="00995B06">
        <w:rPr>
          <w:rFonts w:ascii="Arial" w:hAnsi="Arial" w:cs="Arial"/>
          <w:b/>
          <w:bCs/>
          <w:sz w:val="24"/>
          <w:lang w:val="en-US"/>
        </w:rPr>
        <w:t xml:space="preserve"> and decision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C34D28">
      <w:pPr>
        <w:pStyle w:val="Heading1"/>
        <w:rPr>
          <w:sz w:val="32"/>
          <w:lang w:val="en-US"/>
        </w:rPr>
      </w:pPr>
      <w:r w:rsidRPr="00077CF3">
        <w:rPr>
          <w:sz w:val="32"/>
          <w:lang w:val="en-US"/>
        </w:rPr>
        <w:t>Introduction</w:t>
      </w:r>
    </w:p>
    <w:p w14:paraId="0B78DF79" w14:textId="2DEFE55D" w:rsidR="007424C8" w:rsidRDefault="00245630" w:rsidP="003D41C3">
      <w:pPr>
        <w:rPr>
          <w:sz w:val="20"/>
          <w:lang w:val="en-US"/>
        </w:rPr>
      </w:pPr>
      <w:r>
        <w:rPr>
          <w:sz w:val="20"/>
          <w:lang w:val="en-US"/>
        </w:rPr>
        <w:t>During</w:t>
      </w:r>
      <w:r w:rsidR="00A65943">
        <w:rPr>
          <w:sz w:val="20"/>
          <w:lang w:val="en-US"/>
        </w:rPr>
        <w:t xml:space="preserve"> </w:t>
      </w:r>
      <w:r w:rsidR="00322772">
        <w:rPr>
          <w:sz w:val="20"/>
          <w:lang w:val="en-US"/>
        </w:rPr>
        <w:t>RAN1#81</w:t>
      </w:r>
      <w:r>
        <w:rPr>
          <w:sz w:val="20"/>
          <w:lang w:val="en-US"/>
        </w:rPr>
        <w:t xml:space="preserve"> </w:t>
      </w:r>
      <w:r w:rsidR="00322772">
        <w:rPr>
          <w:sz w:val="20"/>
          <w:lang w:val="en-US"/>
        </w:rPr>
        <w:t>[</w:t>
      </w:r>
      <w:r w:rsidR="00892314">
        <w:rPr>
          <w:sz w:val="20"/>
          <w:lang w:val="en-US"/>
        </w:rPr>
        <w:t>1</w:t>
      </w:r>
      <w:r w:rsidR="00322772">
        <w:rPr>
          <w:sz w:val="20"/>
          <w:lang w:val="en-US"/>
        </w:rPr>
        <w:t xml:space="preserve">] the problem of HARQ-ACK codebook </w:t>
      </w:r>
      <w:r w:rsidR="00973281">
        <w:rPr>
          <w:sz w:val="20"/>
          <w:lang w:val="en-US"/>
        </w:rPr>
        <w:t>determination</w:t>
      </w:r>
      <w:r w:rsidR="00322772">
        <w:rPr>
          <w:sz w:val="20"/>
          <w:lang w:val="en-US"/>
        </w:rPr>
        <w:t xml:space="preserve"> for aggregation of u</w:t>
      </w:r>
      <w:r w:rsidR="003B0D29">
        <w:rPr>
          <w:sz w:val="20"/>
          <w:lang w:val="en-US"/>
        </w:rPr>
        <w:t xml:space="preserve">p to 32 carriers was discussed. Several contributions proposed a solution </w:t>
      </w:r>
      <w:r w:rsidR="00304CE0">
        <w:rPr>
          <w:sz w:val="20"/>
          <w:lang w:val="en-US"/>
        </w:rPr>
        <w:t>in which</w:t>
      </w:r>
      <w:r w:rsidR="003B0D29">
        <w:rPr>
          <w:sz w:val="20"/>
          <w:lang w:val="en-US"/>
        </w:rPr>
        <w:t xml:space="preserve"> the codebook</w:t>
      </w:r>
      <w:r w:rsidR="00304CE0">
        <w:rPr>
          <w:sz w:val="20"/>
          <w:lang w:val="en-US"/>
        </w:rPr>
        <w:t xml:space="preserve"> size is adapted to the number of received downlink assignments </w:t>
      </w:r>
      <w:r w:rsidR="00973281">
        <w:rPr>
          <w:sz w:val="20"/>
          <w:lang w:val="en-US"/>
        </w:rPr>
        <w:t xml:space="preserve">determined from the DAI. Other contributions proposed that the codebook size is </w:t>
      </w:r>
      <w:r w:rsidR="006F585C">
        <w:rPr>
          <w:sz w:val="20"/>
          <w:lang w:val="en-US"/>
        </w:rPr>
        <w:t xml:space="preserve">determined only from semi-static configuration. No consensus could be reached </w:t>
      </w:r>
      <w:r w:rsidR="001D001E">
        <w:rPr>
          <w:sz w:val="20"/>
          <w:lang w:val="en-US"/>
        </w:rPr>
        <w:t xml:space="preserve">due to </w:t>
      </w:r>
      <w:r w:rsidR="00F752FE">
        <w:rPr>
          <w:sz w:val="20"/>
          <w:lang w:val="en-US"/>
        </w:rPr>
        <w:t>robustness</w:t>
      </w:r>
      <w:r w:rsidR="001D001E">
        <w:rPr>
          <w:sz w:val="20"/>
          <w:lang w:val="en-US"/>
        </w:rPr>
        <w:t xml:space="preserve"> or </w:t>
      </w:r>
      <w:r w:rsidR="0074189F">
        <w:rPr>
          <w:sz w:val="20"/>
          <w:lang w:val="en-US"/>
        </w:rPr>
        <w:t>efficiency</w:t>
      </w:r>
      <w:r w:rsidR="001D001E">
        <w:rPr>
          <w:sz w:val="20"/>
          <w:lang w:val="en-US"/>
        </w:rPr>
        <w:t xml:space="preserve"> concerns associated to each solution.</w:t>
      </w:r>
      <w:r w:rsidR="006F585C">
        <w:rPr>
          <w:sz w:val="20"/>
          <w:lang w:val="en-US"/>
        </w:rPr>
        <w:t xml:space="preserve"> </w:t>
      </w:r>
    </w:p>
    <w:p w14:paraId="4859ADE0" w14:textId="6C619458" w:rsidR="00605346" w:rsidRDefault="007424C8" w:rsidP="003D41C3">
      <w:pPr>
        <w:rPr>
          <w:sz w:val="20"/>
          <w:lang w:val="en-US"/>
        </w:rPr>
      </w:pPr>
      <w:r>
        <w:rPr>
          <w:sz w:val="20"/>
          <w:lang w:val="en-US"/>
        </w:rPr>
        <w:t xml:space="preserve">In this contribution we </w:t>
      </w:r>
      <w:r w:rsidR="000E573A">
        <w:rPr>
          <w:sz w:val="20"/>
          <w:lang w:val="en-US"/>
        </w:rPr>
        <w:t xml:space="preserve">describe potential </w:t>
      </w:r>
      <w:r w:rsidR="00322772">
        <w:rPr>
          <w:sz w:val="20"/>
          <w:lang w:val="en-US"/>
        </w:rPr>
        <w:t>solution</w:t>
      </w:r>
      <w:r w:rsidR="000E573A">
        <w:rPr>
          <w:sz w:val="20"/>
          <w:lang w:val="en-US"/>
        </w:rPr>
        <w:t>s</w:t>
      </w:r>
      <w:r w:rsidR="00322772">
        <w:rPr>
          <w:sz w:val="20"/>
          <w:lang w:val="en-US"/>
        </w:rPr>
        <w:t xml:space="preserve"> for the determination of the HARQ-ACK codebook that </w:t>
      </w:r>
      <w:r w:rsidR="000E573A">
        <w:rPr>
          <w:sz w:val="20"/>
          <w:lang w:val="en-US"/>
        </w:rPr>
        <w:t xml:space="preserve">addresses </w:t>
      </w:r>
      <w:r w:rsidR="005D4B4C">
        <w:rPr>
          <w:sz w:val="20"/>
          <w:lang w:val="en-US"/>
        </w:rPr>
        <w:t xml:space="preserve">both </w:t>
      </w:r>
      <w:r w:rsidR="000E573A">
        <w:rPr>
          <w:sz w:val="20"/>
          <w:lang w:val="en-US"/>
        </w:rPr>
        <w:t xml:space="preserve">the </w:t>
      </w:r>
      <w:r w:rsidR="00F752FE">
        <w:rPr>
          <w:sz w:val="20"/>
          <w:lang w:val="en-US"/>
        </w:rPr>
        <w:t>robustness</w:t>
      </w:r>
      <w:r w:rsidR="000E573A">
        <w:rPr>
          <w:sz w:val="20"/>
          <w:lang w:val="en-US"/>
        </w:rPr>
        <w:t xml:space="preserve"> and performance concerns.</w:t>
      </w:r>
      <w:r w:rsidR="00322772">
        <w:rPr>
          <w:sz w:val="20"/>
          <w:lang w:val="en-US"/>
        </w:rPr>
        <w:t xml:space="preserve"> </w:t>
      </w:r>
    </w:p>
    <w:p w14:paraId="411E7BBD" w14:textId="499AF060" w:rsidR="00085A01" w:rsidRPr="00077CF3" w:rsidRDefault="00F752FE" w:rsidP="00085A01">
      <w:pPr>
        <w:pStyle w:val="Heading1"/>
        <w:pBdr>
          <w:top w:val="single" w:sz="12" w:space="5" w:color="auto"/>
        </w:pBdr>
        <w:spacing w:after="120"/>
        <w:rPr>
          <w:sz w:val="32"/>
          <w:lang w:val="en-US"/>
        </w:rPr>
      </w:pPr>
      <w:r>
        <w:rPr>
          <w:sz w:val="32"/>
          <w:lang w:val="en-US"/>
        </w:rPr>
        <w:t xml:space="preserve">Requirements for the solution </w:t>
      </w:r>
    </w:p>
    <w:p w14:paraId="76F89C19" w14:textId="1FF35E8C" w:rsidR="0030162F" w:rsidRPr="00530F6B" w:rsidRDefault="0074189F" w:rsidP="00530F6B">
      <w:pPr>
        <w:pStyle w:val="Heading2"/>
        <w:rPr>
          <w:sz w:val="24"/>
          <w:lang w:val="en-US"/>
        </w:rPr>
      </w:pPr>
      <w:r w:rsidRPr="00530F6B">
        <w:rPr>
          <w:sz w:val="24"/>
          <w:lang w:val="en-US"/>
        </w:rPr>
        <w:t>Efficiency</w:t>
      </w:r>
      <w:r w:rsidR="0030162F" w:rsidRPr="00530F6B">
        <w:rPr>
          <w:sz w:val="24"/>
          <w:lang w:val="en-US"/>
        </w:rPr>
        <w:t xml:space="preserve"> considerations</w:t>
      </w:r>
    </w:p>
    <w:p w14:paraId="2466BA0A" w14:textId="5FDA92A6" w:rsidR="001A5F06" w:rsidRDefault="0074189F" w:rsidP="009C4059">
      <w:pPr>
        <w:rPr>
          <w:sz w:val="20"/>
          <w:lang w:val="en-US"/>
        </w:rPr>
      </w:pPr>
      <w:r>
        <w:rPr>
          <w:sz w:val="20"/>
          <w:lang w:val="en-US"/>
        </w:rPr>
        <w:t>As explained in [</w:t>
      </w:r>
      <w:r w:rsidR="00892314">
        <w:rPr>
          <w:sz w:val="20"/>
          <w:lang w:val="en-US"/>
        </w:rPr>
        <w:t>2</w:t>
      </w:r>
      <w:r>
        <w:rPr>
          <w:sz w:val="20"/>
          <w:lang w:val="en-US"/>
        </w:rPr>
        <w:t xml:space="preserve">], </w:t>
      </w:r>
      <w:r w:rsidR="00214BE6">
        <w:rPr>
          <w:sz w:val="20"/>
          <w:lang w:val="en-US"/>
        </w:rPr>
        <w:t>one possible solution is to define the HARQ A/N codebook based only on the semi-static configuration of the UE as in R12</w:t>
      </w:r>
      <w:r w:rsidR="00BA13AD">
        <w:rPr>
          <w:sz w:val="20"/>
          <w:lang w:val="en-US"/>
        </w:rPr>
        <w:t>, which is referred to as “slow codebook adaptation” [3]</w:t>
      </w:r>
      <w:r w:rsidR="001F5D63">
        <w:rPr>
          <w:sz w:val="20"/>
          <w:lang w:val="en-US"/>
        </w:rPr>
        <w:t xml:space="preserve">. </w:t>
      </w:r>
      <w:r w:rsidR="0029177E">
        <w:rPr>
          <w:sz w:val="20"/>
          <w:lang w:val="en-US"/>
        </w:rPr>
        <w:t xml:space="preserve">One drawback of this solution is </w:t>
      </w:r>
      <w:r w:rsidR="005D4B4C">
        <w:rPr>
          <w:sz w:val="20"/>
          <w:lang w:val="en-US"/>
        </w:rPr>
        <w:t xml:space="preserve">that </w:t>
      </w:r>
      <w:r w:rsidR="0029177E">
        <w:rPr>
          <w:sz w:val="20"/>
          <w:lang w:val="en-US"/>
        </w:rPr>
        <w:t xml:space="preserve">the overhead is not dynamically adaptable. </w:t>
      </w:r>
      <w:r w:rsidR="00BA13AD">
        <w:rPr>
          <w:sz w:val="20"/>
          <w:lang w:val="en-US"/>
        </w:rPr>
        <w:t>I</w:t>
      </w:r>
      <w:r w:rsidR="0029177E">
        <w:rPr>
          <w:sz w:val="20"/>
          <w:lang w:val="en-US"/>
        </w:rPr>
        <w:t xml:space="preserve">n some scenarios (e.g. LAA) </w:t>
      </w:r>
      <w:r w:rsidR="00BA13AD">
        <w:rPr>
          <w:sz w:val="20"/>
          <w:lang w:val="en-US"/>
        </w:rPr>
        <w:t>the network</w:t>
      </w:r>
      <w:r w:rsidR="0029177E">
        <w:rPr>
          <w:sz w:val="20"/>
          <w:lang w:val="en-US"/>
        </w:rPr>
        <w:t xml:space="preserve"> may need to configure a UE with multiple carriers, despite possibly being incapable of scheduling the UE on many of those carriers for possibly an extended period of time. In such scenarios, the overhead caused by setting a codebook to match the configured carriers can become unnecessarily prohibitive.</w:t>
      </w:r>
      <w:r w:rsidR="00F66BB9">
        <w:rPr>
          <w:sz w:val="20"/>
          <w:lang w:val="en-US"/>
        </w:rPr>
        <w:t xml:space="preserve"> </w:t>
      </w:r>
      <w:r w:rsidR="001A5F06">
        <w:rPr>
          <w:sz w:val="20"/>
          <w:lang w:val="en-US"/>
        </w:rPr>
        <w:t>This leads to an inefficiency in terms of PUCCH resource usage since the multiplexing capacity of PUCCH is expected to be lower when the number of HARQ A/N bits to be transmitted is higher.</w:t>
      </w:r>
    </w:p>
    <w:p w14:paraId="2AC5A95A" w14:textId="392E398D" w:rsidR="00BA13AD" w:rsidRDefault="001F5D63" w:rsidP="009C4059">
      <w:pPr>
        <w:rPr>
          <w:sz w:val="20"/>
          <w:lang w:val="en-US"/>
        </w:rPr>
      </w:pPr>
      <w:r>
        <w:rPr>
          <w:sz w:val="20"/>
          <w:lang w:val="en-US"/>
        </w:rPr>
        <w:t>The slow codebook adaptation approach relies on the knowledge by the decoder of “</w:t>
      </w:r>
      <w:proofErr w:type="spellStart"/>
      <w:r>
        <w:rPr>
          <w:sz w:val="20"/>
          <w:lang w:val="en-US"/>
        </w:rPr>
        <w:t>Nack</w:t>
      </w:r>
      <w:proofErr w:type="spellEnd"/>
      <w:r>
        <w:rPr>
          <w:sz w:val="20"/>
          <w:lang w:val="en-US"/>
        </w:rPr>
        <w:t xml:space="preserve">” bits corresponding to non-scheduled carriers (i.e., “known </w:t>
      </w:r>
      <w:proofErr w:type="spellStart"/>
      <w:r>
        <w:rPr>
          <w:sz w:val="20"/>
          <w:lang w:val="en-US"/>
        </w:rPr>
        <w:t>Nacks</w:t>
      </w:r>
      <w:proofErr w:type="spellEnd"/>
      <w:r>
        <w:rPr>
          <w:sz w:val="20"/>
          <w:lang w:val="en-US"/>
        </w:rPr>
        <w:t xml:space="preserve">”) to avoid the performance penalty of transmitting these bits from a power and interference perspective. However, when convolutional codes are used </w:t>
      </w:r>
      <w:r w:rsidR="00D06779">
        <w:rPr>
          <w:sz w:val="20"/>
          <w:lang w:val="en-US"/>
        </w:rPr>
        <w:t>the “known”</w:t>
      </w:r>
      <w:r w:rsidR="005D49C4">
        <w:rPr>
          <w:sz w:val="20"/>
          <w:lang w:val="en-US"/>
        </w:rPr>
        <w:t xml:space="preserve"> </w:t>
      </w:r>
      <w:proofErr w:type="spellStart"/>
      <w:r w:rsidR="005D49C4">
        <w:rPr>
          <w:sz w:val="20"/>
          <w:lang w:val="en-US"/>
        </w:rPr>
        <w:t>Nacks</w:t>
      </w:r>
      <w:proofErr w:type="spellEnd"/>
      <w:r w:rsidR="005D49C4">
        <w:rPr>
          <w:sz w:val="20"/>
          <w:lang w:val="en-US"/>
        </w:rPr>
        <w:t xml:space="preserve"> do not help for the decoding of bits beyond the constraint length of the code. Therefore, </w:t>
      </w:r>
      <w:r w:rsidR="00D24563">
        <w:rPr>
          <w:sz w:val="20"/>
          <w:lang w:val="en-US"/>
        </w:rPr>
        <w:t xml:space="preserve">performance becomes sensitive to the encoding order of “known” </w:t>
      </w:r>
      <w:proofErr w:type="spellStart"/>
      <w:r w:rsidR="00D24563">
        <w:rPr>
          <w:sz w:val="20"/>
          <w:lang w:val="en-US"/>
        </w:rPr>
        <w:t>Nacks</w:t>
      </w:r>
      <w:proofErr w:type="spellEnd"/>
      <w:r w:rsidR="00D24563">
        <w:rPr>
          <w:sz w:val="20"/>
          <w:lang w:val="en-US"/>
        </w:rPr>
        <w:t xml:space="preserve">, </w:t>
      </w:r>
      <w:r w:rsidR="002339A2">
        <w:rPr>
          <w:sz w:val="20"/>
          <w:lang w:val="en-US"/>
        </w:rPr>
        <w:t xml:space="preserve">i.e. </w:t>
      </w:r>
      <w:r w:rsidR="005D49C4">
        <w:rPr>
          <w:sz w:val="20"/>
          <w:lang w:val="en-US"/>
        </w:rPr>
        <w:t xml:space="preserve">when there is a large number of consecutive “known” </w:t>
      </w:r>
      <w:proofErr w:type="spellStart"/>
      <w:r w:rsidR="005D49C4">
        <w:rPr>
          <w:sz w:val="20"/>
          <w:lang w:val="en-US"/>
        </w:rPr>
        <w:t>Nacks</w:t>
      </w:r>
      <w:proofErr w:type="spellEnd"/>
      <w:r w:rsidR="005D49C4">
        <w:rPr>
          <w:sz w:val="20"/>
          <w:lang w:val="en-US"/>
        </w:rPr>
        <w:t xml:space="preserve"> the performance penalty cannot be avoided.</w:t>
      </w:r>
    </w:p>
    <w:p w14:paraId="1FC91B53" w14:textId="034B16CD" w:rsidR="001A5F06" w:rsidRDefault="009C4059" w:rsidP="009C4059">
      <w:pPr>
        <w:rPr>
          <w:b/>
          <w:i/>
          <w:sz w:val="20"/>
          <w:lang w:val="en-US"/>
        </w:rPr>
      </w:pPr>
      <w:r w:rsidRPr="0013539F">
        <w:rPr>
          <w:b/>
          <w:i/>
          <w:sz w:val="20"/>
          <w:lang w:val="en-US"/>
        </w:rPr>
        <w:t>Observation</w:t>
      </w:r>
      <w:r w:rsidR="005D49C4">
        <w:rPr>
          <w:b/>
          <w:i/>
          <w:sz w:val="20"/>
          <w:lang w:val="en-US"/>
        </w:rPr>
        <w:t xml:space="preserve"> 1</w:t>
      </w:r>
      <w:r w:rsidRPr="0013539F">
        <w:rPr>
          <w:b/>
          <w:i/>
          <w:sz w:val="20"/>
          <w:lang w:val="en-US"/>
        </w:rPr>
        <w:t xml:space="preserve">: </w:t>
      </w:r>
      <w:r w:rsidR="005D49C4">
        <w:rPr>
          <w:b/>
          <w:i/>
          <w:sz w:val="20"/>
          <w:lang w:val="en-US"/>
        </w:rPr>
        <w:t xml:space="preserve">Slow codebook adaptation with a large number of configured carriers </w:t>
      </w:r>
      <w:r w:rsidR="0083394E">
        <w:rPr>
          <w:b/>
          <w:i/>
          <w:sz w:val="20"/>
          <w:lang w:val="en-US"/>
        </w:rPr>
        <w:t>may result in inefficient usage of resources</w:t>
      </w:r>
      <w:r w:rsidR="005D49C4">
        <w:rPr>
          <w:b/>
          <w:i/>
          <w:sz w:val="20"/>
          <w:lang w:val="en-US"/>
        </w:rPr>
        <w:t>.</w:t>
      </w:r>
    </w:p>
    <w:p w14:paraId="5A763138" w14:textId="1D0B1AE7" w:rsidR="005D49C4" w:rsidRDefault="005D49C4" w:rsidP="009C4059">
      <w:pPr>
        <w:rPr>
          <w:b/>
          <w:i/>
          <w:sz w:val="20"/>
          <w:lang w:val="en-US"/>
        </w:rPr>
      </w:pPr>
      <w:r>
        <w:rPr>
          <w:b/>
          <w:i/>
          <w:sz w:val="20"/>
          <w:lang w:val="en-US"/>
        </w:rPr>
        <w:t xml:space="preserve">Observation 2: </w:t>
      </w:r>
      <w:r w:rsidR="00D24563">
        <w:rPr>
          <w:b/>
          <w:i/>
          <w:sz w:val="20"/>
          <w:lang w:val="en-US"/>
        </w:rPr>
        <w:t xml:space="preserve">Performance of slow codebook adaptation is sensitive to </w:t>
      </w:r>
      <w:r w:rsidR="00530F6B">
        <w:rPr>
          <w:b/>
          <w:i/>
          <w:sz w:val="20"/>
          <w:lang w:val="en-US"/>
        </w:rPr>
        <w:t xml:space="preserve">the </w:t>
      </w:r>
      <w:r w:rsidR="00D24563">
        <w:rPr>
          <w:b/>
          <w:i/>
          <w:sz w:val="20"/>
          <w:lang w:val="en-US"/>
        </w:rPr>
        <w:t>encoding position</w:t>
      </w:r>
      <w:r w:rsidR="00530F6B">
        <w:rPr>
          <w:b/>
          <w:i/>
          <w:sz w:val="20"/>
          <w:lang w:val="en-US"/>
        </w:rPr>
        <w:t>s</w:t>
      </w:r>
      <w:r w:rsidR="00D24563">
        <w:rPr>
          <w:b/>
          <w:i/>
          <w:sz w:val="20"/>
          <w:lang w:val="en-US"/>
        </w:rPr>
        <w:t xml:space="preserve"> of </w:t>
      </w:r>
      <w:proofErr w:type="spellStart"/>
      <w:r w:rsidR="00D24563">
        <w:rPr>
          <w:b/>
          <w:i/>
          <w:sz w:val="20"/>
          <w:lang w:val="en-US"/>
        </w:rPr>
        <w:t>Nacks</w:t>
      </w:r>
      <w:proofErr w:type="spellEnd"/>
      <w:r w:rsidR="00D24563">
        <w:rPr>
          <w:b/>
          <w:i/>
          <w:sz w:val="20"/>
          <w:lang w:val="en-US"/>
        </w:rPr>
        <w:t xml:space="preserve"> corresponding to non-scheduled carriers.</w:t>
      </w:r>
    </w:p>
    <w:p w14:paraId="6246C967" w14:textId="0C3FD3BA" w:rsidR="00530F6B" w:rsidRPr="00530F6B" w:rsidRDefault="00530F6B" w:rsidP="00530F6B">
      <w:pPr>
        <w:pStyle w:val="Heading2"/>
        <w:rPr>
          <w:sz w:val="24"/>
          <w:lang w:val="en-US"/>
        </w:rPr>
      </w:pPr>
      <w:r>
        <w:rPr>
          <w:sz w:val="24"/>
          <w:lang w:val="en-US"/>
        </w:rPr>
        <w:t>Robustness</w:t>
      </w:r>
      <w:r w:rsidRPr="00530F6B">
        <w:rPr>
          <w:sz w:val="24"/>
          <w:lang w:val="en-US"/>
        </w:rPr>
        <w:t xml:space="preserve"> considerations</w:t>
      </w:r>
    </w:p>
    <w:p w14:paraId="36718B22" w14:textId="2850CD77" w:rsidR="00390E4E" w:rsidRDefault="00427D69" w:rsidP="00875DB6">
      <w:pPr>
        <w:rPr>
          <w:sz w:val="20"/>
          <w:lang w:val="en-US"/>
        </w:rPr>
      </w:pPr>
      <w:r>
        <w:rPr>
          <w:sz w:val="20"/>
          <w:lang w:val="en-US"/>
        </w:rPr>
        <w:t xml:space="preserve">To avoid the efficiency problems of the slow codebook adaptation approach, it has been proposed to determine the HARQ-ACK codebook based strictly on the scheduled </w:t>
      </w:r>
      <w:r w:rsidR="00530F6B">
        <w:rPr>
          <w:sz w:val="20"/>
          <w:lang w:val="en-US"/>
        </w:rPr>
        <w:t>downlink assignments</w:t>
      </w:r>
      <w:r>
        <w:rPr>
          <w:sz w:val="20"/>
          <w:lang w:val="en-US"/>
        </w:rPr>
        <w:t xml:space="preserve">. This </w:t>
      </w:r>
      <w:r w:rsidR="00624C2F">
        <w:rPr>
          <w:sz w:val="20"/>
          <w:lang w:val="en-US"/>
        </w:rPr>
        <w:t xml:space="preserve">main issue with </w:t>
      </w:r>
      <w:r>
        <w:rPr>
          <w:sz w:val="20"/>
          <w:lang w:val="en-US"/>
        </w:rPr>
        <w:t xml:space="preserve">type of solution </w:t>
      </w:r>
      <w:r w:rsidR="00624C2F">
        <w:rPr>
          <w:sz w:val="20"/>
          <w:lang w:val="en-US"/>
        </w:rPr>
        <w:t xml:space="preserve">is the sensitivity to missed downlink assignments. </w:t>
      </w:r>
      <w:r w:rsidR="00713128">
        <w:rPr>
          <w:sz w:val="20"/>
          <w:lang w:val="en-US"/>
        </w:rPr>
        <w:t xml:space="preserve">When one (or more) assignment is missed, the </w:t>
      </w:r>
      <w:proofErr w:type="spellStart"/>
      <w:r w:rsidR="00713128">
        <w:rPr>
          <w:sz w:val="20"/>
          <w:lang w:val="en-US"/>
        </w:rPr>
        <w:t>eNB</w:t>
      </w:r>
      <w:proofErr w:type="spellEnd"/>
      <w:r w:rsidR="00713128">
        <w:rPr>
          <w:sz w:val="20"/>
          <w:lang w:val="en-US"/>
        </w:rPr>
        <w:t xml:space="preserve"> may not be able to understand any of the HARQ A/N feedback, even for the detected assignments. </w:t>
      </w:r>
      <w:r w:rsidR="00624C2F">
        <w:rPr>
          <w:sz w:val="20"/>
          <w:lang w:val="en-US"/>
        </w:rPr>
        <w:t xml:space="preserve">To mitigate this problem </w:t>
      </w:r>
      <w:r w:rsidR="00390E4E">
        <w:rPr>
          <w:sz w:val="20"/>
          <w:lang w:val="en-US"/>
        </w:rPr>
        <w:t>it has been proposed [</w:t>
      </w:r>
      <w:r w:rsidR="002339A2">
        <w:rPr>
          <w:sz w:val="20"/>
          <w:lang w:val="en-US"/>
        </w:rPr>
        <w:t>4</w:t>
      </w:r>
      <w:r w:rsidR="00390E4E">
        <w:rPr>
          <w:sz w:val="20"/>
          <w:lang w:val="en-US"/>
        </w:rPr>
        <w:t xml:space="preserve">] to include a DAI representing both time and carrier in both FDD and TDD </w:t>
      </w:r>
      <w:r w:rsidR="00530F6B">
        <w:rPr>
          <w:sz w:val="20"/>
          <w:lang w:val="en-US"/>
        </w:rPr>
        <w:t>downlink</w:t>
      </w:r>
      <w:r w:rsidR="00390E4E">
        <w:rPr>
          <w:sz w:val="20"/>
          <w:lang w:val="en-US"/>
        </w:rPr>
        <w:t xml:space="preserve"> assignments. </w:t>
      </w:r>
    </w:p>
    <w:p w14:paraId="46A167A2" w14:textId="3EE7266C" w:rsidR="00A00EC7" w:rsidRDefault="00875DB6" w:rsidP="00A22BE3">
      <w:pPr>
        <w:rPr>
          <w:sz w:val="20"/>
          <w:lang w:val="en-US"/>
        </w:rPr>
      </w:pPr>
      <w:r>
        <w:rPr>
          <w:sz w:val="20"/>
          <w:lang w:val="en-US"/>
        </w:rPr>
        <w:t xml:space="preserve">One drawback of a solution </w:t>
      </w:r>
      <w:r w:rsidR="00624C2F">
        <w:rPr>
          <w:sz w:val="20"/>
          <w:lang w:val="en-US"/>
        </w:rPr>
        <w:t xml:space="preserve">based on DAI </w:t>
      </w:r>
      <w:r>
        <w:rPr>
          <w:sz w:val="20"/>
          <w:lang w:val="en-US"/>
        </w:rPr>
        <w:t xml:space="preserve">is that for an indication </w:t>
      </w:r>
      <w:r w:rsidR="00530F6B">
        <w:rPr>
          <w:sz w:val="20"/>
          <w:lang w:val="en-US"/>
        </w:rPr>
        <w:t xml:space="preserve">of </w:t>
      </w:r>
      <w:r w:rsidR="00633135">
        <w:rPr>
          <w:sz w:val="20"/>
          <w:lang w:val="en-US"/>
        </w:rPr>
        <w:t>size N bits</w:t>
      </w:r>
      <w:r>
        <w:rPr>
          <w:sz w:val="20"/>
          <w:lang w:val="en-US"/>
        </w:rPr>
        <w:t>,</w:t>
      </w:r>
      <w:r w:rsidR="00633135">
        <w:rPr>
          <w:sz w:val="20"/>
          <w:lang w:val="en-US"/>
        </w:rPr>
        <w:t xml:space="preserve"> if a UE misses 2</w:t>
      </w:r>
      <w:r w:rsidR="00633135">
        <w:rPr>
          <w:sz w:val="20"/>
          <w:vertAlign w:val="superscript"/>
          <w:lang w:val="en-US"/>
        </w:rPr>
        <w:t>N</w:t>
      </w:r>
      <w:r w:rsidR="00633135">
        <w:rPr>
          <w:sz w:val="20"/>
          <w:lang w:val="en-US"/>
        </w:rPr>
        <w:t xml:space="preserve"> consecutive assignments, the UE will not know that it has missed any assignment and will construct the feedback without adding the appropriate Nacks.  </w:t>
      </w:r>
      <w:r w:rsidR="00624C2F">
        <w:rPr>
          <w:sz w:val="20"/>
          <w:lang w:val="en-US"/>
        </w:rPr>
        <w:t>T</w:t>
      </w:r>
      <w:r w:rsidR="00633135">
        <w:rPr>
          <w:sz w:val="20"/>
          <w:lang w:val="en-US"/>
        </w:rPr>
        <w:t xml:space="preserve">here is </w:t>
      </w:r>
      <w:r w:rsidR="00624C2F">
        <w:rPr>
          <w:sz w:val="20"/>
          <w:lang w:val="en-US"/>
        </w:rPr>
        <w:t xml:space="preserve">also </w:t>
      </w:r>
      <w:r w:rsidR="00633135">
        <w:rPr>
          <w:sz w:val="20"/>
          <w:lang w:val="en-US"/>
        </w:rPr>
        <w:t xml:space="preserve">no </w:t>
      </w:r>
      <w:r w:rsidR="00624C2F">
        <w:rPr>
          <w:sz w:val="20"/>
          <w:lang w:val="en-US"/>
        </w:rPr>
        <w:t xml:space="preserve">protection against missing </w:t>
      </w:r>
      <w:r w:rsidR="00633135">
        <w:rPr>
          <w:sz w:val="20"/>
          <w:lang w:val="en-US"/>
        </w:rPr>
        <w:t xml:space="preserve">the final assignment.  </w:t>
      </w:r>
      <w:r w:rsidR="00706317">
        <w:rPr>
          <w:sz w:val="20"/>
          <w:lang w:val="en-US"/>
        </w:rPr>
        <w:t xml:space="preserve">It </w:t>
      </w:r>
      <w:r w:rsidR="00624C2F">
        <w:rPr>
          <w:sz w:val="20"/>
          <w:lang w:val="en-US"/>
        </w:rPr>
        <w:t>may be</w:t>
      </w:r>
      <w:r w:rsidR="00706317">
        <w:rPr>
          <w:sz w:val="20"/>
          <w:lang w:val="en-US"/>
        </w:rPr>
        <w:t xml:space="preserve"> argued that the probability of missing 4 (for N=2) consecutive assignments is low, and therefore not a problem that requires attention.</w:t>
      </w:r>
      <w:r w:rsidR="00A00EC7">
        <w:rPr>
          <w:sz w:val="20"/>
          <w:lang w:val="en-US"/>
        </w:rPr>
        <w:t xml:space="preserve">  However, the reality is that there may be some correlation between the performance of adjacent carriers (for example switching from LOS to NLOS).  Furthermore, even for non-correlated channels, an increase </w:t>
      </w:r>
      <w:r w:rsidR="00624C2F">
        <w:rPr>
          <w:sz w:val="20"/>
          <w:lang w:val="en-US"/>
        </w:rPr>
        <w:t xml:space="preserve">in the total number of </w:t>
      </w:r>
      <w:r w:rsidR="00624C2F">
        <w:rPr>
          <w:sz w:val="20"/>
          <w:lang w:val="en-US"/>
        </w:rPr>
        <w:lastRenderedPageBreak/>
        <w:t>carriers</w:t>
      </w:r>
      <w:r w:rsidR="00A00EC7">
        <w:rPr>
          <w:sz w:val="20"/>
          <w:lang w:val="en-US"/>
        </w:rPr>
        <w:t xml:space="preserve"> increases the probability of missing four consecutive assignments. For example, if a UE is configured with 6 carriers, there are only three ways of missing four consecutive carriers: missing the first four carriers</w:t>
      </w:r>
      <w:r w:rsidR="00824130">
        <w:rPr>
          <w:sz w:val="20"/>
          <w:lang w:val="en-US"/>
        </w:rPr>
        <w:t>, or missing the 2</w:t>
      </w:r>
      <w:r w:rsidR="00824130" w:rsidRPr="00530F6B">
        <w:rPr>
          <w:sz w:val="20"/>
          <w:vertAlign w:val="superscript"/>
          <w:lang w:val="en-US"/>
        </w:rPr>
        <w:t>nd</w:t>
      </w:r>
      <w:r w:rsidR="00824130">
        <w:rPr>
          <w:sz w:val="20"/>
          <w:lang w:val="en-US"/>
        </w:rPr>
        <w:t xml:space="preserve"> to 5</w:t>
      </w:r>
      <w:r w:rsidR="00824130" w:rsidRPr="00530F6B">
        <w:rPr>
          <w:sz w:val="20"/>
          <w:vertAlign w:val="superscript"/>
          <w:lang w:val="en-US"/>
        </w:rPr>
        <w:t>th</w:t>
      </w:r>
      <w:r w:rsidR="00824130">
        <w:rPr>
          <w:sz w:val="20"/>
          <w:lang w:val="en-US"/>
        </w:rPr>
        <w:t xml:space="preserve"> carriers,</w:t>
      </w:r>
      <w:r w:rsidR="00A00EC7">
        <w:rPr>
          <w:sz w:val="20"/>
          <w:lang w:val="en-US"/>
        </w:rPr>
        <w:t xml:space="preserve"> or missing assignments in the last 4 carriers. On the other hand, with 32 carriers, there are 29 ways to miss 4 consecutive assignments.</w:t>
      </w:r>
      <w:r w:rsidR="00713128">
        <w:rPr>
          <w:sz w:val="20"/>
          <w:lang w:val="en-US"/>
        </w:rPr>
        <w:t xml:space="preserve"> </w:t>
      </w:r>
      <w:r w:rsidR="00824130">
        <w:rPr>
          <w:sz w:val="20"/>
          <w:lang w:val="en-US"/>
        </w:rPr>
        <w:t xml:space="preserve">Therefore, </w:t>
      </w:r>
      <w:r w:rsidR="00A00EC7">
        <w:rPr>
          <w:sz w:val="20"/>
          <w:lang w:val="en-US"/>
        </w:rPr>
        <w:t xml:space="preserve">the number of required retransmissions due to missed detections increases as the number of </w:t>
      </w:r>
      <w:r w:rsidR="00713128">
        <w:rPr>
          <w:sz w:val="20"/>
          <w:lang w:val="en-US"/>
        </w:rPr>
        <w:t xml:space="preserve">configured </w:t>
      </w:r>
      <w:proofErr w:type="gramStart"/>
      <w:r w:rsidR="00A00EC7">
        <w:rPr>
          <w:sz w:val="20"/>
          <w:lang w:val="en-US"/>
        </w:rPr>
        <w:t>carriers</w:t>
      </w:r>
      <w:proofErr w:type="gramEnd"/>
      <w:r w:rsidR="00A00EC7">
        <w:rPr>
          <w:sz w:val="20"/>
          <w:lang w:val="en-US"/>
        </w:rPr>
        <w:t xml:space="preserve"> increases.</w:t>
      </w:r>
    </w:p>
    <w:p w14:paraId="2CBD564F" w14:textId="09FB30AC" w:rsidR="0083394E" w:rsidRPr="00EF102E" w:rsidRDefault="00EF102E" w:rsidP="00A22BE3">
      <w:pPr>
        <w:rPr>
          <w:sz w:val="20"/>
          <w:lang w:val="en-US"/>
        </w:rPr>
      </w:pPr>
      <w:r>
        <w:rPr>
          <w:sz w:val="20"/>
          <w:lang w:val="en-US"/>
        </w:rPr>
        <w:t xml:space="preserve">To address the </w:t>
      </w:r>
      <w:r w:rsidR="00370209">
        <w:rPr>
          <w:sz w:val="20"/>
          <w:lang w:val="en-US"/>
        </w:rPr>
        <w:t xml:space="preserve">lack of robustness with the DAI solution, increasing the number </w:t>
      </w:r>
      <w:proofErr w:type="gramStart"/>
      <w:r w:rsidR="00370209">
        <w:rPr>
          <w:sz w:val="20"/>
          <w:lang w:val="en-US"/>
        </w:rPr>
        <w:t>od</w:t>
      </w:r>
      <w:proofErr w:type="gramEnd"/>
      <w:r w:rsidR="00370209">
        <w:rPr>
          <w:sz w:val="20"/>
          <w:lang w:val="en-US"/>
        </w:rPr>
        <w:t xml:space="preserve"> DAI bits may be considered. However, such a solution comes at a cost of increasing the downlink control </w:t>
      </w:r>
      <w:r w:rsidR="00713128">
        <w:rPr>
          <w:sz w:val="20"/>
          <w:lang w:val="en-US"/>
        </w:rPr>
        <w:t>overhead</w:t>
      </w:r>
      <w:r w:rsidR="00370209">
        <w:rPr>
          <w:sz w:val="20"/>
          <w:lang w:val="en-US"/>
        </w:rPr>
        <w:t>.</w:t>
      </w:r>
    </w:p>
    <w:p w14:paraId="7B981683" w14:textId="21677E7E" w:rsidR="00294AA1" w:rsidRDefault="00294AA1" w:rsidP="00A22BE3">
      <w:pPr>
        <w:rPr>
          <w:b/>
          <w:i/>
          <w:sz w:val="20"/>
          <w:lang w:val="en-US"/>
        </w:rPr>
      </w:pPr>
      <w:r w:rsidRPr="0013539F">
        <w:rPr>
          <w:b/>
          <w:i/>
          <w:sz w:val="20"/>
          <w:lang w:val="en-US"/>
        </w:rPr>
        <w:t>Observation</w:t>
      </w:r>
      <w:r w:rsidR="00370209">
        <w:rPr>
          <w:b/>
          <w:i/>
          <w:sz w:val="20"/>
          <w:lang w:val="en-US"/>
        </w:rPr>
        <w:t xml:space="preserve"> 3</w:t>
      </w:r>
      <w:r w:rsidRPr="0013539F">
        <w:rPr>
          <w:b/>
          <w:i/>
          <w:sz w:val="20"/>
          <w:lang w:val="en-US"/>
        </w:rPr>
        <w:t xml:space="preserve">: </w:t>
      </w:r>
      <w:r w:rsidR="00713128">
        <w:rPr>
          <w:b/>
          <w:i/>
          <w:sz w:val="20"/>
          <w:lang w:val="en-US"/>
        </w:rPr>
        <w:t xml:space="preserve">Codebook </w:t>
      </w:r>
      <w:proofErr w:type="spellStart"/>
      <w:r w:rsidR="00713128">
        <w:rPr>
          <w:b/>
          <w:i/>
          <w:sz w:val="20"/>
          <w:lang w:val="en-US"/>
        </w:rPr>
        <w:t>adpatation</w:t>
      </w:r>
      <w:proofErr w:type="spellEnd"/>
      <w:r w:rsidRPr="00530F6B">
        <w:rPr>
          <w:b/>
          <w:i/>
          <w:sz w:val="20"/>
          <w:lang w:val="en-US"/>
        </w:rPr>
        <w:t xml:space="preserve"> using DAI </w:t>
      </w:r>
      <w:r w:rsidR="00713128">
        <w:rPr>
          <w:b/>
          <w:i/>
          <w:sz w:val="20"/>
          <w:lang w:val="en-US"/>
        </w:rPr>
        <w:t>is not robust with a large number of configured carriers</w:t>
      </w:r>
      <w:r w:rsidR="00F66BB9">
        <w:rPr>
          <w:b/>
          <w:i/>
          <w:sz w:val="20"/>
          <w:lang w:val="en-US"/>
        </w:rPr>
        <w:t>.</w:t>
      </w:r>
    </w:p>
    <w:p w14:paraId="6524F418" w14:textId="703B85B9" w:rsidR="001517FF" w:rsidRDefault="00530F6B" w:rsidP="001517FF">
      <w:pPr>
        <w:rPr>
          <w:sz w:val="20"/>
          <w:lang w:val="en-US"/>
        </w:rPr>
      </w:pPr>
      <w:r>
        <w:rPr>
          <w:sz w:val="20"/>
          <w:lang w:val="en-US"/>
        </w:rPr>
        <w:t>A</w:t>
      </w:r>
      <w:r w:rsidR="00370209">
        <w:rPr>
          <w:sz w:val="20"/>
          <w:lang w:val="en-US"/>
        </w:rPr>
        <w:t xml:space="preserve"> </w:t>
      </w:r>
      <w:r>
        <w:rPr>
          <w:sz w:val="20"/>
          <w:lang w:val="en-US"/>
        </w:rPr>
        <w:t xml:space="preserve">better </w:t>
      </w:r>
      <w:r w:rsidR="001517FF">
        <w:rPr>
          <w:sz w:val="20"/>
          <w:lang w:val="en-US"/>
        </w:rPr>
        <w:t xml:space="preserve">approach for providing dynamic information with complete robustness to missed assignments is to repeat the </w:t>
      </w:r>
      <w:r w:rsidR="00370209">
        <w:rPr>
          <w:sz w:val="20"/>
          <w:lang w:val="en-US"/>
        </w:rPr>
        <w:t xml:space="preserve">indication in all </w:t>
      </w:r>
      <w:r w:rsidR="001517FF">
        <w:rPr>
          <w:sz w:val="20"/>
          <w:lang w:val="en-US"/>
        </w:rPr>
        <w:t>PDCCH/E-PDCCH</w:t>
      </w:r>
      <w:r w:rsidR="00370209">
        <w:rPr>
          <w:sz w:val="20"/>
          <w:lang w:val="en-US"/>
        </w:rPr>
        <w:t>s scheduling downlink assignments</w:t>
      </w:r>
      <w:r w:rsidR="001517FF">
        <w:rPr>
          <w:sz w:val="20"/>
          <w:lang w:val="en-US"/>
        </w:rPr>
        <w:t xml:space="preserve"> (except maybe in the </w:t>
      </w:r>
      <w:proofErr w:type="spellStart"/>
      <w:r w:rsidR="001517FF">
        <w:rPr>
          <w:sz w:val="20"/>
          <w:lang w:val="en-US"/>
        </w:rPr>
        <w:t>Pcell</w:t>
      </w:r>
      <w:proofErr w:type="spellEnd"/>
      <w:r w:rsidR="001517FF">
        <w:rPr>
          <w:sz w:val="20"/>
          <w:lang w:val="en-US"/>
        </w:rPr>
        <w:t>)</w:t>
      </w:r>
      <w:r w:rsidR="00370209">
        <w:rPr>
          <w:sz w:val="20"/>
          <w:lang w:val="en-US"/>
        </w:rPr>
        <w:t>.</w:t>
      </w:r>
      <w:r w:rsidR="001517FF">
        <w:rPr>
          <w:sz w:val="20"/>
          <w:lang w:val="en-US"/>
        </w:rPr>
        <w:t xml:space="preserve"> This approach has </w:t>
      </w:r>
      <w:r w:rsidR="00DA4908">
        <w:rPr>
          <w:sz w:val="20"/>
          <w:lang w:val="en-US"/>
        </w:rPr>
        <w:t xml:space="preserve">already </w:t>
      </w:r>
      <w:r w:rsidR="001517FF">
        <w:rPr>
          <w:sz w:val="20"/>
          <w:lang w:val="en-US"/>
        </w:rPr>
        <w:t>been successfully utilized with the introduction of the “</w:t>
      </w:r>
      <w:proofErr w:type="spellStart"/>
      <w:r w:rsidR="001517FF">
        <w:rPr>
          <w:sz w:val="20"/>
          <w:lang w:val="en-US"/>
        </w:rPr>
        <w:t>Ack</w:t>
      </w:r>
      <w:proofErr w:type="spellEnd"/>
      <w:r w:rsidR="001517FF">
        <w:rPr>
          <w:sz w:val="20"/>
          <w:lang w:val="en-US"/>
        </w:rPr>
        <w:t>/</w:t>
      </w:r>
      <w:proofErr w:type="spellStart"/>
      <w:r w:rsidR="001517FF">
        <w:rPr>
          <w:sz w:val="20"/>
          <w:lang w:val="en-US"/>
        </w:rPr>
        <w:t>Nack</w:t>
      </w:r>
      <w:proofErr w:type="spellEnd"/>
      <w:r w:rsidR="001517FF">
        <w:rPr>
          <w:sz w:val="20"/>
          <w:lang w:val="en-US"/>
        </w:rPr>
        <w:t xml:space="preserve"> resource indicator” (ARI) </w:t>
      </w:r>
      <w:r>
        <w:rPr>
          <w:sz w:val="20"/>
          <w:lang w:val="en-US"/>
        </w:rPr>
        <w:t>since</w:t>
      </w:r>
      <w:r w:rsidR="00DA4908">
        <w:rPr>
          <w:sz w:val="20"/>
          <w:lang w:val="en-US"/>
        </w:rPr>
        <w:t xml:space="preserve"> R10 for the PUCCH resource.</w:t>
      </w:r>
      <w:r w:rsidR="001517FF">
        <w:rPr>
          <w:sz w:val="20"/>
          <w:lang w:val="en-US"/>
        </w:rPr>
        <w:t xml:space="preserve"> </w:t>
      </w:r>
      <w:r w:rsidR="00DA4908">
        <w:rPr>
          <w:sz w:val="20"/>
          <w:lang w:val="en-US"/>
        </w:rPr>
        <w:t xml:space="preserve">As the same ARI value is indicated in all assignments, the mechanism is robust to missed PDCCH/E-PDCCH detections unless all </w:t>
      </w:r>
      <w:proofErr w:type="spellStart"/>
      <w:r w:rsidR="00DA4908">
        <w:rPr>
          <w:sz w:val="20"/>
          <w:lang w:val="en-US"/>
        </w:rPr>
        <w:t>Scell</w:t>
      </w:r>
      <w:proofErr w:type="spellEnd"/>
      <w:r w:rsidR="00DA4908">
        <w:rPr>
          <w:sz w:val="20"/>
          <w:lang w:val="en-US"/>
        </w:rPr>
        <w:t xml:space="preserve"> assignments are lost. The same principle can also be applied to codebook determination to enable flexible adaptation of the codebook size, as described in the next section.</w:t>
      </w:r>
    </w:p>
    <w:p w14:paraId="0F29DB8D" w14:textId="1DAFCB60" w:rsidR="00A22BE3" w:rsidRPr="0013539F" w:rsidRDefault="00A22BE3" w:rsidP="00A22BE3">
      <w:pPr>
        <w:rPr>
          <w:b/>
          <w:i/>
          <w:sz w:val="20"/>
          <w:lang w:val="en-US"/>
        </w:rPr>
      </w:pPr>
      <w:r w:rsidRPr="0013539F">
        <w:rPr>
          <w:b/>
          <w:i/>
          <w:sz w:val="20"/>
          <w:lang w:val="en-US"/>
        </w:rPr>
        <w:t>Observation</w:t>
      </w:r>
      <w:r w:rsidR="00370209">
        <w:rPr>
          <w:b/>
          <w:i/>
          <w:sz w:val="20"/>
          <w:lang w:val="en-US"/>
        </w:rPr>
        <w:t xml:space="preserve"> 4</w:t>
      </w:r>
      <w:r w:rsidRPr="0013539F">
        <w:rPr>
          <w:b/>
          <w:i/>
          <w:sz w:val="20"/>
          <w:lang w:val="en-US"/>
        </w:rPr>
        <w:t xml:space="preserve">: </w:t>
      </w:r>
      <w:r>
        <w:rPr>
          <w:b/>
          <w:i/>
          <w:sz w:val="20"/>
          <w:lang w:val="en-US"/>
        </w:rPr>
        <w:t xml:space="preserve">Robustness to missed assignments </w:t>
      </w:r>
      <w:r w:rsidR="006235AD">
        <w:rPr>
          <w:b/>
          <w:i/>
          <w:sz w:val="20"/>
          <w:lang w:val="en-US"/>
        </w:rPr>
        <w:t>can be achieved if</w:t>
      </w:r>
      <w:r>
        <w:rPr>
          <w:b/>
          <w:i/>
          <w:sz w:val="20"/>
          <w:lang w:val="en-US"/>
        </w:rPr>
        <w:t xml:space="preserve"> any field used in the determination of the codebook is repeated in each assignment</w:t>
      </w:r>
      <w:r w:rsidR="00650F89">
        <w:rPr>
          <w:b/>
          <w:i/>
          <w:sz w:val="20"/>
          <w:lang w:val="en-US"/>
        </w:rPr>
        <w:t>.</w:t>
      </w:r>
    </w:p>
    <w:p w14:paraId="184693DB" w14:textId="7978EFDE" w:rsidR="00A22BE3" w:rsidRPr="00836C4C" w:rsidRDefault="00CD1301" w:rsidP="00A22BE3">
      <w:pPr>
        <w:rPr>
          <w:b/>
          <w:i/>
          <w:sz w:val="20"/>
          <w:lang w:val="en-US"/>
        </w:rPr>
      </w:pPr>
      <w:r>
        <w:rPr>
          <w:b/>
          <w:i/>
          <w:sz w:val="20"/>
          <w:lang w:val="en-US"/>
        </w:rPr>
        <w:t>Proposal 1: HARQ A/N c</w:t>
      </w:r>
      <w:r w:rsidR="00232D36">
        <w:rPr>
          <w:b/>
          <w:i/>
          <w:sz w:val="20"/>
          <w:lang w:val="en-US"/>
        </w:rPr>
        <w:t>odebook is determined by a Codebook Indicator field set to the same value</w:t>
      </w:r>
      <w:r>
        <w:rPr>
          <w:b/>
          <w:i/>
          <w:sz w:val="20"/>
          <w:lang w:val="en-US"/>
        </w:rPr>
        <w:t xml:space="preserve"> in every PDCCH/E-PDCCH </w:t>
      </w:r>
      <w:r w:rsidR="00232D36">
        <w:rPr>
          <w:b/>
          <w:i/>
          <w:sz w:val="20"/>
          <w:lang w:val="en-US"/>
        </w:rPr>
        <w:t>containing</w:t>
      </w:r>
      <w:r>
        <w:rPr>
          <w:b/>
          <w:i/>
          <w:sz w:val="20"/>
          <w:lang w:val="en-US"/>
        </w:rPr>
        <w:t xml:space="preserve"> downlink assignments</w:t>
      </w:r>
      <w:r w:rsidR="00650F89">
        <w:rPr>
          <w:b/>
          <w:i/>
          <w:sz w:val="20"/>
          <w:lang w:val="en-US"/>
        </w:rPr>
        <w:t>.</w:t>
      </w:r>
    </w:p>
    <w:p w14:paraId="14059233" w14:textId="410C123D" w:rsidR="00CD1301" w:rsidRPr="00077CF3" w:rsidRDefault="00921906" w:rsidP="00CD1301">
      <w:pPr>
        <w:pStyle w:val="Heading1"/>
        <w:pBdr>
          <w:top w:val="single" w:sz="12" w:space="5" w:color="auto"/>
        </w:pBdr>
        <w:spacing w:after="120"/>
        <w:rPr>
          <w:sz w:val="32"/>
          <w:lang w:val="en-US"/>
        </w:rPr>
      </w:pPr>
      <w:r>
        <w:rPr>
          <w:sz w:val="32"/>
          <w:lang w:val="en-US"/>
        </w:rPr>
        <w:t>Codebook indicator</w:t>
      </w:r>
    </w:p>
    <w:p w14:paraId="5DF1E8B7" w14:textId="279A59A3" w:rsidR="00232D36" w:rsidRDefault="00232D36" w:rsidP="00232D36">
      <w:pPr>
        <w:rPr>
          <w:sz w:val="20"/>
          <w:lang w:val="en-US"/>
        </w:rPr>
      </w:pPr>
      <w:r>
        <w:rPr>
          <w:sz w:val="20"/>
          <w:lang w:val="en-US"/>
        </w:rPr>
        <w:t xml:space="preserve">Different options can be envisioned for defining the Codebook Indicator field proposed in the previous section: </w:t>
      </w:r>
    </w:p>
    <w:p w14:paraId="7938FC61" w14:textId="2841449E" w:rsidR="0049503E" w:rsidRPr="00232D36" w:rsidRDefault="0049503E" w:rsidP="00232D36">
      <w:pPr>
        <w:rPr>
          <w:sz w:val="20"/>
        </w:rPr>
      </w:pPr>
      <w:r w:rsidRPr="00530F6B">
        <w:rPr>
          <w:b/>
          <w:sz w:val="20"/>
        </w:rPr>
        <w:t>Option 1</w:t>
      </w:r>
      <w:r w:rsidRPr="00232D36">
        <w:rPr>
          <w:sz w:val="20"/>
        </w:rPr>
        <w:t xml:space="preserve">: The </w:t>
      </w:r>
      <w:r w:rsidR="00E361BA">
        <w:rPr>
          <w:sz w:val="20"/>
        </w:rPr>
        <w:t>Codebook Indicator</w:t>
      </w:r>
      <w:r w:rsidRPr="00232D36">
        <w:rPr>
          <w:sz w:val="20"/>
        </w:rPr>
        <w:t xml:space="preserve"> indicates the order of</w:t>
      </w:r>
      <w:r w:rsidR="00232D36" w:rsidRPr="00232D36">
        <w:rPr>
          <w:sz w:val="20"/>
        </w:rPr>
        <w:t xml:space="preserve"> </w:t>
      </w:r>
      <w:r w:rsidRPr="00232D36">
        <w:rPr>
          <w:sz w:val="20"/>
        </w:rPr>
        <w:t>HARQ A/N bits</w:t>
      </w:r>
      <w:r w:rsidR="00232D36" w:rsidRPr="00232D36">
        <w:rPr>
          <w:sz w:val="20"/>
        </w:rPr>
        <w:t xml:space="preserve"> (e.g. the order of carriers)</w:t>
      </w:r>
      <w:r w:rsidRPr="00232D36">
        <w:rPr>
          <w:sz w:val="20"/>
        </w:rPr>
        <w:t>.</w:t>
      </w:r>
    </w:p>
    <w:p w14:paraId="1CEFF74A" w14:textId="4FEB28A6" w:rsidR="00921906" w:rsidRDefault="0049503E" w:rsidP="0049503E">
      <w:pPr>
        <w:rPr>
          <w:sz w:val="20"/>
        </w:rPr>
      </w:pPr>
      <w:r>
        <w:rPr>
          <w:sz w:val="20"/>
        </w:rPr>
        <w:t xml:space="preserve">This </w:t>
      </w:r>
      <w:r w:rsidR="00530F6B">
        <w:rPr>
          <w:sz w:val="20"/>
        </w:rPr>
        <w:t>option</w:t>
      </w:r>
      <w:r>
        <w:rPr>
          <w:sz w:val="20"/>
        </w:rPr>
        <w:t xml:space="preserve"> </w:t>
      </w:r>
      <w:r w:rsidR="00232D36">
        <w:rPr>
          <w:sz w:val="20"/>
        </w:rPr>
        <w:t xml:space="preserve">allows the network to </w:t>
      </w:r>
      <w:r w:rsidR="00921906">
        <w:rPr>
          <w:sz w:val="20"/>
        </w:rPr>
        <w:t xml:space="preserve">select between different possible codebooks, all of which consisting of the whole set of HARQ A/N bits based on configured carriers. However, the order of the HARQ A/N bits is different between the codebooks. The network can select and indicate the codebook for which the positions of the “known” </w:t>
      </w:r>
      <w:proofErr w:type="spellStart"/>
      <w:r w:rsidR="00921906">
        <w:rPr>
          <w:sz w:val="20"/>
        </w:rPr>
        <w:t>Nacks</w:t>
      </w:r>
      <w:proofErr w:type="spellEnd"/>
      <w:r w:rsidR="00921906">
        <w:rPr>
          <w:sz w:val="20"/>
        </w:rPr>
        <w:t xml:space="preserve"> due to unscheduled carriers would result in optimal performance. Therefore, it has the benefit of mitigating the performance issue of slow codebook adaptation from a power perspective without scheduling restriction. However, </w:t>
      </w:r>
      <w:r w:rsidR="0019457A">
        <w:rPr>
          <w:sz w:val="20"/>
        </w:rPr>
        <w:t xml:space="preserve">the </w:t>
      </w:r>
      <w:r w:rsidR="00921906">
        <w:rPr>
          <w:sz w:val="20"/>
        </w:rPr>
        <w:t xml:space="preserve">issue of inefficient PUCCH resource usage remains since the </w:t>
      </w:r>
      <w:r w:rsidR="00E361BA">
        <w:rPr>
          <w:sz w:val="20"/>
        </w:rPr>
        <w:t>number of HARQ A/N bits to encode is still based on the number of configured carriers.</w:t>
      </w:r>
    </w:p>
    <w:p w14:paraId="7D92C997" w14:textId="1B54D697" w:rsidR="0049503E" w:rsidRPr="00232D36" w:rsidRDefault="0049503E" w:rsidP="00232D36">
      <w:pPr>
        <w:rPr>
          <w:sz w:val="20"/>
        </w:rPr>
      </w:pPr>
      <w:r w:rsidRPr="00530F6B">
        <w:rPr>
          <w:b/>
          <w:sz w:val="20"/>
        </w:rPr>
        <w:t>Option 2</w:t>
      </w:r>
      <w:r w:rsidRPr="00232D36">
        <w:rPr>
          <w:sz w:val="20"/>
        </w:rPr>
        <w:t xml:space="preserve">: The </w:t>
      </w:r>
      <w:r w:rsidR="00E361BA">
        <w:rPr>
          <w:sz w:val="20"/>
        </w:rPr>
        <w:t>Codebook Indi</w:t>
      </w:r>
      <w:r w:rsidR="00F44E8D">
        <w:rPr>
          <w:sz w:val="20"/>
        </w:rPr>
        <w:t>c</w:t>
      </w:r>
      <w:r w:rsidR="00E361BA">
        <w:rPr>
          <w:sz w:val="20"/>
        </w:rPr>
        <w:t>ator</w:t>
      </w:r>
      <w:r w:rsidRPr="00232D36">
        <w:rPr>
          <w:sz w:val="20"/>
        </w:rPr>
        <w:t xml:space="preserve"> indicates a group of carriers for which a UE should report HARQ A/N</w:t>
      </w:r>
      <w:r w:rsidR="00F44E8D">
        <w:rPr>
          <w:sz w:val="20"/>
        </w:rPr>
        <w:t>, among a pre-configured set of groups of carriers</w:t>
      </w:r>
      <w:r w:rsidRPr="00232D36">
        <w:rPr>
          <w:sz w:val="20"/>
        </w:rPr>
        <w:t>.</w:t>
      </w:r>
    </w:p>
    <w:p w14:paraId="299FF1E8" w14:textId="2328D30E" w:rsidR="001645DE" w:rsidRDefault="00C71B72" w:rsidP="00307070">
      <w:pPr>
        <w:rPr>
          <w:sz w:val="20"/>
        </w:rPr>
      </w:pPr>
      <w:r>
        <w:rPr>
          <w:sz w:val="20"/>
        </w:rPr>
        <w:t xml:space="preserve">This </w:t>
      </w:r>
      <w:r w:rsidR="00BC3E95">
        <w:rPr>
          <w:sz w:val="20"/>
        </w:rPr>
        <w:t>option</w:t>
      </w:r>
      <w:r>
        <w:rPr>
          <w:sz w:val="20"/>
        </w:rPr>
        <w:t xml:space="preserve"> allows the network to </w:t>
      </w:r>
      <w:r w:rsidR="00033119">
        <w:rPr>
          <w:sz w:val="20"/>
        </w:rPr>
        <w:t>indicate which pre-configured group(s) of carriers contain at least one downlink assignment. Thus, the num</w:t>
      </w:r>
      <w:r>
        <w:rPr>
          <w:sz w:val="20"/>
        </w:rPr>
        <w:t xml:space="preserve">ber of </w:t>
      </w:r>
      <w:proofErr w:type="spellStart"/>
      <w:r>
        <w:rPr>
          <w:sz w:val="20"/>
        </w:rPr>
        <w:t>Nack</w:t>
      </w:r>
      <w:proofErr w:type="spellEnd"/>
      <w:r>
        <w:rPr>
          <w:sz w:val="20"/>
        </w:rPr>
        <w:t xml:space="preserve"> bits corresponding to non-scheduled carriers (the “known” </w:t>
      </w:r>
      <w:proofErr w:type="spellStart"/>
      <w:r>
        <w:rPr>
          <w:sz w:val="20"/>
        </w:rPr>
        <w:t>Nacks</w:t>
      </w:r>
      <w:proofErr w:type="spellEnd"/>
      <w:r>
        <w:rPr>
          <w:sz w:val="20"/>
        </w:rPr>
        <w:t xml:space="preserve">) </w:t>
      </w:r>
      <w:r w:rsidR="00033119">
        <w:rPr>
          <w:sz w:val="20"/>
        </w:rPr>
        <w:t xml:space="preserve">can be reduced </w:t>
      </w:r>
      <w:r>
        <w:rPr>
          <w:sz w:val="20"/>
        </w:rPr>
        <w:t>when there is no downlink assignment scheduled in certain groups of carriers.</w:t>
      </w:r>
      <w:r w:rsidR="003B792F">
        <w:rPr>
          <w:sz w:val="20"/>
        </w:rPr>
        <w:t xml:space="preserve"> The size of the codebook can therefore be </w:t>
      </w:r>
      <w:r w:rsidR="00033119">
        <w:rPr>
          <w:sz w:val="20"/>
        </w:rPr>
        <w:t>dramatically</w:t>
      </w:r>
      <w:r w:rsidR="003B792F">
        <w:rPr>
          <w:sz w:val="20"/>
        </w:rPr>
        <w:t xml:space="preserve"> reduced, although it may still contain a </w:t>
      </w:r>
      <w:r w:rsidR="00033119">
        <w:rPr>
          <w:sz w:val="20"/>
        </w:rPr>
        <w:t>(</w:t>
      </w:r>
      <w:r w:rsidR="003B792F">
        <w:rPr>
          <w:sz w:val="20"/>
        </w:rPr>
        <w:t>small</w:t>
      </w:r>
      <w:r w:rsidR="00033119">
        <w:rPr>
          <w:sz w:val="20"/>
        </w:rPr>
        <w:t>er)</w:t>
      </w:r>
      <w:r w:rsidR="003B792F">
        <w:rPr>
          <w:sz w:val="20"/>
        </w:rPr>
        <w:t xml:space="preserve"> number of </w:t>
      </w:r>
      <w:proofErr w:type="spellStart"/>
      <w:r w:rsidR="003B792F">
        <w:rPr>
          <w:sz w:val="20"/>
        </w:rPr>
        <w:t>Nacks</w:t>
      </w:r>
      <w:proofErr w:type="spellEnd"/>
      <w:r w:rsidR="003B792F">
        <w:rPr>
          <w:sz w:val="20"/>
        </w:rPr>
        <w:t xml:space="preserve"> from non-scheduled carriers.</w:t>
      </w:r>
      <w:r w:rsidR="00033119">
        <w:rPr>
          <w:sz w:val="20"/>
        </w:rPr>
        <w:t xml:space="preserve"> The reduction of the size of the codebook improves not only performance from a power perspective but also PUCCH resource usage.</w:t>
      </w:r>
    </w:p>
    <w:p w14:paraId="377B530D" w14:textId="7763F4DB" w:rsidR="00407430" w:rsidRDefault="00407430" w:rsidP="00407430">
      <w:pPr>
        <w:rPr>
          <w:sz w:val="20"/>
        </w:rPr>
      </w:pPr>
      <w:r>
        <w:rPr>
          <w:sz w:val="20"/>
        </w:rPr>
        <w:t xml:space="preserve">The exact mapping between Codebook Indicator and corresponding groups of carriers can be realized in a number of ways. One possibility would be to associate each bit of the field to a specific group of carriers and to use each bit to indicate whether the corresponding group of carriers is included in the codebook or not. Another possibility is illustrated in Table 1 </w:t>
      </w:r>
      <w:r w:rsidR="00C7620C">
        <w:rPr>
          <w:sz w:val="20"/>
        </w:rPr>
        <w:t>for a UE configured with 32 carriers</w:t>
      </w:r>
      <w:r w:rsidR="00033119">
        <w:rPr>
          <w:sz w:val="20"/>
        </w:rPr>
        <w:t xml:space="preserve">. </w:t>
      </w:r>
      <w:r>
        <w:rPr>
          <w:sz w:val="20"/>
        </w:rPr>
        <w:t>In this example, o</w:t>
      </w:r>
      <w:r w:rsidR="00033119">
        <w:rPr>
          <w:sz w:val="20"/>
        </w:rPr>
        <w:t xml:space="preserve">ne of the </w:t>
      </w:r>
      <w:proofErr w:type="spellStart"/>
      <w:r w:rsidR="00033119">
        <w:rPr>
          <w:sz w:val="20"/>
        </w:rPr>
        <w:t>codepoints</w:t>
      </w:r>
      <w:proofErr w:type="spellEnd"/>
      <w:r w:rsidR="00033119">
        <w:rPr>
          <w:sz w:val="20"/>
        </w:rPr>
        <w:t xml:space="preserve"> of the indicator </w:t>
      </w:r>
      <w:r w:rsidR="00C7620C">
        <w:rPr>
          <w:sz w:val="20"/>
        </w:rPr>
        <w:t>(00) indicate</w:t>
      </w:r>
      <w:r>
        <w:rPr>
          <w:sz w:val="20"/>
        </w:rPr>
        <w:t>s</w:t>
      </w:r>
      <w:r w:rsidR="00C7620C">
        <w:rPr>
          <w:sz w:val="20"/>
        </w:rPr>
        <w:t xml:space="preserve"> “all carriers” to allow the UE be scheduled on all carriers. Another </w:t>
      </w:r>
      <w:proofErr w:type="spellStart"/>
      <w:r w:rsidR="00C7620C">
        <w:rPr>
          <w:sz w:val="20"/>
        </w:rPr>
        <w:t>codepoint</w:t>
      </w:r>
      <w:proofErr w:type="spellEnd"/>
      <w:r w:rsidR="00C7620C">
        <w:rPr>
          <w:sz w:val="20"/>
        </w:rPr>
        <w:t xml:space="preserve"> (01) can indicate 4 </w:t>
      </w:r>
      <w:r w:rsidR="0019457A">
        <w:rPr>
          <w:sz w:val="20"/>
        </w:rPr>
        <w:t xml:space="preserve">disjoint </w:t>
      </w:r>
      <w:r w:rsidR="00C7620C">
        <w:rPr>
          <w:sz w:val="20"/>
        </w:rPr>
        <w:t xml:space="preserve">groups of 8 carriers. The specific group to select can be </w:t>
      </w:r>
      <w:r w:rsidR="0019457A">
        <w:rPr>
          <w:sz w:val="20"/>
        </w:rPr>
        <w:t>determined</w:t>
      </w:r>
      <w:r w:rsidR="00C7620C">
        <w:rPr>
          <w:sz w:val="20"/>
        </w:rPr>
        <w:t xml:space="preserve"> based on which carriers the assignments are received</w:t>
      </w:r>
      <w:r w:rsidR="0019457A">
        <w:rPr>
          <w:sz w:val="20"/>
        </w:rPr>
        <w:t xml:space="preserve"> for</w:t>
      </w:r>
      <w:r w:rsidR="00C7620C">
        <w:rPr>
          <w:sz w:val="20"/>
        </w:rPr>
        <w:t xml:space="preserve">. The two other </w:t>
      </w:r>
      <w:proofErr w:type="spellStart"/>
      <w:r w:rsidR="00C7620C">
        <w:rPr>
          <w:sz w:val="20"/>
        </w:rPr>
        <w:t>codepoints</w:t>
      </w:r>
      <w:proofErr w:type="spellEnd"/>
      <w:r w:rsidR="00C7620C">
        <w:rPr>
          <w:sz w:val="20"/>
        </w:rPr>
        <w:t xml:space="preserve"> (10) and (11) can indicate different groups of 16</w:t>
      </w:r>
      <w:r w:rsidR="0019457A">
        <w:rPr>
          <w:sz w:val="20"/>
        </w:rPr>
        <w:t xml:space="preserve"> carriers, or possibly</w:t>
      </w:r>
      <w:r w:rsidR="00F22199">
        <w:rPr>
          <w:sz w:val="20"/>
        </w:rPr>
        <w:t xml:space="preserve"> groups where the order of carriers is modified as in Option 1. </w:t>
      </w:r>
      <w:r w:rsidR="0019457A">
        <w:rPr>
          <w:sz w:val="20"/>
        </w:rPr>
        <w:t>The exact mapping can be configured by higher layers to maximize scheduling flexibility</w:t>
      </w:r>
      <w:r w:rsidR="00F22199">
        <w:rPr>
          <w:sz w:val="20"/>
        </w:rPr>
        <w:t xml:space="preserve"> and performance</w:t>
      </w:r>
      <w:r w:rsidR="0019457A">
        <w:rPr>
          <w:sz w:val="20"/>
        </w:rPr>
        <w:t xml:space="preserve">. </w:t>
      </w:r>
      <w:r w:rsidR="00032226">
        <w:rPr>
          <w:sz w:val="20"/>
        </w:rPr>
        <w:t>Additional flexibility could also be obtained using</w:t>
      </w:r>
      <w:r w:rsidR="007E609F">
        <w:rPr>
          <w:sz w:val="20"/>
        </w:rPr>
        <w:t xml:space="preserve"> a field with more than 2 bits. One possibility to minimize additional overhead would be to use a single field for ARI and Codebook Indicator.</w:t>
      </w:r>
      <w:r>
        <w:rPr>
          <w:sz w:val="20"/>
        </w:rPr>
        <w:br w:type="page"/>
      </w:r>
    </w:p>
    <w:p w14:paraId="50B57144" w14:textId="77777777" w:rsidR="00407430" w:rsidRDefault="00407430" w:rsidP="00407430">
      <w:pPr>
        <w:rPr>
          <w:sz w:val="20"/>
        </w:rPr>
      </w:pPr>
    </w:p>
    <w:p w14:paraId="7FDC9DEC" w14:textId="2F02150C" w:rsidR="00033119" w:rsidRDefault="00033119" w:rsidP="00530F6B">
      <w:pPr>
        <w:jc w:val="center"/>
        <w:rPr>
          <w:sz w:val="20"/>
          <w:lang w:val="en-US"/>
        </w:rPr>
      </w:pPr>
      <w:r>
        <w:rPr>
          <w:sz w:val="20"/>
          <w:lang w:val="en-US"/>
        </w:rPr>
        <w:t>Table 1</w:t>
      </w:r>
    </w:p>
    <w:tbl>
      <w:tblPr>
        <w:tblStyle w:val="TableGrid"/>
        <w:tblW w:w="0" w:type="auto"/>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083"/>
        <w:gridCol w:w="6167"/>
      </w:tblGrid>
      <w:tr w:rsidR="00033119" w14:paraId="04C2EFE5" w14:textId="77777777" w:rsidTr="00530F6B">
        <w:trPr>
          <w:jc w:val="center"/>
        </w:trPr>
        <w:tc>
          <w:tcPr>
            <w:tcW w:w="849" w:type="dxa"/>
            <w:tcBorders>
              <w:top w:val="double" w:sz="4" w:space="0" w:color="auto"/>
              <w:bottom w:val="double" w:sz="4" w:space="0" w:color="auto"/>
            </w:tcBorders>
          </w:tcPr>
          <w:p w14:paraId="4DA367E9" w14:textId="1DD59E96" w:rsidR="00033119" w:rsidRPr="00530F6B" w:rsidRDefault="00033119" w:rsidP="00530F6B">
            <w:pPr>
              <w:jc w:val="center"/>
              <w:rPr>
                <w:b/>
                <w:sz w:val="20"/>
                <w:lang w:val="en-US"/>
              </w:rPr>
            </w:pPr>
            <w:r>
              <w:rPr>
                <w:b/>
                <w:sz w:val="20"/>
                <w:lang w:val="en-US"/>
              </w:rPr>
              <w:t>Codebook Indicator</w:t>
            </w:r>
            <w:r w:rsidRPr="00530F6B">
              <w:rPr>
                <w:b/>
                <w:sz w:val="20"/>
                <w:lang w:val="en-US"/>
              </w:rPr>
              <w:t xml:space="preserve"> Value</w:t>
            </w:r>
          </w:p>
        </w:tc>
        <w:tc>
          <w:tcPr>
            <w:tcW w:w="6167" w:type="dxa"/>
            <w:tcBorders>
              <w:top w:val="double" w:sz="4" w:space="0" w:color="auto"/>
              <w:bottom w:val="double" w:sz="4" w:space="0" w:color="auto"/>
            </w:tcBorders>
            <w:vAlign w:val="center"/>
          </w:tcPr>
          <w:p w14:paraId="10D6352E" w14:textId="77777777" w:rsidR="00033119" w:rsidRPr="00530F6B" w:rsidRDefault="00033119" w:rsidP="00530F6B">
            <w:pPr>
              <w:jc w:val="center"/>
              <w:rPr>
                <w:b/>
                <w:sz w:val="20"/>
                <w:lang w:val="en-US"/>
              </w:rPr>
            </w:pPr>
            <w:r w:rsidRPr="00530F6B">
              <w:rPr>
                <w:b/>
                <w:sz w:val="20"/>
                <w:lang w:val="en-US"/>
              </w:rPr>
              <w:t>Set of Carriers for Which to Report HARQ A/N Feedback</w:t>
            </w:r>
          </w:p>
        </w:tc>
      </w:tr>
      <w:tr w:rsidR="00033119" w14:paraId="518BE6FA" w14:textId="77777777" w:rsidTr="00530F6B">
        <w:trPr>
          <w:jc w:val="center"/>
        </w:trPr>
        <w:tc>
          <w:tcPr>
            <w:tcW w:w="849" w:type="dxa"/>
            <w:tcBorders>
              <w:top w:val="double" w:sz="4" w:space="0" w:color="auto"/>
            </w:tcBorders>
            <w:vAlign w:val="center"/>
          </w:tcPr>
          <w:p w14:paraId="4579D0EC" w14:textId="77777777" w:rsidR="00033119" w:rsidRDefault="00033119" w:rsidP="00530F6B">
            <w:pPr>
              <w:jc w:val="center"/>
              <w:rPr>
                <w:sz w:val="20"/>
                <w:lang w:val="en-US"/>
              </w:rPr>
            </w:pPr>
            <w:r>
              <w:rPr>
                <w:sz w:val="20"/>
                <w:lang w:val="en-US"/>
              </w:rPr>
              <w:t>00</w:t>
            </w:r>
          </w:p>
        </w:tc>
        <w:tc>
          <w:tcPr>
            <w:tcW w:w="6167" w:type="dxa"/>
            <w:tcBorders>
              <w:top w:val="double" w:sz="4" w:space="0" w:color="auto"/>
            </w:tcBorders>
          </w:tcPr>
          <w:p w14:paraId="6D50D86E" w14:textId="77777777" w:rsidR="00033119" w:rsidRDefault="00033119" w:rsidP="007161FE">
            <w:pPr>
              <w:rPr>
                <w:sz w:val="20"/>
                <w:lang w:val="en-US"/>
              </w:rPr>
            </w:pPr>
            <w:r>
              <w:rPr>
                <w:sz w:val="20"/>
                <w:lang w:val="en-US"/>
              </w:rPr>
              <w:t>All carriers</w:t>
            </w:r>
          </w:p>
        </w:tc>
      </w:tr>
      <w:tr w:rsidR="00033119" w14:paraId="5B6CC87A" w14:textId="77777777" w:rsidTr="007161FE">
        <w:trPr>
          <w:jc w:val="center"/>
        </w:trPr>
        <w:tc>
          <w:tcPr>
            <w:tcW w:w="849" w:type="dxa"/>
            <w:vAlign w:val="center"/>
          </w:tcPr>
          <w:p w14:paraId="7F28D7C3" w14:textId="77777777" w:rsidR="00033119" w:rsidRDefault="00033119" w:rsidP="00530F6B">
            <w:pPr>
              <w:jc w:val="center"/>
              <w:rPr>
                <w:sz w:val="20"/>
                <w:lang w:val="en-US"/>
              </w:rPr>
            </w:pPr>
            <w:r>
              <w:rPr>
                <w:sz w:val="20"/>
                <w:lang w:val="en-US"/>
              </w:rPr>
              <w:t>01</w:t>
            </w:r>
          </w:p>
        </w:tc>
        <w:tc>
          <w:tcPr>
            <w:tcW w:w="6167" w:type="dxa"/>
          </w:tcPr>
          <w:p w14:paraId="5CEA56F7" w14:textId="77777777" w:rsidR="00033119" w:rsidRDefault="00033119" w:rsidP="007161FE">
            <w:pPr>
              <w:rPr>
                <w:sz w:val="20"/>
                <w:lang w:val="en-US"/>
              </w:rPr>
            </w:pPr>
            <w:r>
              <w:rPr>
                <w:sz w:val="20"/>
                <w:lang w:val="en-US"/>
              </w:rPr>
              <w:t>{1,2,3,4,5,6,7,8} or</w:t>
            </w:r>
          </w:p>
          <w:p w14:paraId="251716C7" w14:textId="77777777" w:rsidR="00033119" w:rsidRDefault="00033119" w:rsidP="007161FE">
            <w:pPr>
              <w:rPr>
                <w:sz w:val="20"/>
                <w:lang w:val="en-US"/>
              </w:rPr>
            </w:pPr>
            <w:r>
              <w:rPr>
                <w:sz w:val="20"/>
                <w:lang w:val="en-US"/>
              </w:rPr>
              <w:t>{9,10,11,12,13,14,15,16} or</w:t>
            </w:r>
          </w:p>
          <w:p w14:paraId="01D189FE" w14:textId="77777777" w:rsidR="00033119" w:rsidRDefault="00033119" w:rsidP="007161FE">
            <w:pPr>
              <w:rPr>
                <w:sz w:val="20"/>
                <w:lang w:val="en-US"/>
              </w:rPr>
            </w:pPr>
            <w:r>
              <w:rPr>
                <w:sz w:val="20"/>
                <w:lang w:val="en-US"/>
              </w:rPr>
              <w:t>{17,18,19,20,21,22,23,24} or</w:t>
            </w:r>
          </w:p>
          <w:p w14:paraId="5EA78381" w14:textId="77777777" w:rsidR="00033119" w:rsidRDefault="00033119" w:rsidP="007161FE">
            <w:pPr>
              <w:rPr>
                <w:sz w:val="20"/>
                <w:lang w:val="en-US"/>
              </w:rPr>
            </w:pPr>
            <w:r>
              <w:rPr>
                <w:sz w:val="20"/>
                <w:lang w:val="en-US"/>
              </w:rPr>
              <w:t>{25,26,27,28,29,30,31,32}</w:t>
            </w:r>
          </w:p>
        </w:tc>
      </w:tr>
      <w:tr w:rsidR="00033119" w14:paraId="61F3516C" w14:textId="77777777" w:rsidTr="007161FE">
        <w:trPr>
          <w:jc w:val="center"/>
        </w:trPr>
        <w:tc>
          <w:tcPr>
            <w:tcW w:w="849" w:type="dxa"/>
            <w:vAlign w:val="center"/>
          </w:tcPr>
          <w:p w14:paraId="7753CE47" w14:textId="77777777" w:rsidR="00033119" w:rsidRDefault="00033119" w:rsidP="00530F6B">
            <w:pPr>
              <w:jc w:val="center"/>
              <w:rPr>
                <w:sz w:val="20"/>
                <w:lang w:val="en-US"/>
              </w:rPr>
            </w:pPr>
            <w:r>
              <w:rPr>
                <w:sz w:val="20"/>
                <w:lang w:val="en-US"/>
              </w:rPr>
              <w:t>10</w:t>
            </w:r>
          </w:p>
        </w:tc>
        <w:tc>
          <w:tcPr>
            <w:tcW w:w="6167" w:type="dxa"/>
          </w:tcPr>
          <w:p w14:paraId="651D7174" w14:textId="77777777" w:rsidR="00033119" w:rsidRDefault="00033119" w:rsidP="007161FE">
            <w:pPr>
              <w:rPr>
                <w:sz w:val="20"/>
                <w:lang w:val="en-US"/>
              </w:rPr>
            </w:pPr>
            <w:r>
              <w:rPr>
                <w:sz w:val="20"/>
                <w:lang w:val="en-US"/>
              </w:rPr>
              <w:t>{1,2,3,4,5,6,7,8,9,10,11,12,13,14,15,16} or</w:t>
            </w:r>
          </w:p>
          <w:p w14:paraId="35964C21" w14:textId="77777777" w:rsidR="00033119" w:rsidRDefault="00033119" w:rsidP="007161FE">
            <w:pPr>
              <w:rPr>
                <w:sz w:val="20"/>
                <w:lang w:val="en-US"/>
              </w:rPr>
            </w:pPr>
            <w:r>
              <w:rPr>
                <w:sz w:val="20"/>
                <w:lang w:val="en-US"/>
              </w:rPr>
              <w:t>{17,18,19,20,21,22,23,24,25,26,27,28,29,30,31,32}</w:t>
            </w:r>
          </w:p>
        </w:tc>
      </w:tr>
      <w:tr w:rsidR="00033119" w14:paraId="0D76D373" w14:textId="77777777" w:rsidTr="007161FE">
        <w:trPr>
          <w:jc w:val="center"/>
        </w:trPr>
        <w:tc>
          <w:tcPr>
            <w:tcW w:w="849" w:type="dxa"/>
            <w:vAlign w:val="center"/>
          </w:tcPr>
          <w:p w14:paraId="4E87885B" w14:textId="77777777" w:rsidR="00033119" w:rsidRDefault="00033119" w:rsidP="00530F6B">
            <w:pPr>
              <w:jc w:val="center"/>
              <w:rPr>
                <w:sz w:val="20"/>
                <w:lang w:val="en-US"/>
              </w:rPr>
            </w:pPr>
            <w:r>
              <w:rPr>
                <w:sz w:val="20"/>
                <w:lang w:val="en-US"/>
              </w:rPr>
              <w:t>11</w:t>
            </w:r>
          </w:p>
        </w:tc>
        <w:tc>
          <w:tcPr>
            <w:tcW w:w="6167" w:type="dxa"/>
          </w:tcPr>
          <w:p w14:paraId="4086E905" w14:textId="77777777" w:rsidR="00033119" w:rsidRDefault="00033119" w:rsidP="007161FE">
            <w:pPr>
              <w:rPr>
                <w:sz w:val="20"/>
                <w:lang w:val="en-US"/>
              </w:rPr>
            </w:pPr>
            <w:r>
              <w:rPr>
                <w:sz w:val="20"/>
                <w:lang w:val="en-US"/>
              </w:rPr>
              <w:t>{1,2,3,4,5,6,7,8,25,26,27,28,29,30,31,32} or</w:t>
            </w:r>
          </w:p>
          <w:p w14:paraId="12A6361E" w14:textId="77777777" w:rsidR="00033119" w:rsidRDefault="00033119" w:rsidP="007161FE">
            <w:pPr>
              <w:rPr>
                <w:sz w:val="20"/>
                <w:lang w:val="en-US"/>
              </w:rPr>
            </w:pPr>
            <w:r>
              <w:rPr>
                <w:sz w:val="20"/>
                <w:lang w:val="en-US"/>
              </w:rPr>
              <w:t>{9,10,11,12,13,14,15,16,17,18,19,20,21,22,23,24}</w:t>
            </w:r>
          </w:p>
        </w:tc>
      </w:tr>
    </w:tbl>
    <w:p w14:paraId="2B13917B" w14:textId="77777777" w:rsidR="00033119" w:rsidRDefault="00033119" w:rsidP="00307070">
      <w:pPr>
        <w:rPr>
          <w:sz w:val="20"/>
        </w:rPr>
      </w:pPr>
    </w:p>
    <w:p w14:paraId="1F75F6EC" w14:textId="4CF80B1C" w:rsidR="005A7637" w:rsidRDefault="00032226" w:rsidP="00032226">
      <w:pPr>
        <w:rPr>
          <w:sz w:val="20"/>
          <w:lang w:val="en-US"/>
        </w:rPr>
      </w:pPr>
      <w:r>
        <w:rPr>
          <w:sz w:val="20"/>
        </w:rPr>
        <w:t>It should be stressed that not all carriers of an indicated group need to be scheduled. The UE indicates “</w:t>
      </w:r>
      <w:proofErr w:type="spellStart"/>
      <w:r>
        <w:rPr>
          <w:sz w:val="20"/>
        </w:rPr>
        <w:t>Nack</w:t>
      </w:r>
      <w:proofErr w:type="spellEnd"/>
      <w:r>
        <w:rPr>
          <w:sz w:val="20"/>
        </w:rPr>
        <w:t>” when no DL assignment is detected for a carrier included in the indicated group. This is illustrated in the Figure below.</w:t>
      </w:r>
      <w:r w:rsidR="005A7637">
        <w:rPr>
          <w:sz w:val="20"/>
          <w:lang w:val="en-US"/>
        </w:rPr>
        <w:t xml:space="preserve"> In th</w:t>
      </w:r>
      <w:r>
        <w:rPr>
          <w:sz w:val="20"/>
          <w:lang w:val="en-US"/>
        </w:rPr>
        <w:t>is</w:t>
      </w:r>
      <w:r w:rsidR="005A7637">
        <w:rPr>
          <w:sz w:val="20"/>
          <w:lang w:val="en-US"/>
        </w:rPr>
        <w:t xml:space="preserve"> example, the UE receives </w:t>
      </w:r>
      <w:r>
        <w:rPr>
          <w:sz w:val="20"/>
          <w:lang w:val="en-US"/>
        </w:rPr>
        <w:t xml:space="preserve">downlink assignments for carriers 9, 10, 13, 14, 15 and 16 with codebook indicator “01” in every DL assignment. The UE misses DL assignment for carrier 12. The UE uses the codebook carrying HARQ A/N for carriers {9, 10, 11, 12, 13, 14, 15, </w:t>
      </w:r>
      <w:proofErr w:type="gramStart"/>
      <w:r>
        <w:rPr>
          <w:sz w:val="20"/>
          <w:lang w:val="en-US"/>
        </w:rPr>
        <w:t>16</w:t>
      </w:r>
      <w:proofErr w:type="gramEnd"/>
      <w:r>
        <w:rPr>
          <w:sz w:val="20"/>
          <w:lang w:val="en-US"/>
        </w:rPr>
        <w:t xml:space="preserve">} and includes </w:t>
      </w:r>
      <w:proofErr w:type="spellStart"/>
      <w:r>
        <w:rPr>
          <w:sz w:val="20"/>
          <w:lang w:val="en-US"/>
        </w:rPr>
        <w:t>Nack</w:t>
      </w:r>
      <w:proofErr w:type="spellEnd"/>
      <w:r>
        <w:rPr>
          <w:sz w:val="20"/>
          <w:lang w:val="en-US"/>
        </w:rPr>
        <w:t xml:space="preserve"> for carriers 11 and 12.</w:t>
      </w:r>
    </w:p>
    <w:p w14:paraId="543305F1" w14:textId="4ED1C995" w:rsidR="00D01C82" w:rsidRDefault="00BC3E95" w:rsidP="002E3092">
      <w:pPr>
        <w:jc w:val="center"/>
        <w:rPr>
          <w:sz w:val="20"/>
          <w:lang w:val="en-US"/>
        </w:rPr>
      </w:pPr>
      <w:r>
        <w:object w:dxaOrig="13860" w:dyaOrig="13493" w14:anchorId="25577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86pt" o:ole="">
            <v:imagedata r:id="rId12" o:title=""/>
          </v:shape>
          <o:OLEObject Type="Embed" ProgID="Visio.Drawing.15" ShapeID="_x0000_i1025" DrawAspect="Content" ObjectID="_1501075304" r:id="rId13"/>
        </w:object>
      </w:r>
    </w:p>
    <w:p w14:paraId="3556E470" w14:textId="22E4C186" w:rsidR="00FC0866" w:rsidRDefault="005A7637" w:rsidP="00530F6B">
      <w:pPr>
        <w:jc w:val="center"/>
        <w:rPr>
          <w:sz w:val="20"/>
          <w:lang w:val="en-US"/>
        </w:rPr>
      </w:pPr>
      <w:r>
        <w:rPr>
          <w:sz w:val="20"/>
          <w:lang w:val="en-US"/>
        </w:rPr>
        <w:t>Fig</w:t>
      </w:r>
      <w:r w:rsidR="00032226">
        <w:rPr>
          <w:sz w:val="20"/>
          <w:lang w:val="en-US"/>
        </w:rPr>
        <w:t>ure</w:t>
      </w:r>
      <w:r>
        <w:rPr>
          <w:sz w:val="20"/>
          <w:lang w:val="en-US"/>
        </w:rPr>
        <w:t xml:space="preserve"> </w:t>
      </w:r>
      <w:r w:rsidR="00032226">
        <w:rPr>
          <w:sz w:val="20"/>
          <w:lang w:val="en-US"/>
        </w:rPr>
        <w:t>1</w:t>
      </w:r>
      <w:r>
        <w:rPr>
          <w:sz w:val="20"/>
          <w:lang w:val="en-US"/>
        </w:rPr>
        <w:t xml:space="preserve">. </w:t>
      </w:r>
      <w:r w:rsidR="00032226">
        <w:rPr>
          <w:sz w:val="20"/>
          <w:lang w:val="en-US"/>
        </w:rPr>
        <w:t>Example of HARQ A/N codebook</w:t>
      </w:r>
      <w:r w:rsidR="00212A5D">
        <w:rPr>
          <w:sz w:val="20"/>
          <w:lang w:val="en-US"/>
        </w:rPr>
        <w:t xml:space="preserve"> determination</w:t>
      </w:r>
      <w:r>
        <w:rPr>
          <w:sz w:val="20"/>
          <w:lang w:val="en-US"/>
        </w:rPr>
        <w:t>.</w:t>
      </w:r>
    </w:p>
    <w:p w14:paraId="612F4267" w14:textId="77777777" w:rsidR="00BC3E95" w:rsidRDefault="00BC3E95" w:rsidP="00AD68EC">
      <w:pPr>
        <w:rPr>
          <w:sz w:val="20"/>
          <w:lang w:val="en-US"/>
        </w:rPr>
      </w:pPr>
    </w:p>
    <w:p w14:paraId="70357C2D" w14:textId="4EE9BE1C" w:rsidR="00BC3E95" w:rsidRPr="00BC3E95" w:rsidRDefault="00BC3E95" w:rsidP="00AD68EC">
      <w:pPr>
        <w:rPr>
          <w:sz w:val="20"/>
          <w:lang w:val="en-US"/>
        </w:rPr>
      </w:pPr>
      <w:r>
        <w:rPr>
          <w:sz w:val="20"/>
          <w:lang w:val="en-US"/>
        </w:rPr>
        <w:t>Our preference is to adopt Option 2 as a basis for a solution based on the introduction of a Codebook Indicator.</w:t>
      </w:r>
    </w:p>
    <w:p w14:paraId="703D2D90" w14:textId="42A59A01" w:rsidR="00AD68EC" w:rsidRPr="00836C4C" w:rsidRDefault="00AD68EC" w:rsidP="00AD68EC">
      <w:pPr>
        <w:rPr>
          <w:b/>
          <w:i/>
          <w:sz w:val="20"/>
          <w:lang w:val="en-US"/>
        </w:rPr>
      </w:pPr>
      <w:r>
        <w:rPr>
          <w:b/>
          <w:i/>
          <w:sz w:val="20"/>
          <w:lang w:val="en-US"/>
        </w:rPr>
        <w:t xml:space="preserve">Proposal 2: </w:t>
      </w:r>
      <w:r w:rsidR="00212A5D">
        <w:rPr>
          <w:b/>
          <w:i/>
          <w:sz w:val="20"/>
          <w:lang w:val="en-US"/>
        </w:rPr>
        <w:t>The Codebook Indicator</w:t>
      </w:r>
      <w:r w:rsidR="00AE5724">
        <w:rPr>
          <w:b/>
          <w:i/>
          <w:sz w:val="20"/>
          <w:lang w:val="en-US"/>
        </w:rPr>
        <w:t xml:space="preserve"> field indicates </w:t>
      </w:r>
      <w:r w:rsidR="005E54A9">
        <w:rPr>
          <w:b/>
          <w:i/>
          <w:sz w:val="20"/>
          <w:lang w:val="en-US"/>
        </w:rPr>
        <w:t xml:space="preserve">the </w:t>
      </w:r>
      <w:r w:rsidR="00AE5724">
        <w:rPr>
          <w:b/>
          <w:i/>
          <w:sz w:val="20"/>
          <w:lang w:val="en-US"/>
        </w:rPr>
        <w:t>group</w:t>
      </w:r>
      <w:r w:rsidR="005E54A9">
        <w:rPr>
          <w:b/>
          <w:i/>
          <w:sz w:val="20"/>
          <w:lang w:val="en-US"/>
        </w:rPr>
        <w:t>(</w:t>
      </w:r>
      <w:r w:rsidR="00AE5724">
        <w:rPr>
          <w:b/>
          <w:i/>
          <w:sz w:val="20"/>
          <w:lang w:val="en-US"/>
        </w:rPr>
        <w:t>s</w:t>
      </w:r>
      <w:r w:rsidR="005E54A9">
        <w:rPr>
          <w:b/>
          <w:i/>
          <w:sz w:val="20"/>
          <w:lang w:val="en-US"/>
        </w:rPr>
        <w:t>)</w:t>
      </w:r>
      <w:r w:rsidR="00AE5724">
        <w:rPr>
          <w:b/>
          <w:i/>
          <w:sz w:val="20"/>
          <w:lang w:val="en-US"/>
        </w:rPr>
        <w:t xml:space="preserve"> of carriers</w:t>
      </w:r>
      <w:r w:rsidR="005E54A9">
        <w:rPr>
          <w:b/>
          <w:i/>
          <w:sz w:val="20"/>
          <w:lang w:val="en-US"/>
        </w:rPr>
        <w:t xml:space="preserve"> for which a UE is expected to report HARQ A/N.</w:t>
      </w:r>
      <w:r w:rsidR="00AE5724">
        <w:rPr>
          <w:b/>
          <w:i/>
          <w:sz w:val="20"/>
          <w:lang w:val="en-US"/>
        </w:rPr>
        <w:t xml:space="preserve"> </w:t>
      </w:r>
    </w:p>
    <w:p w14:paraId="22F8DCF2" w14:textId="77777777" w:rsidR="00CD1301" w:rsidRDefault="00CD1301" w:rsidP="00307070">
      <w:pPr>
        <w:rPr>
          <w:sz w:val="20"/>
          <w:lang w:val="en-US"/>
        </w:rPr>
      </w:pPr>
    </w:p>
    <w:p w14:paraId="08037D01" w14:textId="795E94E7" w:rsidR="00AC4262" w:rsidRPr="00077CF3" w:rsidRDefault="00AC4262" w:rsidP="00AC4262">
      <w:pPr>
        <w:pStyle w:val="Heading1"/>
        <w:pBdr>
          <w:top w:val="single" w:sz="12" w:space="5" w:color="auto"/>
        </w:pBdr>
        <w:spacing w:after="120"/>
        <w:rPr>
          <w:sz w:val="32"/>
          <w:lang w:val="en-US"/>
        </w:rPr>
      </w:pPr>
      <w:r>
        <w:rPr>
          <w:sz w:val="32"/>
          <w:lang w:val="en-US"/>
        </w:rPr>
        <w:lastRenderedPageBreak/>
        <w:t xml:space="preserve">Conclusion </w:t>
      </w:r>
    </w:p>
    <w:p w14:paraId="4A9F5CB9" w14:textId="5687313A" w:rsidR="005E54A9" w:rsidRDefault="005E54A9" w:rsidP="00307070">
      <w:pPr>
        <w:rPr>
          <w:sz w:val="20"/>
          <w:lang w:val="en-US"/>
        </w:rPr>
      </w:pPr>
      <w:r>
        <w:rPr>
          <w:sz w:val="20"/>
          <w:lang w:val="en-US"/>
        </w:rPr>
        <w:t xml:space="preserve">In this contribution we discuss </w:t>
      </w:r>
      <w:r w:rsidR="00212A5D">
        <w:rPr>
          <w:sz w:val="20"/>
          <w:lang w:val="en-US"/>
        </w:rPr>
        <w:t xml:space="preserve">the problem of </w:t>
      </w:r>
      <w:r>
        <w:rPr>
          <w:sz w:val="20"/>
          <w:lang w:val="en-US"/>
        </w:rPr>
        <w:t>HARQ A/N codebook</w:t>
      </w:r>
      <w:r w:rsidR="00212A5D">
        <w:rPr>
          <w:sz w:val="20"/>
          <w:lang w:val="en-US"/>
        </w:rPr>
        <w:t xml:space="preserve"> determination and propose a solution that </w:t>
      </w:r>
      <w:r w:rsidR="00BC3E95">
        <w:rPr>
          <w:sz w:val="20"/>
          <w:lang w:val="en-US"/>
        </w:rPr>
        <w:t xml:space="preserve">is robust to missed assignments and efficient from the perspective of power and PUCCH resource </w:t>
      </w:r>
      <w:proofErr w:type="spellStart"/>
      <w:r w:rsidR="00BC3E95">
        <w:rPr>
          <w:sz w:val="20"/>
          <w:lang w:val="en-US"/>
        </w:rPr>
        <w:t>usge</w:t>
      </w:r>
      <w:proofErr w:type="spellEnd"/>
      <w:r w:rsidR="00BC3E95">
        <w:rPr>
          <w:sz w:val="20"/>
          <w:lang w:val="en-US"/>
        </w:rPr>
        <w:t>. The following observations and proposals are made:</w:t>
      </w:r>
      <w:r w:rsidR="00212A5D">
        <w:rPr>
          <w:sz w:val="20"/>
          <w:lang w:val="en-US"/>
        </w:rPr>
        <w:t xml:space="preserve">  </w:t>
      </w:r>
    </w:p>
    <w:p w14:paraId="0782C40A" w14:textId="77777777" w:rsidR="00BC3E95" w:rsidRDefault="00BC3E95" w:rsidP="00BC3E95">
      <w:pPr>
        <w:rPr>
          <w:b/>
          <w:i/>
          <w:sz w:val="20"/>
          <w:lang w:val="en-US"/>
        </w:rPr>
      </w:pPr>
      <w:r w:rsidRPr="0013539F">
        <w:rPr>
          <w:b/>
          <w:i/>
          <w:sz w:val="20"/>
          <w:lang w:val="en-US"/>
        </w:rPr>
        <w:t>Observation</w:t>
      </w:r>
      <w:r>
        <w:rPr>
          <w:b/>
          <w:i/>
          <w:sz w:val="20"/>
          <w:lang w:val="en-US"/>
        </w:rPr>
        <w:t xml:space="preserve"> 1</w:t>
      </w:r>
      <w:r w:rsidRPr="0013539F">
        <w:rPr>
          <w:b/>
          <w:i/>
          <w:sz w:val="20"/>
          <w:lang w:val="en-US"/>
        </w:rPr>
        <w:t xml:space="preserve">: </w:t>
      </w:r>
      <w:r>
        <w:rPr>
          <w:b/>
          <w:i/>
          <w:sz w:val="20"/>
          <w:lang w:val="en-US"/>
        </w:rPr>
        <w:t>Slow codebook adaptation with a large number of configured carriers may result in inefficient usage of resources.</w:t>
      </w:r>
    </w:p>
    <w:p w14:paraId="3EA75AD2" w14:textId="77777777" w:rsidR="00BC3E95" w:rsidRDefault="00BC3E95" w:rsidP="00BC3E95">
      <w:pPr>
        <w:rPr>
          <w:b/>
          <w:i/>
          <w:sz w:val="20"/>
          <w:lang w:val="en-US"/>
        </w:rPr>
      </w:pPr>
      <w:r>
        <w:rPr>
          <w:b/>
          <w:i/>
          <w:sz w:val="20"/>
          <w:lang w:val="en-US"/>
        </w:rPr>
        <w:t xml:space="preserve">Observation 2: Performance of slow codebook adaptation is sensitive to the encoding positions of </w:t>
      </w:r>
      <w:proofErr w:type="spellStart"/>
      <w:r>
        <w:rPr>
          <w:b/>
          <w:i/>
          <w:sz w:val="20"/>
          <w:lang w:val="en-US"/>
        </w:rPr>
        <w:t>Nacks</w:t>
      </w:r>
      <w:proofErr w:type="spellEnd"/>
      <w:r>
        <w:rPr>
          <w:b/>
          <w:i/>
          <w:sz w:val="20"/>
          <w:lang w:val="en-US"/>
        </w:rPr>
        <w:t xml:space="preserve"> corresponding to non-scheduled carriers.</w:t>
      </w:r>
    </w:p>
    <w:p w14:paraId="732C57C9" w14:textId="77777777" w:rsidR="00BC3E95" w:rsidRDefault="00BC3E95" w:rsidP="00BC3E95">
      <w:pPr>
        <w:rPr>
          <w:b/>
          <w:i/>
          <w:sz w:val="20"/>
          <w:lang w:val="en-US"/>
        </w:rPr>
      </w:pPr>
      <w:r w:rsidRPr="0013539F">
        <w:rPr>
          <w:b/>
          <w:i/>
          <w:sz w:val="20"/>
          <w:lang w:val="en-US"/>
        </w:rPr>
        <w:t>Observation</w:t>
      </w:r>
      <w:r>
        <w:rPr>
          <w:b/>
          <w:i/>
          <w:sz w:val="20"/>
          <w:lang w:val="en-US"/>
        </w:rPr>
        <w:t xml:space="preserve"> 3</w:t>
      </w:r>
      <w:r w:rsidRPr="0013539F">
        <w:rPr>
          <w:b/>
          <w:i/>
          <w:sz w:val="20"/>
          <w:lang w:val="en-US"/>
        </w:rPr>
        <w:t xml:space="preserve">: </w:t>
      </w:r>
      <w:r>
        <w:rPr>
          <w:b/>
          <w:i/>
          <w:sz w:val="20"/>
          <w:lang w:val="en-US"/>
        </w:rPr>
        <w:t xml:space="preserve">Codebook </w:t>
      </w:r>
      <w:proofErr w:type="spellStart"/>
      <w:r>
        <w:rPr>
          <w:b/>
          <w:i/>
          <w:sz w:val="20"/>
          <w:lang w:val="en-US"/>
        </w:rPr>
        <w:t>adpatation</w:t>
      </w:r>
      <w:proofErr w:type="spellEnd"/>
      <w:r w:rsidRPr="00530F6B">
        <w:rPr>
          <w:b/>
          <w:i/>
          <w:sz w:val="20"/>
          <w:lang w:val="en-US"/>
        </w:rPr>
        <w:t xml:space="preserve"> using DAI </w:t>
      </w:r>
      <w:r>
        <w:rPr>
          <w:b/>
          <w:i/>
          <w:sz w:val="20"/>
          <w:lang w:val="en-US"/>
        </w:rPr>
        <w:t>is not robust with a large number of configured carriers.</w:t>
      </w:r>
    </w:p>
    <w:p w14:paraId="73F1C80A" w14:textId="77777777" w:rsidR="00BC3E95" w:rsidRPr="0013539F" w:rsidRDefault="00BC3E95" w:rsidP="00BC3E95">
      <w:pPr>
        <w:rPr>
          <w:b/>
          <w:i/>
          <w:sz w:val="20"/>
          <w:lang w:val="en-US"/>
        </w:rPr>
      </w:pPr>
      <w:r w:rsidRPr="0013539F">
        <w:rPr>
          <w:b/>
          <w:i/>
          <w:sz w:val="20"/>
          <w:lang w:val="en-US"/>
        </w:rPr>
        <w:t>Observation</w:t>
      </w:r>
      <w:r>
        <w:rPr>
          <w:b/>
          <w:i/>
          <w:sz w:val="20"/>
          <w:lang w:val="en-US"/>
        </w:rPr>
        <w:t xml:space="preserve"> 4</w:t>
      </w:r>
      <w:r w:rsidRPr="0013539F">
        <w:rPr>
          <w:b/>
          <w:i/>
          <w:sz w:val="20"/>
          <w:lang w:val="en-US"/>
        </w:rPr>
        <w:t xml:space="preserve">: </w:t>
      </w:r>
      <w:r>
        <w:rPr>
          <w:b/>
          <w:i/>
          <w:sz w:val="20"/>
          <w:lang w:val="en-US"/>
        </w:rPr>
        <w:t>Robustness to missed assignments can be achieved if any field used in the determination of the codebook is repeated in each assignment.</w:t>
      </w:r>
    </w:p>
    <w:p w14:paraId="5633C0CC" w14:textId="77777777" w:rsidR="00BC3E95" w:rsidRPr="00836C4C" w:rsidRDefault="00BC3E95" w:rsidP="00BC3E95">
      <w:pPr>
        <w:rPr>
          <w:b/>
          <w:i/>
          <w:sz w:val="20"/>
          <w:lang w:val="en-US"/>
        </w:rPr>
      </w:pPr>
      <w:r>
        <w:rPr>
          <w:b/>
          <w:i/>
          <w:sz w:val="20"/>
          <w:lang w:val="en-US"/>
        </w:rPr>
        <w:t>Proposal 1: HARQ A/N codebook is determined by a Codebook Indicator field set to the same value in every PDCCH/E-PDCCH containing downlink assignments.</w:t>
      </w:r>
    </w:p>
    <w:p w14:paraId="1217D9F9" w14:textId="77777777" w:rsidR="00BC3E95" w:rsidRPr="00836C4C" w:rsidRDefault="00BC3E95" w:rsidP="00BC3E95">
      <w:pPr>
        <w:rPr>
          <w:b/>
          <w:i/>
          <w:sz w:val="20"/>
          <w:lang w:val="en-US"/>
        </w:rPr>
      </w:pPr>
      <w:r>
        <w:rPr>
          <w:b/>
          <w:i/>
          <w:sz w:val="20"/>
          <w:lang w:val="en-US"/>
        </w:rPr>
        <w:t xml:space="preserve">Proposal 2: The Codebook Indicator field indicates the group(s) of carriers for which a UE is expected to report HARQ A/N. </w:t>
      </w:r>
    </w:p>
    <w:p w14:paraId="153E891F" w14:textId="1434C84B" w:rsidR="00AC4262" w:rsidRPr="00077CF3" w:rsidRDefault="00AC4262" w:rsidP="00AC4262">
      <w:pPr>
        <w:pStyle w:val="Heading1"/>
        <w:pBdr>
          <w:top w:val="single" w:sz="12" w:space="5" w:color="auto"/>
        </w:pBdr>
        <w:spacing w:after="120"/>
        <w:rPr>
          <w:sz w:val="32"/>
          <w:lang w:val="en-US"/>
        </w:rPr>
      </w:pPr>
      <w:r>
        <w:rPr>
          <w:sz w:val="32"/>
          <w:lang w:val="en-US"/>
        </w:rPr>
        <w:t xml:space="preserve">References </w:t>
      </w:r>
    </w:p>
    <w:p w14:paraId="4040EE2E" w14:textId="3F8D61DB" w:rsidR="00CD1301" w:rsidRDefault="00892314" w:rsidP="00307070">
      <w:pPr>
        <w:rPr>
          <w:sz w:val="20"/>
          <w:lang w:val="en-US"/>
        </w:rPr>
      </w:pPr>
      <w:r>
        <w:rPr>
          <w:sz w:val="20"/>
          <w:lang w:val="en-US"/>
        </w:rPr>
        <w:t>[1] Draft Report of 3GPP TSG RAN WG1 #81 v0.2.0</w:t>
      </w:r>
    </w:p>
    <w:p w14:paraId="081E1726" w14:textId="0AD11D8C" w:rsidR="005E54A9" w:rsidRDefault="005E54A9" w:rsidP="00307070">
      <w:pPr>
        <w:rPr>
          <w:sz w:val="20"/>
          <w:lang w:val="en-US"/>
        </w:rPr>
      </w:pPr>
      <w:r>
        <w:rPr>
          <w:sz w:val="20"/>
          <w:lang w:val="en-US"/>
        </w:rPr>
        <w:t xml:space="preserve">[2] </w:t>
      </w:r>
      <w:r w:rsidR="00892314">
        <w:rPr>
          <w:sz w:val="20"/>
          <w:lang w:val="en-US"/>
        </w:rPr>
        <w:t xml:space="preserve">R1-153081, “HARQ-ACK reporting for aggregation of up to 32 carriers”, RAN WG1 #81, </w:t>
      </w:r>
      <w:proofErr w:type="spellStart"/>
      <w:r w:rsidR="00892314">
        <w:rPr>
          <w:sz w:val="20"/>
          <w:lang w:val="en-US"/>
        </w:rPr>
        <w:t>Inter</w:t>
      </w:r>
      <w:r w:rsidR="005D4B4C">
        <w:rPr>
          <w:sz w:val="20"/>
          <w:lang w:val="en-US"/>
        </w:rPr>
        <w:t>D</w:t>
      </w:r>
      <w:r w:rsidR="00892314">
        <w:rPr>
          <w:sz w:val="20"/>
          <w:lang w:val="en-US"/>
        </w:rPr>
        <w:t>igital</w:t>
      </w:r>
      <w:proofErr w:type="spellEnd"/>
      <w:r w:rsidR="00BA13AD">
        <w:rPr>
          <w:sz w:val="20"/>
          <w:lang w:val="en-US"/>
        </w:rPr>
        <w:t>.</w:t>
      </w:r>
    </w:p>
    <w:p w14:paraId="2B661C30" w14:textId="32A4CD84" w:rsidR="00BA13AD" w:rsidRDefault="00BA13AD" w:rsidP="00307070">
      <w:pPr>
        <w:rPr>
          <w:sz w:val="20"/>
          <w:lang w:val="en-US"/>
        </w:rPr>
      </w:pPr>
      <w:r>
        <w:rPr>
          <w:sz w:val="20"/>
          <w:lang w:val="en-US"/>
        </w:rPr>
        <w:t>[3] R1-153069, “ACKNACK codebook performance for CA enhancements”, Ericsson.</w:t>
      </w:r>
    </w:p>
    <w:p w14:paraId="6BE395E0" w14:textId="18CE050F" w:rsidR="005E54A9" w:rsidRDefault="005E54A9" w:rsidP="00307070">
      <w:pPr>
        <w:rPr>
          <w:sz w:val="20"/>
          <w:lang w:val="en-US"/>
        </w:rPr>
      </w:pPr>
      <w:r>
        <w:rPr>
          <w:sz w:val="20"/>
          <w:lang w:val="en-US"/>
        </w:rPr>
        <w:t>[</w:t>
      </w:r>
      <w:r w:rsidR="002339A2">
        <w:rPr>
          <w:sz w:val="20"/>
          <w:lang w:val="en-US"/>
        </w:rPr>
        <w:t>4</w:t>
      </w:r>
      <w:r w:rsidR="00A63BB7">
        <w:rPr>
          <w:sz w:val="20"/>
          <w:lang w:val="en-US"/>
        </w:rPr>
        <w:t>] R1-152852, “Discussion on HARQ-ACK bit compression for eCA”, RAN WG1 #81, Samsung</w:t>
      </w:r>
      <w:r w:rsidR="00892314">
        <w:rPr>
          <w:sz w:val="20"/>
          <w:lang w:val="en-US"/>
        </w:rPr>
        <w:t>.</w:t>
      </w:r>
    </w:p>
    <w:p w14:paraId="5A19FF6E" w14:textId="1FD174E4" w:rsidR="00CB2EE1" w:rsidRPr="00530F6B" w:rsidRDefault="00CB2EE1" w:rsidP="00CB2EE1">
      <w:pPr>
        <w:rPr>
          <w:b/>
          <w:sz w:val="20"/>
          <w:lang w:val="en-US"/>
        </w:rPr>
      </w:pPr>
    </w:p>
    <w:sectPr w:rsidR="00CB2EE1" w:rsidRPr="00530F6B"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CE2D4" w14:textId="77777777" w:rsidR="007D6800" w:rsidRDefault="007D6800">
      <w:r>
        <w:separator/>
      </w:r>
    </w:p>
  </w:endnote>
  <w:endnote w:type="continuationSeparator" w:id="0">
    <w:p w14:paraId="4F1C7329" w14:textId="77777777" w:rsidR="007D6800" w:rsidRDefault="007D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163FB7" w:rsidRDefault="00163F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0E2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0E2B">
      <w:rPr>
        <w:rStyle w:val="PageNumber"/>
      </w:rPr>
      <w:t>4</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5D4B4C">
      <w:rPr>
        <w:rStyle w:val="PageNumber"/>
      </w:rPr>
      <w:t>2015-08-14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101F9" w14:textId="77777777" w:rsidR="007D6800" w:rsidRDefault="007D6800">
      <w:r>
        <w:separator/>
      </w:r>
    </w:p>
  </w:footnote>
  <w:footnote w:type="continuationSeparator" w:id="0">
    <w:p w14:paraId="4DAD118E" w14:textId="77777777" w:rsidR="007D6800" w:rsidRDefault="007D6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163FB7" w:rsidRDefault="00163F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69750E"/>
    <w:multiLevelType w:val="hybridMultilevel"/>
    <w:tmpl w:val="E67E336C"/>
    <w:lvl w:ilvl="0" w:tplc="887221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4B319A"/>
    <w:multiLevelType w:val="hybridMultilevel"/>
    <w:tmpl w:val="F154B67E"/>
    <w:lvl w:ilvl="0" w:tplc="65F83170">
      <w:start w:val="1"/>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8361A5"/>
    <w:multiLevelType w:val="hybridMultilevel"/>
    <w:tmpl w:val="BD62D5C6"/>
    <w:lvl w:ilvl="0" w:tplc="6B5E89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1"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BCB0884"/>
    <w:multiLevelType w:val="hybridMultilevel"/>
    <w:tmpl w:val="7E24C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4"/>
  </w:num>
  <w:num w:numId="4">
    <w:abstractNumId w:val="15"/>
  </w:num>
  <w:num w:numId="5">
    <w:abstractNumId w:val="11"/>
  </w:num>
  <w:num w:numId="6">
    <w:abstractNumId w:val="19"/>
  </w:num>
  <w:num w:numId="7">
    <w:abstractNumId w:val="25"/>
  </w:num>
  <w:num w:numId="8">
    <w:abstractNumId w:val="12"/>
  </w:num>
  <w:num w:numId="9">
    <w:abstractNumId w:val="35"/>
  </w:num>
  <w:num w:numId="10">
    <w:abstractNumId w:val="28"/>
  </w:num>
  <w:num w:numId="11">
    <w:abstractNumId w:val="36"/>
  </w:num>
  <w:num w:numId="12">
    <w:abstractNumId w:val="5"/>
  </w:num>
  <w:num w:numId="13">
    <w:abstractNumId w:val="8"/>
  </w:num>
  <w:num w:numId="14">
    <w:abstractNumId w:val="17"/>
  </w:num>
  <w:num w:numId="15">
    <w:abstractNumId w:val="29"/>
  </w:num>
  <w:num w:numId="16">
    <w:abstractNumId w:val="6"/>
  </w:num>
  <w:num w:numId="17">
    <w:abstractNumId w:val="2"/>
  </w:num>
  <w:num w:numId="18">
    <w:abstractNumId w:val="10"/>
  </w:num>
  <w:num w:numId="19">
    <w:abstractNumId w:val="26"/>
  </w:num>
  <w:num w:numId="20">
    <w:abstractNumId w:val="21"/>
  </w:num>
  <w:num w:numId="21">
    <w:abstractNumId w:val="24"/>
  </w:num>
  <w:num w:numId="22">
    <w:abstractNumId w:val="31"/>
  </w:num>
  <w:num w:numId="23">
    <w:abstractNumId w:val="4"/>
  </w:num>
  <w:num w:numId="24">
    <w:abstractNumId w:val="30"/>
  </w:num>
  <w:num w:numId="25">
    <w:abstractNumId w:val="37"/>
  </w:num>
  <w:num w:numId="26">
    <w:abstractNumId w:val="16"/>
  </w:num>
  <w:num w:numId="27">
    <w:abstractNumId w:val="33"/>
  </w:num>
  <w:num w:numId="28">
    <w:abstractNumId w:val="23"/>
  </w:num>
  <w:num w:numId="29">
    <w:abstractNumId w:val="1"/>
  </w:num>
  <w:num w:numId="30">
    <w:abstractNumId w:val="1"/>
  </w:num>
  <w:num w:numId="31">
    <w:abstractNumId w:val="27"/>
  </w:num>
  <w:num w:numId="32">
    <w:abstractNumId w:val="20"/>
  </w:num>
  <w:num w:numId="33">
    <w:abstractNumId w:val="9"/>
  </w:num>
  <w:num w:numId="34">
    <w:abstractNumId w:val="38"/>
  </w:num>
  <w:num w:numId="35">
    <w:abstractNumId w:val="34"/>
  </w:num>
  <w:num w:numId="36">
    <w:abstractNumId w:val="0"/>
  </w:num>
  <w:num w:numId="37">
    <w:abstractNumId w:val="22"/>
  </w:num>
  <w:num w:numId="38">
    <w:abstractNumId w:val="3"/>
  </w:num>
  <w:num w:numId="39">
    <w:abstractNumId w:val="7"/>
  </w:num>
  <w:num w:numId="40">
    <w:abstractNumId w:val="32"/>
  </w:num>
  <w:num w:numId="41">
    <w:abstractNumId w:val="13"/>
  </w:num>
  <w:num w:numId="4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6E72"/>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050"/>
    <w:rsid w:val="000251CD"/>
    <w:rsid w:val="0002564D"/>
    <w:rsid w:val="00025D5F"/>
    <w:rsid w:val="00025ECA"/>
    <w:rsid w:val="00026309"/>
    <w:rsid w:val="00026CB5"/>
    <w:rsid w:val="00026E30"/>
    <w:rsid w:val="00027DEF"/>
    <w:rsid w:val="00032226"/>
    <w:rsid w:val="000325B8"/>
    <w:rsid w:val="00033119"/>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77F8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1B21"/>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6E4"/>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5EF3"/>
    <w:rsid w:val="000C64E6"/>
    <w:rsid w:val="000C6F9D"/>
    <w:rsid w:val="000D0D07"/>
    <w:rsid w:val="000D162D"/>
    <w:rsid w:val="000D2F63"/>
    <w:rsid w:val="000D4797"/>
    <w:rsid w:val="000D5C17"/>
    <w:rsid w:val="000E0527"/>
    <w:rsid w:val="000E0669"/>
    <w:rsid w:val="000E11AA"/>
    <w:rsid w:val="000E18EA"/>
    <w:rsid w:val="000E1E92"/>
    <w:rsid w:val="000E23FF"/>
    <w:rsid w:val="000E371D"/>
    <w:rsid w:val="000E3A16"/>
    <w:rsid w:val="000E43AB"/>
    <w:rsid w:val="000E5324"/>
    <w:rsid w:val="000E573A"/>
    <w:rsid w:val="000E5BBB"/>
    <w:rsid w:val="000E5EBB"/>
    <w:rsid w:val="000E66EF"/>
    <w:rsid w:val="000E6C65"/>
    <w:rsid w:val="000E6F04"/>
    <w:rsid w:val="000E7644"/>
    <w:rsid w:val="000E78E3"/>
    <w:rsid w:val="000F06D6"/>
    <w:rsid w:val="000F0709"/>
    <w:rsid w:val="000F0EB1"/>
    <w:rsid w:val="000F1106"/>
    <w:rsid w:val="000F184F"/>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6D91"/>
    <w:rsid w:val="0011747E"/>
    <w:rsid w:val="00117AE6"/>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39F"/>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7F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7"/>
    <w:rsid w:val="00163FBD"/>
    <w:rsid w:val="001645D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4F7"/>
    <w:rsid w:val="00192B67"/>
    <w:rsid w:val="00192D14"/>
    <w:rsid w:val="0019341A"/>
    <w:rsid w:val="0019457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F06"/>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1E"/>
    <w:rsid w:val="001D0064"/>
    <w:rsid w:val="001D11ED"/>
    <w:rsid w:val="001D1452"/>
    <w:rsid w:val="001D1B44"/>
    <w:rsid w:val="001D208F"/>
    <w:rsid w:val="001D2B1F"/>
    <w:rsid w:val="001D2C6B"/>
    <w:rsid w:val="001D2DB5"/>
    <w:rsid w:val="001D36A9"/>
    <w:rsid w:val="001D37DE"/>
    <w:rsid w:val="001D3974"/>
    <w:rsid w:val="001D4EE6"/>
    <w:rsid w:val="001D51BA"/>
    <w:rsid w:val="001D52F5"/>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36C3"/>
    <w:rsid w:val="001F3916"/>
    <w:rsid w:val="001F4037"/>
    <w:rsid w:val="001F4676"/>
    <w:rsid w:val="001F54C5"/>
    <w:rsid w:val="001F5B50"/>
    <w:rsid w:val="001F5D63"/>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A5D"/>
    <w:rsid w:val="00212D1B"/>
    <w:rsid w:val="00212D2F"/>
    <w:rsid w:val="0021336E"/>
    <w:rsid w:val="00214BE6"/>
    <w:rsid w:val="00214DA8"/>
    <w:rsid w:val="0021529E"/>
    <w:rsid w:val="00215423"/>
    <w:rsid w:val="002158FA"/>
    <w:rsid w:val="00215D3F"/>
    <w:rsid w:val="00215F14"/>
    <w:rsid w:val="002160C0"/>
    <w:rsid w:val="00217082"/>
    <w:rsid w:val="002179C2"/>
    <w:rsid w:val="00220600"/>
    <w:rsid w:val="00220E2B"/>
    <w:rsid w:val="00220EAB"/>
    <w:rsid w:val="00221404"/>
    <w:rsid w:val="002221C0"/>
    <w:rsid w:val="002224DB"/>
    <w:rsid w:val="0022361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2D36"/>
    <w:rsid w:val="002339A2"/>
    <w:rsid w:val="00233E89"/>
    <w:rsid w:val="002346E3"/>
    <w:rsid w:val="002349E8"/>
    <w:rsid w:val="00235632"/>
    <w:rsid w:val="00235872"/>
    <w:rsid w:val="00236493"/>
    <w:rsid w:val="002364EE"/>
    <w:rsid w:val="00236ED3"/>
    <w:rsid w:val="00237918"/>
    <w:rsid w:val="002413CC"/>
    <w:rsid w:val="00241559"/>
    <w:rsid w:val="00242362"/>
    <w:rsid w:val="0024267E"/>
    <w:rsid w:val="002426E0"/>
    <w:rsid w:val="00243179"/>
    <w:rsid w:val="0024350A"/>
    <w:rsid w:val="002435B3"/>
    <w:rsid w:val="00244040"/>
    <w:rsid w:val="0024563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177E"/>
    <w:rsid w:val="00292EB7"/>
    <w:rsid w:val="00294AA1"/>
    <w:rsid w:val="00295BE1"/>
    <w:rsid w:val="00296227"/>
    <w:rsid w:val="00296314"/>
    <w:rsid w:val="00296F44"/>
    <w:rsid w:val="0029777D"/>
    <w:rsid w:val="002A055E"/>
    <w:rsid w:val="002A0AFD"/>
    <w:rsid w:val="002A1733"/>
    <w:rsid w:val="002A1D4E"/>
    <w:rsid w:val="002A1F3F"/>
    <w:rsid w:val="002A2107"/>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6FA2"/>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092"/>
    <w:rsid w:val="002E368E"/>
    <w:rsid w:val="002E4943"/>
    <w:rsid w:val="002E689B"/>
    <w:rsid w:val="002E7003"/>
    <w:rsid w:val="002E7CAE"/>
    <w:rsid w:val="002F07A4"/>
    <w:rsid w:val="002F24A0"/>
    <w:rsid w:val="002F2771"/>
    <w:rsid w:val="002F2F73"/>
    <w:rsid w:val="002F37A9"/>
    <w:rsid w:val="002F5609"/>
    <w:rsid w:val="002F585B"/>
    <w:rsid w:val="002F5AFC"/>
    <w:rsid w:val="002F6E9C"/>
    <w:rsid w:val="002F6EF2"/>
    <w:rsid w:val="002F771F"/>
    <w:rsid w:val="003001B2"/>
    <w:rsid w:val="003003EF"/>
    <w:rsid w:val="003003F3"/>
    <w:rsid w:val="00300A39"/>
    <w:rsid w:val="0030162F"/>
    <w:rsid w:val="00301CE6"/>
    <w:rsid w:val="00302569"/>
    <w:rsid w:val="0030256B"/>
    <w:rsid w:val="00302D11"/>
    <w:rsid w:val="003038EC"/>
    <w:rsid w:val="00304CE0"/>
    <w:rsid w:val="0030501F"/>
    <w:rsid w:val="00305444"/>
    <w:rsid w:val="00307070"/>
    <w:rsid w:val="00307A45"/>
    <w:rsid w:val="00307BA1"/>
    <w:rsid w:val="00311702"/>
    <w:rsid w:val="00311E82"/>
    <w:rsid w:val="003124BA"/>
    <w:rsid w:val="00313FD6"/>
    <w:rsid w:val="003143BD"/>
    <w:rsid w:val="003153C1"/>
    <w:rsid w:val="00320177"/>
    <w:rsid w:val="003203ED"/>
    <w:rsid w:val="0032130F"/>
    <w:rsid w:val="00322772"/>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07E3"/>
    <w:rsid w:val="003516FD"/>
    <w:rsid w:val="00351C00"/>
    <w:rsid w:val="00351C21"/>
    <w:rsid w:val="00352094"/>
    <w:rsid w:val="00352AAB"/>
    <w:rsid w:val="00352BCD"/>
    <w:rsid w:val="00354F66"/>
    <w:rsid w:val="0035511B"/>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209"/>
    <w:rsid w:val="00370C16"/>
    <w:rsid w:val="00370E47"/>
    <w:rsid w:val="00372AAF"/>
    <w:rsid w:val="00373969"/>
    <w:rsid w:val="003741F6"/>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0E4E"/>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2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2F"/>
    <w:rsid w:val="003B795B"/>
    <w:rsid w:val="003B7AC3"/>
    <w:rsid w:val="003B7FE5"/>
    <w:rsid w:val="003C0D50"/>
    <w:rsid w:val="003C11C8"/>
    <w:rsid w:val="003C12B9"/>
    <w:rsid w:val="003C22BF"/>
    <w:rsid w:val="003C2702"/>
    <w:rsid w:val="003C2907"/>
    <w:rsid w:val="003C3076"/>
    <w:rsid w:val="003C359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090"/>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430"/>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27D69"/>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5D0D"/>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B24"/>
    <w:rsid w:val="00490C6F"/>
    <w:rsid w:val="00491B36"/>
    <w:rsid w:val="00492BC5"/>
    <w:rsid w:val="00492E72"/>
    <w:rsid w:val="00493240"/>
    <w:rsid w:val="0049503E"/>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270"/>
    <w:rsid w:val="004B0802"/>
    <w:rsid w:val="004B0840"/>
    <w:rsid w:val="004B0924"/>
    <w:rsid w:val="004B09DB"/>
    <w:rsid w:val="004B1049"/>
    <w:rsid w:val="004B1CFE"/>
    <w:rsid w:val="004B1DB8"/>
    <w:rsid w:val="004B2F6C"/>
    <w:rsid w:val="004B4459"/>
    <w:rsid w:val="004B44CE"/>
    <w:rsid w:val="004B4593"/>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6FF9"/>
    <w:rsid w:val="004C72BF"/>
    <w:rsid w:val="004C77F7"/>
    <w:rsid w:val="004D06BB"/>
    <w:rsid w:val="004D2254"/>
    <w:rsid w:val="004D36B1"/>
    <w:rsid w:val="004D594B"/>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1F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076E2"/>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0F6B"/>
    <w:rsid w:val="00532A25"/>
    <w:rsid w:val="00533C5F"/>
    <w:rsid w:val="00534AE0"/>
    <w:rsid w:val="00534AE9"/>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A3"/>
    <w:rsid w:val="00563BB8"/>
    <w:rsid w:val="00564FBF"/>
    <w:rsid w:val="00565DED"/>
    <w:rsid w:val="00566557"/>
    <w:rsid w:val="005666FA"/>
    <w:rsid w:val="005704BB"/>
    <w:rsid w:val="00570632"/>
    <w:rsid w:val="00570D73"/>
    <w:rsid w:val="005716E3"/>
    <w:rsid w:val="00571BE1"/>
    <w:rsid w:val="00571D3C"/>
    <w:rsid w:val="00572505"/>
    <w:rsid w:val="00572A03"/>
    <w:rsid w:val="005735CE"/>
    <w:rsid w:val="005743DE"/>
    <w:rsid w:val="005752DA"/>
    <w:rsid w:val="005764C7"/>
    <w:rsid w:val="00576784"/>
    <w:rsid w:val="0057762F"/>
    <w:rsid w:val="0058172D"/>
    <w:rsid w:val="005817C9"/>
    <w:rsid w:val="00582561"/>
    <w:rsid w:val="00582809"/>
    <w:rsid w:val="00583F8C"/>
    <w:rsid w:val="00585C6A"/>
    <w:rsid w:val="00586023"/>
    <w:rsid w:val="005860B5"/>
    <w:rsid w:val="0058638E"/>
    <w:rsid w:val="00586451"/>
    <w:rsid w:val="0058798C"/>
    <w:rsid w:val="005900FA"/>
    <w:rsid w:val="00590A17"/>
    <w:rsid w:val="00590F22"/>
    <w:rsid w:val="00591AB7"/>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A7637"/>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2CB"/>
    <w:rsid w:val="005C433B"/>
    <w:rsid w:val="005C61AC"/>
    <w:rsid w:val="005C65B6"/>
    <w:rsid w:val="005C6E03"/>
    <w:rsid w:val="005C74FB"/>
    <w:rsid w:val="005C76FB"/>
    <w:rsid w:val="005D0107"/>
    <w:rsid w:val="005D030D"/>
    <w:rsid w:val="005D1602"/>
    <w:rsid w:val="005D28DF"/>
    <w:rsid w:val="005D32AE"/>
    <w:rsid w:val="005D49C4"/>
    <w:rsid w:val="005D4AB0"/>
    <w:rsid w:val="005D4B4C"/>
    <w:rsid w:val="005D623C"/>
    <w:rsid w:val="005D7A1B"/>
    <w:rsid w:val="005D7B61"/>
    <w:rsid w:val="005D7C82"/>
    <w:rsid w:val="005D7ED3"/>
    <w:rsid w:val="005E0C50"/>
    <w:rsid w:val="005E18FE"/>
    <w:rsid w:val="005E33DA"/>
    <w:rsid w:val="005E385F"/>
    <w:rsid w:val="005E4663"/>
    <w:rsid w:val="005E4FCF"/>
    <w:rsid w:val="005E53B7"/>
    <w:rsid w:val="005E54A9"/>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AB9"/>
    <w:rsid w:val="00613257"/>
    <w:rsid w:val="00614994"/>
    <w:rsid w:val="006151D2"/>
    <w:rsid w:val="00620B97"/>
    <w:rsid w:val="00621662"/>
    <w:rsid w:val="00621751"/>
    <w:rsid w:val="00621EEE"/>
    <w:rsid w:val="006232E1"/>
    <w:rsid w:val="006234A6"/>
    <w:rsid w:val="006235AD"/>
    <w:rsid w:val="00624C2F"/>
    <w:rsid w:val="006254B7"/>
    <w:rsid w:val="00626130"/>
    <w:rsid w:val="0062798D"/>
    <w:rsid w:val="00630001"/>
    <w:rsid w:val="006311B3"/>
    <w:rsid w:val="00631957"/>
    <w:rsid w:val="00631AA5"/>
    <w:rsid w:val="00632043"/>
    <w:rsid w:val="0063284C"/>
    <w:rsid w:val="00632BD0"/>
    <w:rsid w:val="00633135"/>
    <w:rsid w:val="00633697"/>
    <w:rsid w:val="00634BF5"/>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419"/>
    <w:rsid w:val="00646703"/>
    <w:rsid w:val="00647435"/>
    <w:rsid w:val="00650AB9"/>
    <w:rsid w:val="00650EA2"/>
    <w:rsid w:val="00650F89"/>
    <w:rsid w:val="00652CED"/>
    <w:rsid w:val="00653266"/>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5FD"/>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046"/>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5D9C"/>
    <w:rsid w:val="006E7D3B"/>
    <w:rsid w:val="006F028F"/>
    <w:rsid w:val="006F0D29"/>
    <w:rsid w:val="006F0E91"/>
    <w:rsid w:val="006F1B70"/>
    <w:rsid w:val="006F2504"/>
    <w:rsid w:val="006F341D"/>
    <w:rsid w:val="006F3B3A"/>
    <w:rsid w:val="006F43CD"/>
    <w:rsid w:val="006F487D"/>
    <w:rsid w:val="006F585C"/>
    <w:rsid w:val="006F58D4"/>
    <w:rsid w:val="006F5C9A"/>
    <w:rsid w:val="006F71DC"/>
    <w:rsid w:val="006F796C"/>
    <w:rsid w:val="006F7B5A"/>
    <w:rsid w:val="006F7BC8"/>
    <w:rsid w:val="00700142"/>
    <w:rsid w:val="0070039B"/>
    <w:rsid w:val="00700998"/>
    <w:rsid w:val="00701CC8"/>
    <w:rsid w:val="00702402"/>
    <w:rsid w:val="007028CD"/>
    <w:rsid w:val="00703123"/>
    <w:rsid w:val="0070346E"/>
    <w:rsid w:val="00703660"/>
    <w:rsid w:val="00704647"/>
    <w:rsid w:val="00704736"/>
    <w:rsid w:val="00704EDB"/>
    <w:rsid w:val="00705BC2"/>
    <w:rsid w:val="00705F8A"/>
    <w:rsid w:val="00706101"/>
    <w:rsid w:val="00706317"/>
    <w:rsid w:val="0070666D"/>
    <w:rsid w:val="00706B8A"/>
    <w:rsid w:val="00706DF5"/>
    <w:rsid w:val="00706FAA"/>
    <w:rsid w:val="0070766F"/>
    <w:rsid w:val="00707ADF"/>
    <w:rsid w:val="00707D61"/>
    <w:rsid w:val="007118CA"/>
    <w:rsid w:val="00711D31"/>
    <w:rsid w:val="00712287"/>
    <w:rsid w:val="00712772"/>
    <w:rsid w:val="00713128"/>
    <w:rsid w:val="007148D3"/>
    <w:rsid w:val="0071551B"/>
    <w:rsid w:val="00715638"/>
    <w:rsid w:val="00715A32"/>
    <w:rsid w:val="00715B9A"/>
    <w:rsid w:val="0071600C"/>
    <w:rsid w:val="007161DA"/>
    <w:rsid w:val="007163B5"/>
    <w:rsid w:val="00717413"/>
    <w:rsid w:val="007221A1"/>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189F"/>
    <w:rsid w:val="007424C8"/>
    <w:rsid w:val="007427AE"/>
    <w:rsid w:val="007445A0"/>
    <w:rsid w:val="0074524B"/>
    <w:rsid w:val="00746608"/>
    <w:rsid w:val="00746EAC"/>
    <w:rsid w:val="007474A3"/>
    <w:rsid w:val="00747D8B"/>
    <w:rsid w:val="00751228"/>
    <w:rsid w:val="00752C50"/>
    <w:rsid w:val="007543CB"/>
    <w:rsid w:val="007551FE"/>
    <w:rsid w:val="00755EC7"/>
    <w:rsid w:val="007571E1"/>
    <w:rsid w:val="007575D7"/>
    <w:rsid w:val="00757F5E"/>
    <w:rsid w:val="007602E4"/>
    <w:rsid w:val="007604B2"/>
    <w:rsid w:val="007619D7"/>
    <w:rsid w:val="007623FB"/>
    <w:rsid w:val="00762E64"/>
    <w:rsid w:val="00765281"/>
    <w:rsid w:val="00766BAD"/>
    <w:rsid w:val="00770099"/>
    <w:rsid w:val="00770226"/>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5B27"/>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12"/>
    <w:rsid w:val="007D65EE"/>
    <w:rsid w:val="007D65F7"/>
    <w:rsid w:val="007D6800"/>
    <w:rsid w:val="007D6C7C"/>
    <w:rsid w:val="007D7526"/>
    <w:rsid w:val="007E252D"/>
    <w:rsid w:val="007E2FA0"/>
    <w:rsid w:val="007E3EF5"/>
    <w:rsid w:val="007E4610"/>
    <w:rsid w:val="007E4715"/>
    <w:rsid w:val="007E4D98"/>
    <w:rsid w:val="007E4E18"/>
    <w:rsid w:val="007E505B"/>
    <w:rsid w:val="007E533C"/>
    <w:rsid w:val="007E53BD"/>
    <w:rsid w:val="007E5AC5"/>
    <w:rsid w:val="007E609F"/>
    <w:rsid w:val="007E7091"/>
    <w:rsid w:val="007E7475"/>
    <w:rsid w:val="007F12B6"/>
    <w:rsid w:val="007F1726"/>
    <w:rsid w:val="007F1FEA"/>
    <w:rsid w:val="007F2363"/>
    <w:rsid w:val="007F3E0E"/>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475A"/>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5DBE"/>
    <w:rsid w:val="00817196"/>
    <w:rsid w:val="0081757C"/>
    <w:rsid w:val="00820715"/>
    <w:rsid w:val="008213E6"/>
    <w:rsid w:val="008216C3"/>
    <w:rsid w:val="00821960"/>
    <w:rsid w:val="008235DB"/>
    <w:rsid w:val="008240DA"/>
    <w:rsid w:val="00824130"/>
    <w:rsid w:val="00824AB4"/>
    <w:rsid w:val="00825C42"/>
    <w:rsid w:val="00825D25"/>
    <w:rsid w:val="00825EEF"/>
    <w:rsid w:val="00826FF8"/>
    <w:rsid w:val="00827CAB"/>
    <w:rsid w:val="00827D6F"/>
    <w:rsid w:val="00830677"/>
    <w:rsid w:val="00830E87"/>
    <w:rsid w:val="0083207E"/>
    <w:rsid w:val="008326C1"/>
    <w:rsid w:val="008328DA"/>
    <w:rsid w:val="0083391C"/>
    <w:rsid w:val="0083394E"/>
    <w:rsid w:val="00834C82"/>
    <w:rsid w:val="0083565C"/>
    <w:rsid w:val="00836C4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1DF0"/>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558"/>
    <w:rsid w:val="008759A0"/>
    <w:rsid w:val="00875CD7"/>
    <w:rsid w:val="00875DB6"/>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314"/>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209"/>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1906"/>
    <w:rsid w:val="00922010"/>
    <w:rsid w:val="0092265D"/>
    <w:rsid w:val="009226F0"/>
    <w:rsid w:val="0092270D"/>
    <w:rsid w:val="0092272E"/>
    <w:rsid w:val="00922CB2"/>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00"/>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67B75"/>
    <w:rsid w:val="009713D9"/>
    <w:rsid w:val="00971837"/>
    <w:rsid w:val="0097188B"/>
    <w:rsid w:val="00971A83"/>
    <w:rsid w:val="00971CA8"/>
    <w:rsid w:val="00971F08"/>
    <w:rsid w:val="00972109"/>
    <w:rsid w:val="009727F4"/>
    <w:rsid w:val="00972E1B"/>
    <w:rsid w:val="00973281"/>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5B06"/>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059"/>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1DD"/>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0EC7"/>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457"/>
    <w:rsid w:val="00A22BE3"/>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3A95"/>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3BB7"/>
    <w:rsid w:val="00A647D1"/>
    <w:rsid w:val="00A64DD4"/>
    <w:rsid w:val="00A65943"/>
    <w:rsid w:val="00A660AC"/>
    <w:rsid w:val="00A66720"/>
    <w:rsid w:val="00A670EF"/>
    <w:rsid w:val="00A678ED"/>
    <w:rsid w:val="00A67D49"/>
    <w:rsid w:val="00A67E6C"/>
    <w:rsid w:val="00A67F8B"/>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56C"/>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AB7"/>
    <w:rsid w:val="00AC1D55"/>
    <w:rsid w:val="00AC2ECD"/>
    <w:rsid w:val="00AC3119"/>
    <w:rsid w:val="00AC38AE"/>
    <w:rsid w:val="00AC4262"/>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68EC"/>
    <w:rsid w:val="00AD6FDB"/>
    <w:rsid w:val="00AD748F"/>
    <w:rsid w:val="00AD7ABF"/>
    <w:rsid w:val="00AD7D2A"/>
    <w:rsid w:val="00AD7F4A"/>
    <w:rsid w:val="00AE0416"/>
    <w:rsid w:val="00AE0A60"/>
    <w:rsid w:val="00AE150B"/>
    <w:rsid w:val="00AE1722"/>
    <w:rsid w:val="00AE2451"/>
    <w:rsid w:val="00AE27AC"/>
    <w:rsid w:val="00AE34E7"/>
    <w:rsid w:val="00AE39D2"/>
    <w:rsid w:val="00AE3D3C"/>
    <w:rsid w:val="00AE3FA0"/>
    <w:rsid w:val="00AE40E0"/>
    <w:rsid w:val="00AE4DBA"/>
    <w:rsid w:val="00AE4F07"/>
    <w:rsid w:val="00AE5724"/>
    <w:rsid w:val="00AE5783"/>
    <w:rsid w:val="00AF1C5D"/>
    <w:rsid w:val="00AF271A"/>
    <w:rsid w:val="00AF42D7"/>
    <w:rsid w:val="00AF474B"/>
    <w:rsid w:val="00AF4AFF"/>
    <w:rsid w:val="00AF643F"/>
    <w:rsid w:val="00AF6DA0"/>
    <w:rsid w:val="00B006FE"/>
    <w:rsid w:val="00B007CB"/>
    <w:rsid w:val="00B00A65"/>
    <w:rsid w:val="00B02AA9"/>
    <w:rsid w:val="00B02BC2"/>
    <w:rsid w:val="00B02FA3"/>
    <w:rsid w:val="00B03281"/>
    <w:rsid w:val="00B05084"/>
    <w:rsid w:val="00B10EEB"/>
    <w:rsid w:val="00B1177A"/>
    <w:rsid w:val="00B12447"/>
    <w:rsid w:val="00B143FA"/>
    <w:rsid w:val="00B146E4"/>
    <w:rsid w:val="00B15781"/>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2210"/>
    <w:rsid w:val="00B32BC1"/>
    <w:rsid w:val="00B337BC"/>
    <w:rsid w:val="00B33E24"/>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2FF8"/>
    <w:rsid w:val="00B93454"/>
    <w:rsid w:val="00B93A56"/>
    <w:rsid w:val="00B93B59"/>
    <w:rsid w:val="00B93E70"/>
    <w:rsid w:val="00B9406A"/>
    <w:rsid w:val="00B94676"/>
    <w:rsid w:val="00B94CF9"/>
    <w:rsid w:val="00B95DF2"/>
    <w:rsid w:val="00B97BB4"/>
    <w:rsid w:val="00B97C21"/>
    <w:rsid w:val="00B97D91"/>
    <w:rsid w:val="00B97EC2"/>
    <w:rsid w:val="00BA08A3"/>
    <w:rsid w:val="00BA13AD"/>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3E95"/>
    <w:rsid w:val="00BC4D2E"/>
    <w:rsid w:val="00BC4E54"/>
    <w:rsid w:val="00BC74D1"/>
    <w:rsid w:val="00BD0073"/>
    <w:rsid w:val="00BD48AC"/>
    <w:rsid w:val="00BD4AE4"/>
    <w:rsid w:val="00BD55BA"/>
    <w:rsid w:val="00BD5762"/>
    <w:rsid w:val="00BD5F1A"/>
    <w:rsid w:val="00BD7DE3"/>
    <w:rsid w:val="00BE079A"/>
    <w:rsid w:val="00BE11A9"/>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360A"/>
    <w:rsid w:val="00C64672"/>
    <w:rsid w:val="00C654C6"/>
    <w:rsid w:val="00C65560"/>
    <w:rsid w:val="00C65EBC"/>
    <w:rsid w:val="00C65F0C"/>
    <w:rsid w:val="00C66472"/>
    <w:rsid w:val="00C668F7"/>
    <w:rsid w:val="00C6692D"/>
    <w:rsid w:val="00C671CA"/>
    <w:rsid w:val="00C70697"/>
    <w:rsid w:val="00C70D2F"/>
    <w:rsid w:val="00C71B72"/>
    <w:rsid w:val="00C728F3"/>
    <w:rsid w:val="00C72EF4"/>
    <w:rsid w:val="00C7412A"/>
    <w:rsid w:val="00C754E8"/>
    <w:rsid w:val="00C755E3"/>
    <w:rsid w:val="00C75D2F"/>
    <w:rsid w:val="00C7620C"/>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2EE1"/>
    <w:rsid w:val="00CB3C92"/>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1301"/>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C82"/>
    <w:rsid w:val="00D01D27"/>
    <w:rsid w:val="00D02803"/>
    <w:rsid w:val="00D0349B"/>
    <w:rsid w:val="00D04EAA"/>
    <w:rsid w:val="00D0634C"/>
    <w:rsid w:val="00D06779"/>
    <w:rsid w:val="00D06D04"/>
    <w:rsid w:val="00D07567"/>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2D00"/>
    <w:rsid w:val="00D235FD"/>
    <w:rsid w:val="00D239A7"/>
    <w:rsid w:val="00D23F47"/>
    <w:rsid w:val="00D24563"/>
    <w:rsid w:val="00D248DC"/>
    <w:rsid w:val="00D24B5D"/>
    <w:rsid w:val="00D25297"/>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6722F"/>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46AE"/>
    <w:rsid w:val="00D9537D"/>
    <w:rsid w:val="00D95A1E"/>
    <w:rsid w:val="00D95B0C"/>
    <w:rsid w:val="00D9613D"/>
    <w:rsid w:val="00D977E9"/>
    <w:rsid w:val="00D97B8A"/>
    <w:rsid w:val="00DA1E71"/>
    <w:rsid w:val="00DA2A4E"/>
    <w:rsid w:val="00DA2D31"/>
    <w:rsid w:val="00DA305E"/>
    <w:rsid w:val="00DA4908"/>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E99"/>
    <w:rsid w:val="00DC5FB3"/>
    <w:rsid w:val="00DC6129"/>
    <w:rsid w:val="00DC631A"/>
    <w:rsid w:val="00DC6DC7"/>
    <w:rsid w:val="00DD017F"/>
    <w:rsid w:val="00DD126B"/>
    <w:rsid w:val="00DD1AE7"/>
    <w:rsid w:val="00DD3166"/>
    <w:rsid w:val="00DD3666"/>
    <w:rsid w:val="00DD3A6E"/>
    <w:rsid w:val="00DD6064"/>
    <w:rsid w:val="00DD66B4"/>
    <w:rsid w:val="00DD698D"/>
    <w:rsid w:val="00DD7666"/>
    <w:rsid w:val="00DD781B"/>
    <w:rsid w:val="00DD7E75"/>
    <w:rsid w:val="00DE11C9"/>
    <w:rsid w:val="00DE1E69"/>
    <w:rsid w:val="00DE23DC"/>
    <w:rsid w:val="00DE3510"/>
    <w:rsid w:val="00DE48BD"/>
    <w:rsid w:val="00DE5035"/>
    <w:rsid w:val="00DE5608"/>
    <w:rsid w:val="00DE58D0"/>
    <w:rsid w:val="00DE602F"/>
    <w:rsid w:val="00DE654F"/>
    <w:rsid w:val="00DE6BFB"/>
    <w:rsid w:val="00DF0054"/>
    <w:rsid w:val="00DF0280"/>
    <w:rsid w:val="00DF0F32"/>
    <w:rsid w:val="00DF1016"/>
    <w:rsid w:val="00DF10A0"/>
    <w:rsid w:val="00DF15E0"/>
    <w:rsid w:val="00DF1A70"/>
    <w:rsid w:val="00DF2D49"/>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05A"/>
    <w:rsid w:val="00E21520"/>
    <w:rsid w:val="00E2171D"/>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84E"/>
    <w:rsid w:val="00E34B6E"/>
    <w:rsid w:val="00E3526B"/>
    <w:rsid w:val="00E361BA"/>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6C79"/>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490E"/>
    <w:rsid w:val="00EA5283"/>
    <w:rsid w:val="00EA5461"/>
    <w:rsid w:val="00EA580E"/>
    <w:rsid w:val="00EA64B0"/>
    <w:rsid w:val="00EA6B68"/>
    <w:rsid w:val="00EA745A"/>
    <w:rsid w:val="00EA7A41"/>
    <w:rsid w:val="00EB0523"/>
    <w:rsid w:val="00EB077B"/>
    <w:rsid w:val="00EB0D24"/>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E7CE1"/>
    <w:rsid w:val="00EF00FF"/>
    <w:rsid w:val="00EF102E"/>
    <w:rsid w:val="00EF18FE"/>
    <w:rsid w:val="00EF2981"/>
    <w:rsid w:val="00EF3AD5"/>
    <w:rsid w:val="00EF3D20"/>
    <w:rsid w:val="00EF53CD"/>
    <w:rsid w:val="00EF5787"/>
    <w:rsid w:val="00EF60D0"/>
    <w:rsid w:val="00EF7C03"/>
    <w:rsid w:val="00F00459"/>
    <w:rsid w:val="00F00A11"/>
    <w:rsid w:val="00F01A5F"/>
    <w:rsid w:val="00F01AA2"/>
    <w:rsid w:val="00F0266F"/>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2199"/>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411BE"/>
    <w:rsid w:val="00F413CC"/>
    <w:rsid w:val="00F434C6"/>
    <w:rsid w:val="00F43F65"/>
    <w:rsid w:val="00F44E8D"/>
    <w:rsid w:val="00F457DA"/>
    <w:rsid w:val="00F468C8"/>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F08"/>
    <w:rsid w:val="00F570BF"/>
    <w:rsid w:val="00F57485"/>
    <w:rsid w:val="00F57752"/>
    <w:rsid w:val="00F607C5"/>
    <w:rsid w:val="00F60DEA"/>
    <w:rsid w:val="00F6302A"/>
    <w:rsid w:val="00F63838"/>
    <w:rsid w:val="00F643D1"/>
    <w:rsid w:val="00F64C2B"/>
    <w:rsid w:val="00F64DC0"/>
    <w:rsid w:val="00F651BE"/>
    <w:rsid w:val="00F65F27"/>
    <w:rsid w:val="00F66BB9"/>
    <w:rsid w:val="00F67E37"/>
    <w:rsid w:val="00F67F53"/>
    <w:rsid w:val="00F70104"/>
    <w:rsid w:val="00F703BE"/>
    <w:rsid w:val="00F71F69"/>
    <w:rsid w:val="00F72B72"/>
    <w:rsid w:val="00F745E4"/>
    <w:rsid w:val="00F74BB9"/>
    <w:rsid w:val="00F752FE"/>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263"/>
    <w:rsid w:val="00F92782"/>
    <w:rsid w:val="00F9378A"/>
    <w:rsid w:val="00F93AA9"/>
    <w:rsid w:val="00F9509A"/>
    <w:rsid w:val="00F96985"/>
    <w:rsid w:val="00F97838"/>
    <w:rsid w:val="00FA070D"/>
    <w:rsid w:val="00FA1A18"/>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2676"/>
    <w:rsid w:val="00FB3344"/>
    <w:rsid w:val="00FB3775"/>
    <w:rsid w:val="00FB413D"/>
    <w:rsid w:val="00FB4C80"/>
    <w:rsid w:val="00FB5944"/>
    <w:rsid w:val="00FB5AE1"/>
    <w:rsid w:val="00FB6087"/>
    <w:rsid w:val="00FB6BA8"/>
    <w:rsid w:val="00FB7389"/>
    <w:rsid w:val="00FC0866"/>
    <w:rsid w:val="00FC186B"/>
    <w:rsid w:val="00FC1DCB"/>
    <w:rsid w:val="00FC2019"/>
    <w:rsid w:val="00FC2E17"/>
    <w:rsid w:val="00FC4002"/>
    <w:rsid w:val="00FC5A27"/>
    <w:rsid w:val="00FC5DE8"/>
    <w:rsid w:val="00FC5E13"/>
    <w:rsid w:val="00FC6D90"/>
    <w:rsid w:val="00FC7429"/>
    <w:rsid w:val="00FD07F6"/>
    <w:rsid w:val="00FD1EC8"/>
    <w:rsid w:val="00FD2E88"/>
    <w:rsid w:val="00FD3B87"/>
    <w:rsid w:val="00FD4578"/>
    <w:rsid w:val="00FD47ED"/>
    <w:rsid w:val="00FD710F"/>
    <w:rsid w:val="00FD74DB"/>
    <w:rsid w:val="00FD75E6"/>
    <w:rsid w:val="00FD7660"/>
    <w:rsid w:val="00FD7894"/>
    <w:rsid w:val="00FD7BE1"/>
    <w:rsid w:val="00FE0655"/>
    <w:rsid w:val="00FE1D68"/>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13702E92-825B-4433-9DB1-BFEEB62E1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table" w:styleId="TableGridLight">
    <w:name w:val="Grid Table Light"/>
    <w:basedOn w:val="TableNormal"/>
    <w:rsid w:val="00116D9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C2EE787D-A5DA-4BC8-BD84-63DF4464A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223</TotalTime>
  <Pages>4</Pages>
  <Words>1675</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11201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Marinier, Paul</cp:lastModifiedBy>
  <cp:revision>12</cp:revision>
  <cp:lastPrinted>2014-08-07T20:35:00Z</cp:lastPrinted>
  <dcterms:created xsi:type="dcterms:W3CDTF">2015-08-14T15:57:00Z</dcterms:created>
  <dcterms:modified xsi:type="dcterms:W3CDTF">2015-08-14T20:35:00Z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