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E9148" w14:textId="03E6B867" w:rsidR="0036183A" w:rsidRPr="003546DD" w:rsidRDefault="0036183A" w:rsidP="00952E32">
      <w:pPr>
        <w:tabs>
          <w:tab w:val="center" w:pos="4536"/>
          <w:tab w:val="right" w:pos="7938"/>
          <w:tab w:val="right" w:pos="9639"/>
        </w:tabs>
        <w:ind w:right="2"/>
        <w:rPr>
          <w:rFonts w:ascii="Arial" w:hAnsi="Arial" w:cs="Arial"/>
          <w:b/>
          <w:bCs/>
          <w:sz w:val="28"/>
          <w:lang w:val="en-US"/>
        </w:rPr>
      </w:pPr>
      <w:r w:rsidRPr="003546DD">
        <w:rPr>
          <w:rFonts w:ascii="Arial" w:hAnsi="Arial" w:cs="Arial"/>
          <w:b/>
          <w:bCs/>
          <w:sz w:val="28"/>
          <w:lang w:val="en-US"/>
        </w:rPr>
        <w:t>3GPP TSG RAN WG1 #1</w:t>
      </w:r>
      <w:r w:rsidR="0008766C" w:rsidRPr="003546DD">
        <w:rPr>
          <w:rFonts w:ascii="Arial" w:hAnsi="Arial" w:cs="Arial"/>
          <w:b/>
          <w:bCs/>
          <w:sz w:val="28"/>
          <w:lang w:val="en-US"/>
        </w:rPr>
        <w:t>2</w:t>
      </w:r>
      <w:r w:rsidR="003546DD" w:rsidRPr="003546DD">
        <w:rPr>
          <w:rFonts w:ascii="Arial" w:hAnsi="Arial" w:cs="Arial"/>
          <w:b/>
          <w:bCs/>
          <w:sz w:val="28"/>
          <w:lang w:val="en-US"/>
        </w:rPr>
        <w:t>3</w:t>
      </w:r>
      <w:r w:rsidRPr="003546DD">
        <w:rPr>
          <w:rFonts w:ascii="Arial" w:hAnsi="Arial" w:cs="Arial"/>
          <w:b/>
          <w:bCs/>
          <w:sz w:val="28"/>
          <w:lang w:val="en-US"/>
        </w:rPr>
        <w:tab/>
      </w:r>
      <w:r w:rsidRPr="003546DD">
        <w:rPr>
          <w:rFonts w:ascii="Arial" w:hAnsi="Arial" w:cs="Arial"/>
          <w:b/>
          <w:bCs/>
          <w:sz w:val="28"/>
          <w:lang w:val="en-US"/>
        </w:rPr>
        <w:tab/>
      </w:r>
      <w:r w:rsidR="00A15A2D">
        <w:rPr>
          <w:rFonts w:ascii="Arial" w:hAnsi="Arial" w:cs="Arial"/>
          <w:b/>
          <w:bCs/>
          <w:sz w:val="28"/>
          <w:lang w:val="en-US"/>
        </w:rPr>
        <w:t xml:space="preserve">  </w:t>
      </w:r>
      <w:r w:rsidR="00A15A2D" w:rsidRPr="003546DD">
        <w:rPr>
          <w:rFonts w:ascii="Arial" w:hAnsi="Arial" w:cs="Arial"/>
          <w:b/>
          <w:bCs/>
          <w:color w:val="808080"/>
          <w:sz w:val="26"/>
          <w:szCs w:val="26"/>
          <w:lang w:val="en-US"/>
        </w:rPr>
        <w:t>R1-2508754</w:t>
      </w:r>
      <w:r w:rsidRPr="003546DD">
        <w:rPr>
          <w:rFonts w:ascii="Arial" w:hAnsi="Arial" w:cs="Arial"/>
          <w:b/>
          <w:bCs/>
          <w:sz w:val="28"/>
          <w:lang w:val="en-US"/>
        </w:rPr>
        <w:tab/>
      </w:r>
      <w:r w:rsidR="000B1F4B" w:rsidRPr="003546DD">
        <w:rPr>
          <w:rFonts w:ascii="Arial" w:hAnsi="Arial" w:cs="Arial"/>
          <w:b/>
          <w:bCs/>
          <w:color w:val="000000" w:themeColor="text1"/>
          <w:sz w:val="28"/>
          <w:lang w:val="en-US"/>
        </w:rPr>
        <w:t xml:space="preserve">                                                       </w:t>
      </w:r>
      <w:r w:rsidR="00A15A2D">
        <w:rPr>
          <w:rFonts w:ascii="Arial" w:hAnsi="Arial" w:cs="Arial"/>
          <w:b/>
          <w:bCs/>
          <w:color w:val="000000" w:themeColor="text1"/>
          <w:sz w:val="28"/>
          <w:lang w:val="en-US"/>
        </w:rPr>
        <w:t xml:space="preserve"> </w:t>
      </w:r>
    </w:p>
    <w:p w14:paraId="04386514" w14:textId="468B657D" w:rsidR="0036183A" w:rsidRPr="002B21BD" w:rsidRDefault="000C2CAF" w:rsidP="0036183A">
      <w:pPr>
        <w:tabs>
          <w:tab w:val="center" w:pos="4536"/>
          <w:tab w:val="right" w:pos="9072"/>
        </w:tabs>
        <w:rPr>
          <w:rFonts w:ascii="Arial" w:eastAsia="MS Mincho" w:hAnsi="Arial" w:cs="Arial"/>
          <w:b/>
          <w:bCs/>
          <w:sz w:val="28"/>
          <w:lang w:val="en-US" w:eastAsia="ja-JP"/>
        </w:rPr>
      </w:pPr>
      <w:r>
        <w:rPr>
          <w:rFonts w:ascii="Arial" w:eastAsia="MS Mincho" w:hAnsi="Arial" w:cs="Arial"/>
          <w:b/>
          <w:bCs/>
          <w:sz w:val="28"/>
          <w:lang w:val="en-US" w:eastAsia="ja-JP"/>
        </w:rPr>
        <w:t>Dallas</w:t>
      </w:r>
      <w:r w:rsidR="00E509F1" w:rsidRPr="0083311F">
        <w:rPr>
          <w:rFonts w:ascii="Arial" w:eastAsia="MS Mincho" w:hAnsi="Arial" w:cs="Arial"/>
          <w:b/>
          <w:bCs/>
          <w:sz w:val="28"/>
          <w:lang w:val="en-US" w:eastAsia="ja-JP"/>
        </w:rPr>
        <w:t xml:space="preserve">, </w:t>
      </w:r>
      <w:r>
        <w:rPr>
          <w:rFonts w:ascii="Arial" w:eastAsia="MS Mincho" w:hAnsi="Arial" w:cs="Arial"/>
          <w:b/>
          <w:bCs/>
          <w:sz w:val="28"/>
          <w:lang w:val="en-US" w:eastAsia="ja-JP"/>
        </w:rPr>
        <w:t>USA</w:t>
      </w:r>
      <w:r w:rsidR="0036183A" w:rsidRPr="0083311F">
        <w:rPr>
          <w:rFonts w:ascii="Arial" w:eastAsia="MS Mincho" w:hAnsi="Arial" w:cs="Arial"/>
          <w:b/>
          <w:bCs/>
          <w:sz w:val="28"/>
          <w:lang w:val="en-US" w:eastAsia="ja-JP"/>
        </w:rPr>
        <w:t xml:space="preserve">, </w:t>
      </w:r>
      <w:r>
        <w:rPr>
          <w:rFonts w:ascii="Malgun Gothic" w:eastAsia="Malgun Gothic" w:hAnsi="Malgun Gothic" w:cs="Malgun Gothic"/>
          <w:b/>
          <w:bCs/>
          <w:sz w:val="28"/>
          <w:lang w:val="en-US" w:eastAsia="ko-KR"/>
        </w:rPr>
        <w:t>Nov</w:t>
      </w:r>
      <w:r w:rsidR="002B21BD" w:rsidRPr="002B21BD">
        <w:rPr>
          <w:rFonts w:ascii="Malgun Gothic" w:eastAsia="Malgun Gothic" w:hAnsi="Malgun Gothic" w:cs="Malgun Gothic"/>
          <w:b/>
          <w:bCs/>
          <w:sz w:val="28"/>
          <w:lang w:val="en-US" w:eastAsia="ko-KR"/>
        </w:rPr>
        <w:t xml:space="preserve"> </w:t>
      </w:r>
      <w:r>
        <w:rPr>
          <w:rFonts w:ascii="Arial" w:eastAsia="MS Mincho" w:hAnsi="Arial" w:cs="Arial"/>
          <w:b/>
          <w:bCs/>
          <w:sz w:val="28"/>
          <w:lang w:val="en-US" w:eastAsia="ja-JP"/>
        </w:rPr>
        <w:t>17</w:t>
      </w:r>
      <w:r w:rsidR="002B21BD" w:rsidRPr="002B21BD">
        <w:rPr>
          <w:rFonts w:ascii="Malgun Gothic" w:eastAsia="Malgun Gothic" w:hAnsi="Malgun Gothic" w:cs="Malgun Gothic" w:hint="eastAsia"/>
          <w:b/>
          <w:bCs/>
          <w:sz w:val="28"/>
          <w:vertAlign w:val="superscript"/>
          <w:lang w:val="en-US" w:eastAsia="ko-KR"/>
        </w:rPr>
        <w:t>th</w:t>
      </w:r>
      <w:r w:rsidR="002B21BD" w:rsidRPr="002B21BD">
        <w:rPr>
          <w:rFonts w:ascii="Arial" w:eastAsia="MS Mincho" w:hAnsi="Arial" w:cs="Arial"/>
          <w:b/>
          <w:bCs/>
          <w:sz w:val="28"/>
          <w:lang w:val="en-US" w:eastAsia="ja-JP"/>
        </w:rPr>
        <w:t xml:space="preserve"> </w:t>
      </w:r>
      <w:r w:rsidR="002B21BD" w:rsidRPr="002B21BD">
        <w:rPr>
          <w:rFonts w:ascii="Arial" w:hAnsi="Arial" w:cs="Arial"/>
          <w:b/>
          <w:bCs/>
          <w:sz w:val="28"/>
          <w:lang w:val="en-US"/>
        </w:rPr>
        <w:t xml:space="preserve">– </w:t>
      </w:r>
      <w:r>
        <w:rPr>
          <w:rFonts w:ascii="Arial" w:hAnsi="Arial" w:cs="Arial"/>
          <w:b/>
          <w:bCs/>
          <w:sz w:val="28"/>
          <w:lang w:val="en-US"/>
        </w:rPr>
        <w:t>21</w:t>
      </w:r>
      <w:r>
        <w:rPr>
          <w:rFonts w:ascii="Arial" w:hAnsi="Arial" w:cs="Arial"/>
          <w:b/>
          <w:bCs/>
          <w:sz w:val="28"/>
          <w:vertAlign w:val="superscript"/>
          <w:lang w:val="en-US"/>
        </w:rPr>
        <w:t>st</w:t>
      </w:r>
      <w:r w:rsidR="002B21BD" w:rsidRPr="002B21BD">
        <w:rPr>
          <w:rFonts w:ascii="Arial" w:eastAsia="MS Mincho" w:hAnsi="Arial" w:cs="Arial"/>
          <w:b/>
          <w:bCs/>
          <w:sz w:val="28"/>
          <w:lang w:val="en-US" w:eastAsia="ja-JP"/>
        </w:rPr>
        <w:t>, 2025</w:t>
      </w:r>
    </w:p>
    <w:p w14:paraId="67A2B521" w14:textId="77777777" w:rsidR="0053163A" w:rsidRPr="002B21BD" w:rsidRDefault="0053163A" w:rsidP="0053163A">
      <w:pPr>
        <w:pStyle w:val="Kopfzeile"/>
        <w:tabs>
          <w:tab w:val="right" w:pos="9639"/>
        </w:tabs>
        <w:jc w:val="both"/>
        <w:rPr>
          <w:i/>
          <w:sz w:val="32"/>
        </w:rPr>
      </w:pPr>
      <w:r w:rsidRPr="002B21BD">
        <w:rPr>
          <w:sz w:val="24"/>
        </w:rPr>
        <w:tab/>
      </w:r>
    </w:p>
    <w:p w14:paraId="680BB06B" w14:textId="58B97FF5" w:rsidR="0053163A" w:rsidRPr="005E667C" w:rsidRDefault="0053163A" w:rsidP="0050041C">
      <w:pPr>
        <w:tabs>
          <w:tab w:val="left" w:pos="1985"/>
        </w:tabs>
        <w:jc w:val="both"/>
        <w:rPr>
          <w:rFonts w:ascii="Arial" w:hAnsi="Arial"/>
          <w:b/>
          <w:lang w:val="en-US"/>
        </w:rPr>
      </w:pPr>
      <w:r w:rsidRPr="005E667C">
        <w:rPr>
          <w:rFonts w:ascii="Arial" w:hAnsi="Arial"/>
          <w:b/>
          <w:lang w:val="en-US"/>
        </w:rPr>
        <w:t>Agenda item:</w:t>
      </w:r>
      <w:bookmarkStart w:id="0" w:name="Source"/>
      <w:bookmarkEnd w:id="0"/>
      <w:r w:rsidR="005E667C">
        <w:rPr>
          <w:rFonts w:ascii="Arial" w:hAnsi="Arial"/>
          <w:b/>
          <w:lang w:val="en-US"/>
        </w:rPr>
        <w:t xml:space="preserve">    </w:t>
      </w:r>
      <w:r w:rsidR="0050041C" w:rsidRPr="005E667C">
        <w:rPr>
          <w:rFonts w:ascii="Arial" w:hAnsi="Arial"/>
          <w:b/>
          <w:lang w:val="en-US"/>
        </w:rPr>
        <w:t>10.6.1 - NR-NTN GNSS resilience (FS_NR_NTN_GNSS_resilient)</w:t>
      </w:r>
    </w:p>
    <w:p w14:paraId="237BD542" w14:textId="3538A25C" w:rsidR="0053163A" w:rsidRPr="005E667C" w:rsidRDefault="0053163A" w:rsidP="0053163A">
      <w:pPr>
        <w:tabs>
          <w:tab w:val="left" w:pos="1985"/>
        </w:tabs>
        <w:jc w:val="both"/>
        <w:rPr>
          <w:rFonts w:ascii="Arial" w:hAnsi="Arial"/>
          <w:b/>
          <w:lang w:val="en-US"/>
        </w:rPr>
      </w:pPr>
      <w:r w:rsidRPr="005E667C">
        <w:rPr>
          <w:rFonts w:ascii="Arial" w:hAnsi="Arial"/>
          <w:b/>
          <w:lang w:val="en-US"/>
        </w:rPr>
        <w:t xml:space="preserve">Source: </w:t>
      </w:r>
      <w:r w:rsidR="005E667C">
        <w:rPr>
          <w:rFonts w:ascii="Arial" w:hAnsi="Arial"/>
          <w:b/>
          <w:lang w:val="en-US"/>
        </w:rPr>
        <w:t xml:space="preserve">             </w:t>
      </w:r>
      <w:r w:rsidR="000019E9" w:rsidRPr="005E667C">
        <w:rPr>
          <w:rFonts w:ascii="Arial" w:hAnsi="Arial"/>
          <w:b/>
          <w:lang w:val="en-US"/>
        </w:rPr>
        <w:t>Fraunhofer IIS</w:t>
      </w:r>
      <w:r w:rsidR="006278B1" w:rsidRPr="005E667C">
        <w:rPr>
          <w:rFonts w:ascii="Arial" w:hAnsi="Arial"/>
          <w:b/>
          <w:lang w:val="en-US"/>
        </w:rPr>
        <w:t>, Fraunhofer HHI</w:t>
      </w:r>
    </w:p>
    <w:p w14:paraId="62B9BAA2" w14:textId="566C9773" w:rsidR="0050041C" w:rsidRPr="005E667C" w:rsidRDefault="0053163A" w:rsidP="0050041C">
      <w:pPr>
        <w:spacing w:line="240" w:lineRule="atLeast"/>
        <w:jc w:val="both"/>
        <w:rPr>
          <w:rFonts w:ascii="Arial" w:hAnsi="Arial"/>
          <w:b/>
          <w:lang w:val="en-US"/>
        </w:rPr>
      </w:pPr>
      <w:r w:rsidRPr="005E667C">
        <w:rPr>
          <w:rFonts w:ascii="Arial" w:hAnsi="Arial"/>
          <w:b/>
          <w:lang w:val="en-US"/>
        </w:rPr>
        <w:t xml:space="preserve">Title: </w:t>
      </w:r>
      <w:r w:rsidR="005E667C">
        <w:rPr>
          <w:rFonts w:ascii="Arial" w:hAnsi="Arial"/>
          <w:b/>
          <w:lang w:val="en-US"/>
        </w:rPr>
        <w:t xml:space="preserve">                  </w:t>
      </w:r>
      <w:r w:rsidR="0050041C" w:rsidRPr="005E667C">
        <w:rPr>
          <w:rFonts w:ascii="Arial" w:hAnsi="Arial"/>
          <w:b/>
          <w:lang w:val="en-US"/>
        </w:rPr>
        <w:t>Discussion on NR-NTN GNSS resilience</w:t>
      </w:r>
    </w:p>
    <w:p w14:paraId="05C16C0F" w14:textId="1EA82FA5" w:rsidR="0053163A" w:rsidRPr="005E667C" w:rsidRDefault="0053163A" w:rsidP="0050041C">
      <w:pPr>
        <w:ind w:left="1988" w:hanging="1988"/>
        <w:jc w:val="both"/>
        <w:rPr>
          <w:rFonts w:ascii="Arial" w:hAnsi="Arial"/>
          <w:b/>
        </w:rPr>
      </w:pPr>
      <w:r w:rsidRPr="005E667C">
        <w:rPr>
          <w:rFonts w:ascii="Arial" w:hAnsi="Arial"/>
          <w:b/>
        </w:rPr>
        <w:t>Document for:</w:t>
      </w:r>
      <w:bookmarkStart w:id="1" w:name="DocumentFor"/>
      <w:bookmarkEnd w:id="1"/>
      <w:r w:rsidR="005E667C">
        <w:rPr>
          <w:rFonts w:ascii="Arial" w:hAnsi="Arial"/>
          <w:b/>
        </w:rPr>
        <w:t xml:space="preserve">   </w:t>
      </w:r>
      <w:r w:rsidRPr="005E667C">
        <w:rPr>
          <w:rFonts w:ascii="Arial" w:hAnsi="Arial"/>
          <w:b/>
        </w:rPr>
        <w:t xml:space="preserve">Discussion </w:t>
      </w:r>
    </w:p>
    <w:p w14:paraId="7D3A50A0" w14:textId="3EC72ABE" w:rsidR="00684346" w:rsidRDefault="00684346" w:rsidP="0053163A">
      <w:pPr>
        <w:tabs>
          <w:tab w:val="left" w:pos="1985"/>
        </w:tabs>
        <w:ind w:right="-441"/>
        <w:jc w:val="both"/>
        <w:rPr>
          <w:rFonts w:ascii="Arial" w:hAnsi="Arial"/>
        </w:rPr>
      </w:pPr>
    </w:p>
    <w:p w14:paraId="5A6BA276" w14:textId="4A756982" w:rsidR="0040552F" w:rsidRPr="00E36017" w:rsidRDefault="00684346">
      <w:pPr>
        <w:pStyle w:val="berschrift1"/>
        <w:numPr>
          <w:ilvl w:val="0"/>
          <w:numId w:val="2"/>
        </w:numPr>
        <w:rPr>
          <w:rFonts w:asciiTheme="majorBidi" w:hAnsiTheme="majorBidi" w:cstheme="majorBidi"/>
        </w:rPr>
      </w:pPr>
      <w:r w:rsidRPr="00E36017">
        <w:rPr>
          <w:rFonts w:asciiTheme="majorBidi" w:hAnsiTheme="majorBidi" w:cstheme="majorBidi"/>
        </w:rPr>
        <w:t>Introduction</w:t>
      </w:r>
    </w:p>
    <w:p w14:paraId="07BA4BF7" w14:textId="520688F9" w:rsidR="00021412" w:rsidRDefault="00021412" w:rsidP="00021412">
      <w:pPr>
        <w:pStyle w:val="0Maintext"/>
        <w:ind w:firstLine="0"/>
        <w:rPr>
          <w:rFonts w:asciiTheme="majorBidi" w:eastAsia="Times New Roman" w:hAnsiTheme="majorBidi" w:cstheme="majorBidi"/>
          <w:sz w:val="24"/>
          <w:szCs w:val="24"/>
          <w:lang w:val="en-GB" w:eastAsia="en-US"/>
        </w:rPr>
      </w:pPr>
      <w:r w:rsidRPr="00C367B8">
        <w:rPr>
          <w:rFonts w:asciiTheme="majorBidi" w:eastAsia="Times New Roman" w:hAnsiTheme="majorBidi" w:cstheme="majorBidi"/>
          <w:noProof/>
          <w:sz w:val="24"/>
          <w:szCs w:val="24"/>
          <w:lang w:val="en-GB" w:eastAsia="en-US"/>
        </w:rPr>
        <mc:AlternateContent>
          <mc:Choice Requires="wps">
            <w:drawing>
              <wp:anchor distT="45720" distB="45720" distL="114300" distR="114300" simplePos="0" relativeHeight="251659264" behindDoc="0" locked="0" layoutInCell="1" allowOverlap="1" wp14:anchorId="784056E5" wp14:editId="250ECD0B">
                <wp:simplePos x="0" y="0"/>
                <wp:positionH relativeFrom="margin">
                  <wp:posOffset>235585</wp:posOffset>
                </wp:positionH>
                <wp:positionV relativeFrom="paragraph">
                  <wp:posOffset>744220</wp:posOffset>
                </wp:positionV>
                <wp:extent cx="5886450" cy="3319145"/>
                <wp:effectExtent l="0" t="0" r="19050" b="1460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3319145"/>
                        </a:xfrm>
                        <a:prstGeom prst="rect">
                          <a:avLst/>
                        </a:prstGeom>
                        <a:solidFill>
                          <a:srgbClr val="FFFFFF"/>
                        </a:solidFill>
                        <a:ln w="9525">
                          <a:solidFill>
                            <a:srgbClr val="000000"/>
                          </a:solidFill>
                          <a:miter lim="800000"/>
                          <a:headEnd/>
                          <a:tailEnd/>
                        </a:ln>
                      </wps:spPr>
                      <wps:txbx>
                        <w:txbxContent>
                          <w:p w14:paraId="1E15F176" w14:textId="77777777" w:rsidR="00DF37A4" w:rsidRPr="00D04CF5" w:rsidRDefault="00DF37A4" w:rsidP="00DF37A4">
                            <w:pPr>
                              <w:rPr>
                                <w:sz w:val="22"/>
                                <w:szCs w:val="22"/>
                                <w:lang w:val="en-GB"/>
                              </w:rPr>
                            </w:pPr>
                            <w:r w:rsidRPr="00D04CF5">
                              <w:rPr>
                                <w:sz w:val="22"/>
                                <w:szCs w:val="22"/>
                                <w:lang w:val="en-GB"/>
                              </w:rPr>
                              <w:t>The study will be carried assuming that</w:t>
                            </w:r>
                          </w:p>
                          <w:p w14:paraId="4ADCFCD4" w14:textId="77777777" w:rsidR="00DF37A4" w:rsidRPr="00D04CF5" w:rsidRDefault="00DF37A4" w:rsidP="00DF37A4">
                            <w:pPr>
                              <w:numPr>
                                <w:ilvl w:val="0"/>
                                <w:numId w:val="16"/>
                              </w:numPr>
                              <w:rPr>
                                <w:sz w:val="22"/>
                                <w:szCs w:val="22"/>
                                <w:lang w:val="en-GB"/>
                              </w:rPr>
                            </w:pPr>
                            <w:r w:rsidRPr="00D04CF5">
                              <w:rPr>
                                <w:sz w:val="22"/>
                                <w:szCs w:val="22"/>
                                <w:lang w:val="en-GB"/>
                              </w:rPr>
                              <w:t>The GNSS information in UE with GNSS capability may be 1/ temporarily unavailable or 2/ available but with GNSS position accuracy degradation or 3/ available but with increased GNSS measurement period for power saving purpose</w:t>
                            </w:r>
                          </w:p>
                          <w:p w14:paraId="1ADC3D5D" w14:textId="77777777" w:rsidR="00DF37A4" w:rsidRPr="00D04CF5" w:rsidRDefault="00DF37A4" w:rsidP="00DF37A4">
                            <w:pPr>
                              <w:numPr>
                                <w:ilvl w:val="1"/>
                                <w:numId w:val="17"/>
                              </w:numPr>
                              <w:rPr>
                                <w:sz w:val="22"/>
                                <w:szCs w:val="22"/>
                                <w:lang w:val="en-GB"/>
                              </w:rPr>
                            </w:pPr>
                            <w:r w:rsidRPr="00D04CF5">
                              <w:rPr>
                                <w:sz w:val="22"/>
                                <w:szCs w:val="22"/>
                                <w:lang w:val="en-GB"/>
                              </w:rPr>
                              <w:t>This study will initially focus on 1/ (where GNSS information is temporarily unavailable)</w:t>
                            </w:r>
                          </w:p>
                          <w:p w14:paraId="0E2AE54A" w14:textId="77777777" w:rsidR="00DF37A4" w:rsidRPr="00D04CF5" w:rsidRDefault="00DF37A4" w:rsidP="00DF37A4">
                            <w:pPr>
                              <w:numPr>
                                <w:ilvl w:val="1"/>
                                <w:numId w:val="17"/>
                              </w:numPr>
                              <w:rPr>
                                <w:sz w:val="22"/>
                                <w:szCs w:val="22"/>
                                <w:lang w:val="en-GB"/>
                              </w:rPr>
                            </w:pPr>
                            <w:r w:rsidRPr="00D04CF5">
                              <w:rPr>
                                <w:sz w:val="22"/>
                                <w:szCs w:val="22"/>
                                <w:lang w:val="en-GB"/>
                              </w:rPr>
                              <w:t>Note: This study does not include any enhancement on positioning for the above scenario</w:t>
                            </w:r>
                          </w:p>
                          <w:p w14:paraId="1EAB0CD2" w14:textId="77777777" w:rsidR="00DF37A4" w:rsidRPr="00D04CF5" w:rsidRDefault="00DF37A4" w:rsidP="00DF37A4">
                            <w:pPr>
                              <w:rPr>
                                <w:sz w:val="22"/>
                                <w:szCs w:val="22"/>
                                <w:lang w:val="en-GB"/>
                              </w:rPr>
                            </w:pPr>
                          </w:p>
                          <w:p w14:paraId="23178BF6" w14:textId="77777777" w:rsidR="00DF37A4" w:rsidRPr="00D04CF5" w:rsidRDefault="00DF37A4" w:rsidP="00DF37A4">
                            <w:pPr>
                              <w:rPr>
                                <w:sz w:val="22"/>
                                <w:szCs w:val="22"/>
                                <w:lang w:val="en-GB"/>
                              </w:rPr>
                            </w:pPr>
                            <w:r w:rsidRPr="00D04CF5">
                              <w:rPr>
                                <w:sz w:val="22"/>
                                <w:szCs w:val="22"/>
                                <w:lang w:val="en-GB"/>
                              </w:rPr>
                              <w:t>Study GNSS resilient NR-NTN operation [RAN1, RAN4]</w:t>
                            </w:r>
                          </w:p>
                          <w:p w14:paraId="596134A2" w14:textId="77777777" w:rsidR="00DF37A4" w:rsidRPr="00D04CF5" w:rsidRDefault="00DF37A4" w:rsidP="00DF37A4">
                            <w:pPr>
                              <w:numPr>
                                <w:ilvl w:val="0"/>
                                <w:numId w:val="16"/>
                              </w:numPr>
                              <w:rPr>
                                <w:sz w:val="22"/>
                                <w:szCs w:val="22"/>
                                <w:lang w:val="en-GB"/>
                              </w:rPr>
                            </w:pPr>
                            <w:r w:rsidRPr="00D04CF5">
                              <w:rPr>
                                <w:sz w:val="22"/>
                                <w:szCs w:val="22"/>
                                <w:lang w:val="en-GB"/>
                              </w:rPr>
                              <w:t xml:space="preserve">Assess impact on initial access and connected mode procedures for NR-NTN, including potential implications if any on RAN4 RRM specifications </w:t>
                            </w:r>
                          </w:p>
                          <w:p w14:paraId="012D03A5" w14:textId="77777777" w:rsidR="00DF37A4" w:rsidRPr="00D04CF5" w:rsidRDefault="00DF37A4" w:rsidP="00DF37A4">
                            <w:pPr>
                              <w:numPr>
                                <w:ilvl w:val="1"/>
                                <w:numId w:val="17"/>
                              </w:numPr>
                              <w:rPr>
                                <w:sz w:val="22"/>
                                <w:szCs w:val="22"/>
                                <w:lang w:val="en-GB"/>
                              </w:rPr>
                            </w:pPr>
                            <w:r w:rsidRPr="00D04CF5">
                              <w:rPr>
                                <w:sz w:val="22"/>
                                <w:szCs w:val="22"/>
                                <w:lang w:val="en-GB"/>
                              </w:rPr>
                              <w:t xml:space="preserve">Aim to minimize physical layer procedures impact </w:t>
                            </w:r>
                          </w:p>
                          <w:p w14:paraId="36F18DC9" w14:textId="77777777" w:rsidR="00DF37A4" w:rsidRPr="00D04CF5" w:rsidRDefault="00DF37A4" w:rsidP="00DF37A4">
                            <w:pPr>
                              <w:numPr>
                                <w:ilvl w:val="1"/>
                                <w:numId w:val="17"/>
                              </w:numPr>
                              <w:rPr>
                                <w:sz w:val="22"/>
                                <w:szCs w:val="22"/>
                                <w:lang w:val="en-GB"/>
                              </w:rPr>
                            </w:pPr>
                            <w:r w:rsidRPr="00D04CF5">
                              <w:rPr>
                                <w:sz w:val="22"/>
                                <w:szCs w:val="22"/>
                                <w:lang w:val="en-GB"/>
                              </w:rPr>
                              <w:t>Avoid physical layer channel/signal changes</w:t>
                            </w:r>
                          </w:p>
                          <w:p w14:paraId="6BD91E60" w14:textId="77777777" w:rsidR="00DF37A4" w:rsidRPr="00D04CF5" w:rsidRDefault="00DF37A4" w:rsidP="00DF37A4">
                            <w:pPr>
                              <w:numPr>
                                <w:ilvl w:val="1"/>
                                <w:numId w:val="17"/>
                              </w:numPr>
                              <w:rPr>
                                <w:sz w:val="22"/>
                                <w:szCs w:val="22"/>
                                <w:lang w:val="en-GB"/>
                              </w:rPr>
                            </w:pPr>
                            <w:r w:rsidRPr="00D04CF5">
                              <w:rPr>
                                <w:sz w:val="22"/>
                                <w:szCs w:val="22"/>
                                <w:lang w:val="en-GB"/>
                              </w:rPr>
                              <w:t xml:space="preserve">Backward compatible issues with legacy NTN capable UEs will be assessed and should be prevented </w:t>
                            </w:r>
                          </w:p>
                          <w:p w14:paraId="036F43B0" w14:textId="77777777" w:rsidR="00DF37A4" w:rsidRPr="00D04CF5" w:rsidRDefault="00DF37A4" w:rsidP="00DF37A4">
                            <w:pPr>
                              <w:numPr>
                                <w:ilvl w:val="1"/>
                                <w:numId w:val="17"/>
                              </w:numPr>
                              <w:rPr>
                                <w:sz w:val="22"/>
                                <w:szCs w:val="22"/>
                                <w:lang w:val="en-GB"/>
                              </w:rPr>
                            </w:pPr>
                            <w:r w:rsidRPr="00D04CF5">
                              <w:rPr>
                                <w:sz w:val="22"/>
                                <w:szCs w:val="22"/>
                                <w:lang w:val="en-GB"/>
                              </w:rPr>
                              <w:t>Applicable to NGSO and GSO constellations, NTN operating in below and in above 10 GHz frequency bands, transparent and regenerative satellites</w:t>
                            </w:r>
                          </w:p>
                          <w:p w14:paraId="4BBDC825" w14:textId="5E845F53" w:rsidR="00C367B8" w:rsidRPr="00D04CF5" w:rsidRDefault="00DF37A4" w:rsidP="00DF37A4">
                            <w:pPr>
                              <w:rPr>
                                <w:sz w:val="22"/>
                                <w:szCs w:val="22"/>
                                <w:lang w:val="en-US"/>
                              </w:rPr>
                            </w:pPr>
                            <w:r w:rsidRPr="00D04CF5">
                              <w:rPr>
                                <w:sz w:val="22"/>
                                <w:szCs w:val="22"/>
                                <w:lang w:val="en-GB"/>
                              </w:rPr>
                              <w:t>Check in RAN#112 (June, 2026) to decide whether to proceed with normative work, extend the study item, or postpone normative work to Release 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4056E5" id="_x0000_t202" coordsize="21600,21600" o:spt="202" path="m,l,21600r21600,l21600,xe">
                <v:stroke joinstyle="miter"/>
                <v:path gradientshapeok="t" o:connecttype="rect"/>
              </v:shapetype>
              <v:shape id="Textfeld 2" o:spid="_x0000_s1026" type="#_x0000_t202" style="position:absolute;left:0;text-align:left;margin-left:18.55pt;margin-top:58.6pt;width:463.5pt;height:261.3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">
                <v:textbox>
                  <w:txbxContent>
                    <w:p w14:paraId="1E15F176" w14:textId="77777777" w:rsidR="00DF37A4" w:rsidRPr="00D04CF5" w:rsidRDefault="00DF37A4" w:rsidP="00DF37A4">
                      <w:pPr>
                        <w:rPr>
                          <w:sz w:val="22"/>
                          <w:szCs w:val="22"/>
                          <w:lang w:val="en-GB"/>
                        </w:rPr>
                      </w:pPr>
                      <w:r w:rsidRPr="00D04CF5">
                        <w:rPr>
                          <w:sz w:val="22"/>
                          <w:szCs w:val="22"/>
                          <w:lang w:val="en-GB"/>
                        </w:rPr>
                        <w:t>The study will be carried assuming that</w:t>
                      </w:r>
                    </w:p>
                    <w:p w14:paraId="4ADCFCD4" w14:textId="77777777" w:rsidR="00DF37A4" w:rsidRPr="00D04CF5" w:rsidRDefault="00DF37A4" w:rsidP="00DF37A4">
                      <w:pPr>
                        <w:numPr>
                          <w:ilvl w:val="0"/>
                          <w:numId w:val="16"/>
                        </w:numPr>
                        <w:rPr>
                          <w:sz w:val="22"/>
                          <w:szCs w:val="22"/>
                          <w:lang w:val="en-GB"/>
                        </w:rPr>
                      </w:pPr>
                      <w:r w:rsidRPr="00D04CF5">
                        <w:rPr>
                          <w:sz w:val="22"/>
                          <w:szCs w:val="22"/>
                          <w:lang w:val="en-GB"/>
                        </w:rPr>
                        <w:t>The GNSS information in UE with GNSS capability may be 1/ temporarily unavailable or 2/ available but with GNSS position accuracy degradation or 3/ available but with increased GNSS measurement period for power saving purpose</w:t>
                      </w:r>
                    </w:p>
                    <w:p w14:paraId="1ADC3D5D" w14:textId="77777777" w:rsidR="00DF37A4" w:rsidRPr="00D04CF5" w:rsidRDefault="00DF37A4" w:rsidP="00DF37A4">
                      <w:pPr>
                        <w:numPr>
                          <w:ilvl w:val="1"/>
                          <w:numId w:val="17"/>
                        </w:numPr>
                        <w:rPr>
                          <w:sz w:val="22"/>
                          <w:szCs w:val="22"/>
                          <w:lang w:val="en-GB"/>
                        </w:rPr>
                      </w:pPr>
                      <w:r w:rsidRPr="00D04CF5">
                        <w:rPr>
                          <w:sz w:val="22"/>
                          <w:szCs w:val="22"/>
                          <w:lang w:val="en-GB"/>
                        </w:rPr>
                        <w:t>This study will initially focus on 1/ (where GNSS information is temporarily unavailable)</w:t>
                      </w:r>
                    </w:p>
                    <w:p w14:paraId="0E2AE54A" w14:textId="77777777" w:rsidR="00DF37A4" w:rsidRPr="00D04CF5" w:rsidRDefault="00DF37A4" w:rsidP="00DF37A4">
                      <w:pPr>
                        <w:numPr>
                          <w:ilvl w:val="1"/>
                          <w:numId w:val="17"/>
                        </w:numPr>
                        <w:rPr>
                          <w:sz w:val="22"/>
                          <w:szCs w:val="22"/>
                          <w:lang w:val="en-GB"/>
                        </w:rPr>
                      </w:pPr>
                      <w:r w:rsidRPr="00D04CF5">
                        <w:rPr>
                          <w:sz w:val="22"/>
                          <w:szCs w:val="22"/>
                          <w:lang w:val="en-GB"/>
                        </w:rPr>
                        <w:t>Note: This study does not include any enhancement on positioning for the above scenario</w:t>
                      </w:r>
                    </w:p>
                    <w:p w14:paraId="1EAB0CD2" w14:textId="77777777" w:rsidR="00DF37A4" w:rsidRPr="00D04CF5" w:rsidRDefault="00DF37A4" w:rsidP="00DF37A4">
                      <w:pPr>
                        <w:rPr>
                          <w:sz w:val="22"/>
                          <w:szCs w:val="22"/>
                          <w:lang w:val="en-GB"/>
                        </w:rPr>
                      </w:pPr>
                    </w:p>
                    <w:p w14:paraId="23178BF6" w14:textId="77777777" w:rsidR="00DF37A4" w:rsidRPr="00D04CF5" w:rsidRDefault="00DF37A4" w:rsidP="00DF37A4">
                      <w:pPr>
                        <w:rPr>
                          <w:sz w:val="22"/>
                          <w:szCs w:val="22"/>
                          <w:lang w:val="en-GB"/>
                        </w:rPr>
                      </w:pPr>
                      <w:r w:rsidRPr="00D04CF5">
                        <w:rPr>
                          <w:sz w:val="22"/>
                          <w:szCs w:val="22"/>
                          <w:lang w:val="en-GB"/>
                        </w:rPr>
                        <w:t>Study GNSS resilient NR-NTN operation [RAN1, RAN4]</w:t>
                      </w:r>
                    </w:p>
                    <w:p w14:paraId="596134A2" w14:textId="77777777" w:rsidR="00DF37A4" w:rsidRPr="00D04CF5" w:rsidRDefault="00DF37A4" w:rsidP="00DF37A4">
                      <w:pPr>
                        <w:numPr>
                          <w:ilvl w:val="0"/>
                          <w:numId w:val="16"/>
                        </w:numPr>
                        <w:rPr>
                          <w:sz w:val="22"/>
                          <w:szCs w:val="22"/>
                          <w:lang w:val="en-GB"/>
                        </w:rPr>
                      </w:pPr>
                      <w:r w:rsidRPr="00D04CF5">
                        <w:rPr>
                          <w:sz w:val="22"/>
                          <w:szCs w:val="22"/>
                          <w:lang w:val="en-GB"/>
                        </w:rPr>
                        <w:t xml:space="preserve">Assess impact on initial access and connected mode procedures for NR-NTN, including potential implications if any on RAN4 RRM specifications </w:t>
                      </w:r>
                    </w:p>
                    <w:p w14:paraId="012D03A5" w14:textId="77777777" w:rsidR="00DF37A4" w:rsidRPr="00D04CF5" w:rsidRDefault="00DF37A4" w:rsidP="00DF37A4">
                      <w:pPr>
                        <w:numPr>
                          <w:ilvl w:val="1"/>
                          <w:numId w:val="17"/>
                        </w:numPr>
                        <w:rPr>
                          <w:sz w:val="22"/>
                          <w:szCs w:val="22"/>
                          <w:lang w:val="en-GB"/>
                        </w:rPr>
                      </w:pPr>
                      <w:r w:rsidRPr="00D04CF5">
                        <w:rPr>
                          <w:sz w:val="22"/>
                          <w:szCs w:val="22"/>
                          <w:lang w:val="en-GB"/>
                        </w:rPr>
                        <w:t xml:space="preserve">Aim to minimize physical layer procedures impact </w:t>
                      </w:r>
                    </w:p>
                    <w:p w14:paraId="36F18DC9" w14:textId="77777777" w:rsidR="00DF37A4" w:rsidRPr="00D04CF5" w:rsidRDefault="00DF37A4" w:rsidP="00DF37A4">
                      <w:pPr>
                        <w:numPr>
                          <w:ilvl w:val="1"/>
                          <w:numId w:val="17"/>
                        </w:numPr>
                        <w:rPr>
                          <w:sz w:val="22"/>
                          <w:szCs w:val="22"/>
                          <w:lang w:val="en-GB"/>
                        </w:rPr>
                      </w:pPr>
                      <w:r w:rsidRPr="00D04CF5">
                        <w:rPr>
                          <w:sz w:val="22"/>
                          <w:szCs w:val="22"/>
                          <w:lang w:val="en-GB"/>
                        </w:rPr>
                        <w:t>Avoid physical layer channel/signal changes</w:t>
                      </w:r>
                    </w:p>
                    <w:p w14:paraId="6BD91E60" w14:textId="77777777" w:rsidR="00DF37A4" w:rsidRPr="00D04CF5" w:rsidRDefault="00DF37A4" w:rsidP="00DF37A4">
                      <w:pPr>
                        <w:numPr>
                          <w:ilvl w:val="1"/>
                          <w:numId w:val="17"/>
                        </w:numPr>
                        <w:rPr>
                          <w:sz w:val="22"/>
                          <w:szCs w:val="22"/>
                          <w:lang w:val="en-GB"/>
                        </w:rPr>
                      </w:pPr>
                      <w:r w:rsidRPr="00D04CF5">
                        <w:rPr>
                          <w:sz w:val="22"/>
                          <w:szCs w:val="22"/>
                          <w:lang w:val="en-GB"/>
                        </w:rPr>
                        <w:t xml:space="preserve">Backward compatible issues with legacy NTN capable UEs will be assessed and should be prevented </w:t>
                      </w:r>
                    </w:p>
                    <w:p w14:paraId="036F43B0" w14:textId="77777777" w:rsidR="00DF37A4" w:rsidRPr="00D04CF5" w:rsidRDefault="00DF37A4" w:rsidP="00DF37A4">
                      <w:pPr>
                        <w:numPr>
                          <w:ilvl w:val="1"/>
                          <w:numId w:val="17"/>
                        </w:numPr>
                        <w:rPr>
                          <w:sz w:val="22"/>
                          <w:szCs w:val="22"/>
                          <w:lang w:val="en-GB"/>
                        </w:rPr>
                      </w:pPr>
                      <w:r w:rsidRPr="00D04CF5">
                        <w:rPr>
                          <w:sz w:val="22"/>
                          <w:szCs w:val="22"/>
                          <w:lang w:val="en-GB"/>
                        </w:rPr>
                        <w:t>Applicable to NGSO and GSO constellations, NTN operating in below and in above 10 GHz frequency bands, transparent and regenerative satellites</w:t>
                      </w:r>
                    </w:p>
                    <w:p w14:paraId="4BBDC825" w14:textId="5E845F53" w:rsidR="00C367B8" w:rsidRPr="00D04CF5" w:rsidRDefault="00DF37A4" w:rsidP="00DF37A4">
                      <w:pPr>
                        <w:rPr>
                          <w:sz w:val="22"/>
                          <w:szCs w:val="22"/>
                          <w:lang w:val="en-US"/>
                        </w:rPr>
                      </w:pPr>
                      <w:r w:rsidRPr="00D04CF5">
                        <w:rPr>
                          <w:sz w:val="22"/>
                          <w:szCs w:val="22"/>
                          <w:lang w:val="en-GB"/>
                        </w:rPr>
                        <w:t>Check in RAN#112 (June, 2026) to decide whether to proceed with normative work, extend the study item, or postpone normative work to Release 21</w:t>
                      </w:r>
                    </w:p>
                  </w:txbxContent>
                </v:textbox>
                <w10:wrap type="square" anchorx="margin"/>
              </v:shape>
            </w:pict>
          </mc:Fallback>
        </mc:AlternateContent>
      </w:r>
      <w:r w:rsidR="00BE63A7" w:rsidRPr="00BE63A7">
        <w:rPr>
          <w:rFonts w:asciiTheme="majorBidi" w:eastAsia="Times New Roman" w:hAnsiTheme="majorBidi" w:cstheme="majorBidi"/>
          <w:sz w:val="24"/>
          <w:szCs w:val="24"/>
          <w:lang w:val="en-US" w:eastAsia="en-US"/>
        </w:rPr>
        <w:t xml:space="preserve">During RAN#108 meeting, a new study item was proposed for supporting GNSS-resilient operation of NR-NTN system in scenarios where GNSS is temporarily unavailable or performance degraded [1]. </w:t>
      </w:r>
      <w:r w:rsidR="006534F3">
        <w:rPr>
          <w:rFonts w:asciiTheme="majorBidi" w:eastAsia="Times New Roman" w:hAnsiTheme="majorBidi" w:cstheme="majorBidi"/>
          <w:sz w:val="24"/>
          <w:szCs w:val="24"/>
          <w:lang w:val="en-GB" w:eastAsia="en-US"/>
        </w:rPr>
        <w:t xml:space="preserve">The </w:t>
      </w:r>
      <w:r w:rsidR="00C367B8">
        <w:rPr>
          <w:rFonts w:asciiTheme="majorBidi" w:eastAsia="Times New Roman" w:hAnsiTheme="majorBidi" w:cstheme="majorBidi"/>
          <w:sz w:val="24"/>
          <w:szCs w:val="24"/>
          <w:lang w:val="en-GB" w:eastAsia="en-US"/>
        </w:rPr>
        <w:t>objective of this study is the following:</w:t>
      </w:r>
    </w:p>
    <w:p w14:paraId="1BBD76B6" w14:textId="77777777" w:rsidR="00021412" w:rsidRDefault="00021412" w:rsidP="00021412">
      <w:pPr>
        <w:pStyle w:val="0Maintext"/>
        <w:ind w:firstLine="0"/>
        <w:rPr>
          <w:rFonts w:asciiTheme="majorBidi" w:eastAsia="Times New Roman" w:hAnsiTheme="majorBidi" w:cstheme="majorBidi"/>
          <w:sz w:val="24"/>
          <w:szCs w:val="24"/>
          <w:lang w:val="en-GB" w:eastAsia="en-US"/>
        </w:rPr>
      </w:pPr>
    </w:p>
    <w:p w14:paraId="5F51A181" w14:textId="2D6AE233" w:rsidR="000E2352" w:rsidRPr="00021412" w:rsidRDefault="000E2352" w:rsidP="00021412">
      <w:pPr>
        <w:pStyle w:val="berschrift1"/>
        <w:numPr>
          <w:ilvl w:val="0"/>
          <w:numId w:val="2"/>
        </w:numPr>
        <w:rPr>
          <w:rFonts w:asciiTheme="majorBidi" w:hAnsiTheme="majorBidi" w:cstheme="majorBidi"/>
        </w:rPr>
      </w:pPr>
      <w:r w:rsidRPr="000E2352">
        <w:rPr>
          <w:rFonts w:asciiTheme="majorBidi" w:hAnsiTheme="majorBidi" w:cstheme="majorBidi"/>
        </w:rPr>
        <w:t xml:space="preserve">Evaluation </w:t>
      </w:r>
      <w:r w:rsidR="00CA5770">
        <w:rPr>
          <w:rFonts w:asciiTheme="majorBidi" w:hAnsiTheme="majorBidi" w:cstheme="majorBidi"/>
        </w:rPr>
        <w:t>Results</w:t>
      </w:r>
    </w:p>
    <w:p w14:paraId="339D9E2A" w14:textId="57DA9498" w:rsidR="006C5BBC" w:rsidRDefault="000E2352"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 xml:space="preserve">As of rel-19, an NTN UE is assumed to have a valid GNSS position and valid satellite’s ephemeris data to autonomously pre-compensate its time and frequency offsets in an open-loop correction mechanism, which is important for an NTN operation during initial access in RRC_IDLE mode as well as in RRC_CONNECTED mode. In case of GNSS resilient operation, wherein a GNSS signal is temporarily unavailable or performance degraded, many </w:t>
      </w:r>
      <w:r w:rsidR="00F76243">
        <w:rPr>
          <w:rFonts w:asciiTheme="majorBidi" w:eastAsia="Times New Roman" w:hAnsiTheme="majorBidi" w:cstheme="majorBidi"/>
          <w:sz w:val="24"/>
          <w:szCs w:val="24"/>
          <w:lang w:val="en-GB" w:eastAsia="en-US"/>
        </w:rPr>
        <w:t>solutions</w:t>
      </w:r>
      <w:r>
        <w:rPr>
          <w:rFonts w:asciiTheme="majorBidi" w:eastAsia="Times New Roman" w:hAnsiTheme="majorBidi" w:cstheme="majorBidi"/>
          <w:sz w:val="24"/>
          <w:szCs w:val="24"/>
          <w:lang w:val="en-GB" w:eastAsia="en-US"/>
        </w:rPr>
        <w:t xml:space="preserve"> have been considered in the last</w:t>
      </w:r>
      <w:r w:rsidR="00D04CF5">
        <w:rPr>
          <w:rFonts w:asciiTheme="majorBidi" w:eastAsia="Times New Roman" w:hAnsiTheme="majorBidi" w:cstheme="majorBidi"/>
          <w:sz w:val="24"/>
          <w:szCs w:val="24"/>
          <w:lang w:val="en-GB" w:eastAsia="en-US"/>
        </w:rPr>
        <w:t xml:space="preserve"> </w:t>
      </w:r>
      <w:r>
        <w:rPr>
          <w:rFonts w:asciiTheme="majorBidi" w:eastAsia="Times New Roman" w:hAnsiTheme="majorBidi" w:cstheme="majorBidi"/>
          <w:sz w:val="24"/>
          <w:szCs w:val="24"/>
          <w:lang w:val="en-GB" w:eastAsia="en-US"/>
        </w:rPr>
        <w:lastRenderedPageBreak/>
        <w:t>RAN1 meeting RAN1#122bis</w:t>
      </w:r>
      <w:r w:rsidR="00F76243">
        <w:rPr>
          <w:rFonts w:asciiTheme="majorBidi" w:eastAsia="Times New Roman" w:hAnsiTheme="majorBidi" w:cstheme="majorBidi"/>
          <w:sz w:val="24"/>
          <w:szCs w:val="24"/>
          <w:lang w:val="en-GB" w:eastAsia="en-US"/>
        </w:rPr>
        <w:t xml:space="preserve"> </w:t>
      </w:r>
      <w:r w:rsidR="00F76243" w:rsidRPr="00726AD4">
        <w:rPr>
          <w:rFonts w:asciiTheme="majorBidi" w:eastAsia="Times New Roman" w:hAnsiTheme="majorBidi" w:cstheme="majorBidi"/>
          <w:sz w:val="24"/>
          <w:szCs w:val="24"/>
          <w:lang w:val="en-GB" w:eastAsia="en-US"/>
        </w:rPr>
        <w:t>fo</w:t>
      </w:r>
      <w:r w:rsidR="00F76243">
        <w:rPr>
          <w:rFonts w:asciiTheme="majorBidi" w:eastAsia="Times New Roman" w:hAnsiTheme="majorBidi" w:cstheme="majorBidi"/>
          <w:sz w:val="24"/>
          <w:szCs w:val="24"/>
          <w:lang w:val="en-GB" w:eastAsia="en-US"/>
        </w:rPr>
        <w:t>r</w:t>
      </w:r>
      <w:r w:rsidR="00F76243" w:rsidRPr="00726AD4">
        <w:rPr>
          <w:rFonts w:asciiTheme="majorBidi" w:eastAsia="Times New Roman" w:hAnsiTheme="majorBidi" w:cstheme="majorBidi"/>
          <w:sz w:val="24"/>
          <w:szCs w:val="24"/>
          <w:lang w:val="en-GB" w:eastAsia="en-US"/>
        </w:rPr>
        <w:t xml:space="preserve"> initial access to increase PRACH tolerance and reducing </w:t>
      </w:r>
      <w:r w:rsidR="00D04CF5" w:rsidRPr="00F76243">
        <w:rPr>
          <w:rFonts w:asciiTheme="majorBidi" w:eastAsia="Times New Roman" w:hAnsiTheme="majorBidi" w:cstheme="majorBidi"/>
          <w:noProof/>
          <w:sz w:val="24"/>
          <w:szCs w:val="24"/>
          <w:lang w:val="en-GB" w:eastAsia="en-US"/>
        </w:rPr>
        <mc:AlternateContent>
          <mc:Choice Requires="wps">
            <w:drawing>
              <wp:anchor distT="45720" distB="45720" distL="114300" distR="114300" simplePos="0" relativeHeight="251663360" behindDoc="0" locked="0" layoutInCell="1" allowOverlap="1" wp14:anchorId="69F47250" wp14:editId="2B4E662C">
                <wp:simplePos x="0" y="0"/>
                <wp:positionH relativeFrom="margin">
                  <wp:posOffset>93345</wp:posOffset>
                </wp:positionH>
                <wp:positionV relativeFrom="paragraph">
                  <wp:posOffset>530225</wp:posOffset>
                </wp:positionV>
                <wp:extent cx="6140450" cy="5557520"/>
                <wp:effectExtent l="0" t="0" r="12700" b="24130"/>
                <wp:wrapSquare wrapText="bothSides"/>
                <wp:docPr id="31162419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5557520"/>
                        </a:xfrm>
                        <a:prstGeom prst="rect">
                          <a:avLst/>
                        </a:prstGeom>
                        <a:solidFill>
                          <a:srgbClr val="FFFFFF"/>
                        </a:solidFill>
                        <a:ln w="9525">
                          <a:solidFill>
                            <a:srgbClr val="000000"/>
                          </a:solidFill>
                          <a:miter lim="800000"/>
                          <a:headEnd/>
                          <a:tailEnd/>
                        </a:ln>
                      </wps:spPr>
                      <wps:txbx>
                        <w:txbxContent>
                          <w:p w14:paraId="63A7A8B8" w14:textId="77777777" w:rsidR="00F76243" w:rsidRPr="00D04CF5" w:rsidRDefault="00F76243" w:rsidP="00F76243">
                            <w:pPr>
                              <w:pStyle w:val="Doc-text2"/>
                              <w:ind w:left="0" w:firstLine="0"/>
                              <w:rPr>
                                <w:rFonts w:ascii="Times New Roman" w:hAnsi="Times New Roman"/>
                                <w:b/>
                                <w:szCs w:val="20"/>
                                <w:lang w:val="en-US"/>
                              </w:rPr>
                            </w:pPr>
                            <w:r w:rsidRPr="00D04CF5">
                              <w:rPr>
                                <w:rFonts w:ascii="Times New Roman" w:hAnsi="Times New Roman"/>
                                <w:b/>
                                <w:szCs w:val="20"/>
                                <w:lang w:val="en-US"/>
                              </w:rPr>
                              <w:t>Observation:</w:t>
                            </w:r>
                          </w:p>
                          <w:p w14:paraId="32007D27" w14:textId="77777777" w:rsidR="00F76243" w:rsidRPr="00D04CF5" w:rsidRDefault="00F76243" w:rsidP="00F76243">
                            <w:pPr>
                              <w:rPr>
                                <w:bCs/>
                                <w:color w:val="000000"/>
                                <w:sz w:val="20"/>
                                <w:szCs w:val="20"/>
                                <w:lang w:val="en-US"/>
                              </w:rPr>
                            </w:pPr>
                            <w:r w:rsidRPr="00D04CF5">
                              <w:rPr>
                                <w:bCs/>
                                <w:color w:val="000000"/>
                                <w:sz w:val="20"/>
                                <w:szCs w:val="20"/>
                                <w:lang w:val="en-US"/>
                              </w:rPr>
                              <w:t>For the study on GNSS resilient NR-NTN operation, the following solutions for initial access to increase PRACH tolerance and reducing time/frequency uncertainty are listed based on inputs/discussions in RAN1#122bis:</w:t>
                            </w:r>
                          </w:p>
                          <w:p w14:paraId="57CE00A2" w14:textId="6FF60A68" w:rsidR="00F76243" w:rsidRPr="00D04CF5" w:rsidRDefault="00F76243" w:rsidP="00F76243">
                            <w:pPr>
                              <w:pStyle w:val="Listenabsatz"/>
                              <w:numPr>
                                <w:ilvl w:val="0"/>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1: To improve robustness:</w:t>
                            </w:r>
                          </w:p>
                          <w:p w14:paraId="14FB1AED" w14:textId="77777777" w:rsidR="00F76243" w:rsidRPr="00D04CF5" w:rsidRDefault="00F76243" w:rsidP="00F76243">
                            <w:pPr>
                              <w:pStyle w:val="Listenabsatz"/>
                              <w:numPr>
                                <w:ilvl w:val="1"/>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Solutions based on modified random access procedures, using existing PRACH formats:</w:t>
                            </w:r>
                          </w:p>
                          <w:p w14:paraId="0044A1EF" w14:textId="77777777" w:rsidR="00F76243" w:rsidRPr="00D04CF5" w:rsidRDefault="00F76243" w:rsidP="00F76243">
                            <w:pPr>
                              <w:pStyle w:val="Listenabsatz"/>
                              <w:numPr>
                                <w:ilvl w:val="2"/>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 xml:space="preserve">Solution 1A: Multiple PRACH transmissions </w:t>
                            </w:r>
                            <w:r w:rsidRPr="00D04CF5">
                              <w:rPr>
                                <w:bCs/>
                                <w:strike/>
                                <w:color w:val="000000"/>
                                <w:lang w:val="en-US"/>
                              </w:rPr>
                              <w:t>(</w:t>
                            </w:r>
                            <w:r w:rsidRPr="00D04CF5">
                              <w:rPr>
                                <w:bCs/>
                                <w:color w:val="000000"/>
                                <w:lang w:val="en-US"/>
                              </w:rPr>
                              <w:t>e.g. with different roots or different formats or with different time/frequency pre-compensation using multiple reference locations within the uncertainty area) using existing PRACH formats</w:t>
                            </w:r>
                          </w:p>
                          <w:p w14:paraId="64050B43" w14:textId="77777777" w:rsidR="00F76243" w:rsidRPr="00D04CF5" w:rsidRDefault="00F76243" w:rsidP="00F76243">
                            <w:pPr>
                              <w:pStyle w:val="Listenabsatz"/>
                              <w:numPr>
                                <w:ilvl w:val="2"/>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1B: New PRACH restricted sets.</w:t>
                            </w:r>
                          </w:p>
                          <w:p w14:paraId="308E0772" w14:textId="77777777" w:rsidR="00F76243" w:rsidRPr="00D04CF5" w:rsidRDefault="00F76243" w:rsidP="00F76243">
                            <w:pPr>
                              <w:pStyle w:val="Listenabsatz"/>
                              <w:numPr>
                                <w:ilvl w:val="2"/>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1C: Single PRACH transmission with multiple TAC/FAC commands in RAR</w:t>
                            </w:r>
                          </w:p>
                          <w:p w14:paraId="53C07D2D" w14:textId="77777777" w:rsidR="00F76243" w:rsidRPr="00D04CF5" w:rsidRDefault="00F76243" w:rsidP="00F76243">
                            <w:pPr>
                              <w:pStyle w:val="Listenabsatz"/>
                              <w:numPr>
                                <w:ilvl w:val="2"/>
                                <w:numId w:val="19"/>
                              </w:numPr>
                              <w:suppressAutoHyphens/>
                              <w:overflowPunct/>
                              <w:autoSpaceDE/>
                              <w:autoSpaceDN/>
                              <w:adjustRightInd/>
                              <w:spacing w:before="120" w:after="120"/>
                              <w:contextualSpacing w:val="0"/>
                              <w:textAlignment w:val="auto"/>
                              <w:rPr>
                                <w:bCs/>
                                <w:color w:val="000000"/>
                                <w:highlight w:val="yellow"/>
                                <w:lang w:val="en-US"/>
                              </w:rPr>
                            </w:pPr>
                            <w:r w:rsidRPr="00D04CF5">
                              <w:rPr>
                                <w:bCs/>
                                <w:color w:val="000000"/>
                                <w:highlight w:val="yellow"/>
                                <w:lang w:val="en-US"/>
                              </w:rPr>
                              <w:t xml:space="preserve">Solution </w:t>
                            </w:r>
                            <w:r w:rsidRPr="00D04CF5">
                              <w:rPr>
                                <w:rFonts w:eastAsia="MS Mincho"/>
                                <w:bCs/>
                                <w:color w:val="000000"/>
                                <w:highlight w:val="yellow"/>
                                <w:lang w:eastAsia="ja-JP"/>
                              </w:rPr>
                              <w:t>1D: Signalling enhancements for Msg2 (e.g. enhanced TA command, frequency adjustment command, reference point adjustment command)</w:t>
                            </w:r>
                          </w:p>
                          <w:p w14:paraId="1A8EFC3E" w14:textId="77777777" w:rsidR="00F76243" w:rsidRPr="00D04CF5" w:rsidRDefault="00F76243" w:rsidP="00F76243">
                            <w:pPr>
                              <w:pStyle w:val="Listenabsatz"/>
                              <w:numPr>
                                <w:ilvl w:val="2"/>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1E: Selection of a set of existing PRACH root</w:t>
                            </w:r>
                          </w:p>
                          <w:p w14:paraId="7A6FA8A4" w14:textId="77777777" w:rsidR="00F76243" w:rsidRPr="00D04CF5" w:rsidRDefault="00F76243" w:rsidP="00F76243">
                            <w:pPr>
                              <w:pStyle w:val="Listenabsatz"/>
                              <w:numPr>
                                <w:ilvl w:val="2"/>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1F: Using TA margin and RO masking.</w:t>
                            </w:r>
                          </w:p>
                          <w:p w14:paraId="28A59EC8" w14:textId="77777777" w:rsidR="00F76243" w:rsidRPr="00D04CF5" w:rsidRDefault="00F76243" w:rsidP="00F76243">
                            <w:pPr>
                              <w:pStyle w:val="Listenabsatz"/>
                              <w:numPr>
                                <w:ilvl w:val="2"/>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Other solutions are not precluded</w:t>
                            </w:r>
                          </w:p>
                          <w:p w14:paraId="74C9143A" w14:textId="4CFA2301" w:rsidR="00F76243" w:rsidRPr="00D04CF5" w:rsidRDefault="00F76243" w:rsidP="00F76243">
                            <w:pPr>
                              <w:pStyle w:val="Listenabsatz"/>
                              <w:numPr>
                                <w:ilvl w:val="0"/>
                                <w:numId w:val="19"/>
                              </w:numPr>
                              <w:suppressAutoHyphens/>
                              <w:overflowPunct/>
                              <w:autoSpaceDE/>
                              <w:autoSpaceDN/>
                              <w:adjustRightInd/>
                              <w:spacing w:before="120" w:after="120"/>
                              <w:contextualSpacing w:val="0"/>
                              <w:textAlignment w:val="auto"/>
                              <w:rPr>
                                <w:bCs/>
                                <w:strike/>
                                <w:color w:val="000000"/>
                                <w:lang w:val="en-US"/>
                              </w:rPr>
                            </w:pPr>
                            <w:r w:rsidRPr="00D04CF5">
                              <w:rPr>
                                <w:bCs/>
                                <w:color w:val="000000"/>
                                <w:lang w:val="en-US"/>
                              </w:rPr>
                              <w:t>Solution 2: Solutions based on reducing time-frequency uncertainty</w:t>
                            </w:r>
                          </w:p>
                          <w:p w14:paraId="6119F067" w14:textId="77777777" w:rsidR="00F76243" w:rsidRPr="00D04CF5" w:rsidRDefault="00F76243" w:rsidP="00F76243">
                            <w:pPr>
                              <w:pStyle w:val="Listenabsatz"/>
                              <w:numPr>
                                <w:ilvl w:val="1"/>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2A: Single/multi-satellite DL-TDOA based on current specifications.</w:t>
                            </w:r>
                          </w:p>
                          <w:p w14:paraId="3B2878A8" w14:textId="77777777" w:rsidR="00F76243" w:rsidRPr="00D04CF5" w:rsidRDefault="00F76243" w:rsidP="00F76243">
                            <w:pPr>
                              <w:pStyle w:val="Listenabsatz"/>
                              <w:numPr>
                                <w:ilvl w:val="1"/>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2B: multiple PRACH attempts based on different time/frequency pre-compensation hypotheses (e.g. based on multiple reference points within the uncertainty area)</w:t>
                            </w:r>
                          </w:p>
                          <w:p w14:paraId="1AA9ABB0" w14:textId="77777777" w:rsidR="00F76243" w:rsidRPr="00D04CF5" w:rsidRDefault="00F76243" w:rsidP="00F76243">
                            <w:pPr>
                              <w:numPr>
                                <w:ilvl w:val="1"/>
                                <w:numId w:val="19"/>
                              </w:numPr>
                              <w:suppressAutoHyphens/>
                              <w:spacing w:before="120" w:after="120"/>
                              <w:rPr>
                                <w:bCs/>
                                <w:color w:val="000000"/>
                                <w:sz w:val="20"/>
                                <w:szCs w:val="20"/>
                                <w:lang w:val="en-US"/>
                              </w:rPr>
                            </w:pPr>
                            <w:r w:rsidRPr="00D04CF5">
                              <w:rPr>
                                <w:bCs/>
                                <w:color w:val="000000"/>
                                <w:sz w:val="20"/>
                                <w:szCs w:val="20"/>
                                <w:lang w:val="en-US"/>
                              </w:rPr>
                              <w:t>Solution 2C: Solutions based on broadcasting DL timestamp(s)</w:t>
                            </w:r>
                          </w:p>
                          <w:p w14:paraId="7A2C2C91" w14:textId="77777777" w:rsidR="00F76243" w:rsidRPr="00D04CF5" w:rsidRDefault="00F76243" w:rsidP="00F76243">
                            <w:pPr>
                              <w:numPr>
                                <w:ilvl w:val="1"/>
                                <w:numId w:val="19"/>
                              </w:numPr>
                              <w:suppressAutoHyphens/>
                              <w:spacing w:before="120" w:after="120"/>
                              <w:rPr>
                                <w:bCs/>
                                <w:color w:val="000000"/>
                                <w:sz w:val="20"/>
                                <w:szCs w:val="20"/>
                                <w:highlight w:val="yellow"/>
                                <w:lang w:val="en-US"/>
                              </w:rPr>
                            </w:pPr>
                            <w:r w:rsidRPr="00D04CF5">
                              <w:rPr>
                                <w:bCs/>
                                <w:color w:val="000000"/>
                                <w:sz w:val="20"/>
                                <w:szCs w:val="20"/>
                                <w:highlight w:val="yellow"/>
                                <w:lang w:val="en-US"/>
                              </w:rPr>
                              <w:t xml:space="preserve">Solution </w:t>
                            </w:r>
                            <w:r w:rsidRPr="00D04CF5">
                              <w:rPr>
                                <w:bCs/>
                                <w:color w:val="000000"/>
                                <w:sz w:val="20"/>
                                <w:szCs w:val="20"/>
                                <w:highlight w:val="yellow"/>
                                <w:lang w:val="en-US" w:eastAsia="zh-CN"/>
                              </w:rPr>
                              <w:t xml:space="preserve">2D: UE side </w:t>
                            </w:r>
                            <w:r w:rsidRPr="00D04CF5">
                              <w:rPr>
                                <w:bCs/>
                                <w:color w:val="000000"/>
                                <w:sz w:val="20"/>
                                <w:szCs w:val="20"/>
                                <w:highlight w:val="yellow"/>
                                <w:lang w:val="en-US"/>
                              </w:rPr>
                              <w:t>time/frequency pre-compensation</w:t>
                            </w:r>
                            <w:r w:rsidRPr="00D04CF5">
                              <w:rPr>
                                <w:bCs/>
                                <w:color w:val="000000"/>
                                <w:sz w:val="20"/>
                                <w:szCs w:val="20"/>
                                <w:highlight w:val="yellow"/>
                                <w:lang w:val="en-US" w:eastAsia="zh-CN"/>
                              </w:rPr>
                              <w:t xml:space="preserve"> based on reference location.</w:t>
                            </w:r>
                          </w:p>
                          <w:p w14:paraId="0BB6A845" w14:textId="77777777" w:rsidR="00F76243" w:rsidRPr="00D04CF5" w:rsidRDefault="00F76243" w:rsidP="00F76243">
                            <w:pPr>
                              <w:pStyle w:val="Listenabsatz"/>
                              <w:numPr>
                                <w:ilvl w:val="1"/>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2E: service link time/frequency pre-compensation based on last acquired GNSS position</w:t>
                            </w:r>
                          </w:p>
                          <w:p w14:paraId="796220A0" w14:textId="77777777" w:rsidR="00F76243" w:rsidRPr="00D04CF5" w:rsidRDefault="00F76243" w:rsidP="00F76243">
                            <w:pPr>
                              <w:pStyle w:val="Listenabsatz"/>
                              <w:numPr>
                                <w:ilvl w:val="1"/>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2F:</w:t>
                            </w:r>
                            <w:r w:rsidRPr="00D04CF5">
                              <w:rPr>
                                <w:rFonts w:eastAsia="Times New Roman"/>
                                <w:bCs/>
                                <w:color w:val="000000"/>
                                <w:lang w:val="en-US" w:eastAsia="zh-CN"/>
                              </w:rPr>
                              <w:t xml:space="preserve"> UE side </w:t>
                            </w:r>
                            <w:r w:rsidRPr="00D04CF5">
                              <w:rPr>
                                <w:bCs/>
                                <w:color w:val="000000"/>
                                <w:lang w:val="en-US"/>
                              </w:rPr>
                              <w:t>time/frequency pre-compensation</w:t>
                            </w:r>
                            <w:r w:rsidRPr="00D04CF5">
                              <w:rPr>
                                <w:rFonts w:eastAsia="Times New Roman"/>
                                <w:bCs/>
                                <w:color w:val="000000"/>
                                <w:lang w:val="en-US" w:eastAsia="zh-CN"/>
                              </w:rPr>
                              <w:t xml:space="preserve"> based on reference signal.</w:t>
                            </w:r>
                          </w:p>
                          <w:p w14:paraId="448A97DB" w14:textId="77777777" w:rsidR="00F76243" w:rsidRPr="00D04CF5" w:rsidRDefault="00F76243" w:rsidP="00F76243">
                            <w:pPr>
                              <w:pStyle w:val="Listenabsatz"/>
                              <w:numPr>
                                <w:ilvl w:val="1"/>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Other solutions are not precluded</w:t>
                            </w:r>
                          </w:p>
                          <w:p w14:paraId="13F07E9C" w14:textId="77777777" w:rsidR="00F76243" w:rsidRPr="00D04CF5" w:rsidRDefault="00F76243" w:rsidP="00F76243">
                            <w:pPr>
                              <w:pStyle w:val="Listenabsatz"/>
                              <w:numPr>
                                <w:ilvl w:val="0"/>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3: Implementation-based techniques e.g. using a long enough PRACH processing window and multiple timing hypotheses for PRACH preamble reception with large max differential delay.</w:t>
                            </w:r>
                          </w:p>
                          <w:p w14:paraId="549ECE8B" w14:textId="42008F32" w:rsidR="00F76243" w:rsidRPr="00D04CF5" w:rsidRDefault="00F76243" w:rsidP="00F76243">
                            <w:pPr>
                              <w:pStyle w:val="Listenabsatz"/>
                              <w:numPr>
                                <w:ilvl w:val="0"/>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Other Solutions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F47250" id="_x0000_s1027" type="#_x0000_t202" style="position:absolute;left:0;text-align:left;margin-left:7.35pt;margin-top:41.75pt;width:483.5pt;height:437.6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">
                <v:textbox>
                  <w:txbxContent>
                    <w:p w14:paraId="63A7A8B8" w14:textId="77777777" w:rsidR="00F76243" w:rsidRPr="00D04CF5" w:rsidRDefault="00F76243" w:rsidP="00F76243">
                      <w:pPr>
                        <w:pStyle w:val="Doc-text2"/>
                        <w:ind w:left="0" w:firstLine="0"/>
                        <w:rPr>
                          <w:rFonts w:ascii="Times New Roman" w:hAnsi="Times New Roman"/>
                          <w:b/>
                          <w:szCs w:val="20"/>
                          <w:lang w:val="en-US"/>
                        </w:rPr>
                      </w:pPr>
                      <w:r w:rsidRPr="00D04CF5">
                        <w:rPr>
                          <w:rFonts w:ascii="Times New Roman" w:hAnsi="Times New Roman"/>
                          <w:b/>
                          <w:szCs w:val="20"/>
                          <w:lang w:val="en-US"/>
                        </w:rPr>
                        <w:t>Observation:</w:t>
                      </w:r>
                    </w:p>
                    <w:p w14:paraId="32007D27" w14:textId="77777777" w:rsidR="00F76243" w:rsidRPr="00D04CF5" w:rsidRDefault="00F76243" w:rsidP="00F76243">
                      <w:pPr>
                        <w:rPr>
                          <w:bCs/>
                          <w:color w:val="000000"/>
                          <w:sz w:val="20"/>
                          <w:szCs w:val="20"/>
                          <w:lang w:val="en-US"/>
                        </w:rPr>
                      </w:pPr>
                      <w:r w:rsidRPr="00D04CF5">
                        <w:rPr>
                          <w:bCs/>
                          <w:color w:val="000000"/>
                          <w:sz w:val="20"/>
                          <w:szCs w:val="20"/>
                          <w:lang w:val="en-US"/>
                        </w:rPr>
                        <w:t>For the study on GNSS resilient NR-NTN operation, the following solutions for initial access to increase PRACH tolerance and reducing time/frequency uncertainty are listed based on inputs/discussions in RAN1#122bis:</w:t>
                      </w:r>
                    </w:p>
                    <w:p w14:paraId="57CE00A2" w14:textId="6FF60A68" w:rsidR="00F76243" w:rsidRPr="00D04CF5" w:rsidRDefault="00F76243" w:rsidP="00F76243">
                      <w:pPr>
                        <w:pStyle w:val="Listenabsatz"/>
                        <w:numPr>
                          <w:ilvl w:val="0"/>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1: To improve robustness:</w:t>
                      </w:r>
                    </w:p>
                    <w:p w14:paraId="14FB1AED" w14:textId="77777777" w:rsidR="00F76243" w:rsidRPr="00D04CF5" w:rsidRDefault="00F76243" w:rsidP="00F76243">
                      <w:pPr>
                        <w:pStyle w:val="Listenabsatz"/>
                        <w:numPr>
                          <w:ilvl w:val="1"/>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Solutions based on modified random access procedures, using existing PRACH formats:</w:t>
                      </w:r>
                    </w:p>
                    <w:p w14:paraId="0044A1EF" w14:textId="77777777" w:rsidR="00F76243" w:rsidRPr="00D04CF5" w:rsidRDefault="00F76243" w:rsidP="00F76243">
                      <w:pPr>
                        <w:pStyle w:val="Listenabsatz"/>
                        <w:numPr>
                          <w:ilvl w:val="2"/>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 xml:space="preserve">Solution 1A: Multiple PRACH transmissions </w:t>
                      </w:r>
                      <w:r w:rsidRPr="00D04CF5">
                        <w:rPr>
                          <w:bCs/>
                          <w:strike/>
                          <w:color w:val="000000"/>
                          <w:lang w:val="en-US"/>
                        </w:rPr>
                        <w:t>(</w:t>
                      </w:r>
                      <w:r w:rsidRPr="00D04CF5">
                        <w:rPr>
                          <w:bCs/>
                          <w:color w:val="000000"/>
                          <w:lang w:val="en-US"/>
                        </w:rPr>
                        <w:t>e.g. with different roots or different formats or with different time/frequency pre-compensation using multiple reference locations within the uncertainty area) using existing PRACH formats</w:t>
                      </w:r>
                    </w:p>
                    <w:p w14:paraId="64050B43" w14:textId="77777777" w:rsidR="00F76243" w:rsidRPr="00D04CF5" w:rsidRDefault="00F76243" w:rsidP="00F76243">
                      <w:pPr>
                        <w:pStyle w:val="Listenabsatz"/>
                        <w:numPr>
                          <w:ilvl w:val="2"/>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1B: New PRACH restricted sets.</w:t>
                      </w:r>
                    </w:p>
                    <w:p w14:paraId="308E0772" w14:textId="77777777" w:rsidR="00F76243" w:rsidRPr="00D04CF5" w:rsidRDefault="00F76243" w:rsidP="00F76243">
                      <w:pPr>
                        <w:pStyle w:val="Listenabsatz"/>
                        <w:numPr>
                          <w:ilvl w:val="2"/>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1C: Single PRACH transmission with multiple TAC/FAC commands in RAR</w:t>
                      </w:r>
                    </w:p>
                    <w:p w14:paraId="53C07D2D" w14:textId="77777777" w:rsidR="00F76243" w:rsidRPr="00D04CF5" w:rsidRDefault="00F76243" w:rsidP="00F76243">
                      <w:pPr>
                        <w:pStyle w:val="Listenabsatz"/>
                        <w:numPr>
                          <w:ilvl w:val="2"/>
                          <w:numId w:val="19"/>
                        </w:numPr>
                        <w:suppressAutoHyphens/>
                        <w:overflowPunct/>
                        <w:autoSpaceDE/>
                        <w:autoSpaceDN/>
                        <w:adjustRightInd/>
                        <w:spacing w:before="120" w:after="120"/>
                        <w:contextualSpacing w:val="0"/>
                        <w:textAlignment w:val="auto"/>
                        <w:rPr>
                          <w:bCs/>
                          <w:color w:val="000000"/>
                          <w:highlight w:val="yellow"/>
                          <w:lang w:val="en-US"/>
                        </w:rPr>
                      </w:pPr>
                      <w:r w:rsidRPr="00D04CF5">
                        <w:rPr>
                          <w:bCs/>
                          <w:color w:val="000000"/>
                          <w:highlight w:val="yellow"/>
                          <w:lang w:val="en-US"/>
                        </w:rPr>
                        <w:t xml:space="preserve">Solution </w:t>
                      </w:r>
                      <w:r w:rsidRPr="00D04CF5">
                        <w:rPr>
                          <w:rFonts w:eastAsia="MS Mincho"/>
                          <w:bCs/>
                          <w:color w:val="000000"/>
                          <w:highlight w:val="yellow"/>
                          <w:lang w:eastAsia="ja-JP"/>
                        </w:rPr>
                        <w:t>1D: Signalling enhancements for Msg2 (e.g. enhanced TA command, frequency adjustment command, reference point adjustment command)</w:t>
                      </w:r>
                    </w:p>
                    <w:p w14:paraId="1A8EFC3E" w14:textId="77777777" w:rsidR="00F76243" w:rsidRPr="00D04CF5" w:rsidRDefault="00F76243" w:rsidP="00F76243">
                      <w:pPr>
                        <w:pStyle w:val="Listenabsatz"/>
                        <w:numPr>
                          <w:ilvl w:val="2"/>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1E: Selection of a set of existing PRACH root</w:t>
                      </w:r>
                    </w:p>
                    <w:p w14:paraId="7A6FA8A4" w14:textId="77777777" w:rsidR="00F76243" w:rsidRPr="00D04CF5" w:rsidRDefault="00F76243" w:rsidP="00F76243">
                      <w:pPr>
                        <w:pStyle w:val="Listenabsatz"/>
                        <w:numPr>
                          <w:ilvl w:val="2"/>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1F: Using TA margin and RO masking.</w:t>
                      </w:r>
                    </w:p>
                    <w:p w14:paraId="28A59EC8" w14:textId="77777777" w:rsidR="00F76243" w:rsidRPr="00D04CF5" w:rsidRDefault="00F76243" w:rsidP="00F76243">
                      <w:pPr>
                        <w:pStyle w:val="Listenabsatz"/>
                        <w:numPr>
                          <w:ilvl w:val="2"/>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Other solutions are not precluded</w:t>
                      </w:r>
                    </w:p>
                    <w:p w14:paraId="74C9143A" w14:textId="4CFA2301" w:rsidR="00F76243" w:rsidRPr="00D04CF5" w:rsidRDefault="00F76243" w:rsidP="00F76243">
                      <w:pPr>
                        <w:pStyle w:val="Listenabsatz"/>
                        <w:numPr>
                          <w:ilvl w:val="0"/>
                          <w:numId w:val="19"/>
                        </w:numPr>
                        <w:suppressAutoHyphens/>
                        <w:overflowPunct/>
                        <w:autoSpaceDE/>
                        <w:autoSpaceDN/>
                        <w:adjustRightInd/>
                        <w:spacing w:before="120" w:after="120"/>
                        <w:contextualSpacing w:val="0"/>
                        <w:textAlignment w:val="auto"/>
                        <w:rPr>
                          <w:bCs/>
                          <w:strike/>
                          <w:color w:val="000000"/>
                          <w:lang w:val="en-US"/>
                        </w:rPr>
                      </w:pPr>
                      <w:r w:rsidRPr="00D04CF5">
                        <w:rPr>
                          <w:bCs/>
                          <w:color w:val="000000"/>
                          <w:lang w:val="en-US"/>
                        </w:rPr>
                        <w:t>Solution 2: Solutions based on reducing time-frequency uncertainty</w:t>
                      </w:r>
                    </w:p>
                    <w:p w14:paraId="6119F067" w14:textId="77777777" w:rsidR="00F76243" w:rsidRPr="00D04CF5" w:rsidRDefault="00F76243" w:rsidP="00F76243">
                      <w:pPr>
                        <w:pStyle w:val="Listenabsatz"/>
                        <w:numPr>
                          <w:ilvl w:val="1"/>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2A: Single/multi-satellite DL-TDOA based on current specifications.</w:t>
                      </w:r>
                    </w:p>
                    <w:p w14:paraId="3B2878A8" w14:textId="77777777" w:rsidR="00F76243" w:rsidRPr="00D04CF5" w:rsidRDefault="00F76243" w:rsidP="00F76243">
                      <w:pPr>
                        <w:pStyle w:val="Listenabsatz"/>
                        <w:numPr>
                          <w:ilvl w:val="1"/>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2B: multiple PRACH attempts based on different time/frequency pre-compensation hypotheses (e.g. based on multiple reference points within the uncertainty area)</w:t>
                      </w:r>
                    </w:p>
                    <w:p w14:paraId="1AA9ABB0" w14:textId="77777777" w:rsidR="00F76243" w:rsidRPr="00D04CF5" w:rsidRDefault="00F76243" w:rsidP="00F76243">
                      <w:pPr>
                        <w:numPr>
                          <w:ilvl w:val="1"/>
                          <w:numId w:val="19"/>
                        </w:numPr>
                        <w:suppressAutoHyphens/>
                        <w:spacing w:before="120" w:after="120"/>
                        <w:rPr>
                          <w:bCs/>
                          <w:color w:val="000000"/>
                          <w:sz w:val="20"/>
                          <w:szCs w:val="20"/>
                          <w:lang w:val="en-US"/>
                        </w:rPr>
                      </w:pPr>
                      <w:r w:rsidRPr="00D04CF5">
                        <w:rPr>
                          <w:bCs/>
                          <w:color w:val="000000"/>
                          <w:sz w:val="20"/>
                          <w:szCs w:val="20"/>
                          <w:lang w:val="en-US"/>
                        </w:rPr>
                        <w:t>Solution 2C: Solutions based on broadcasting DL timestamp(s)</w:t>
                      </w:r>
                    </w:p>
                    <w:p w14:paraId="7A2C2C91" w14:textId="77777777" w:rsidR="00F76243" w:rsidRPr="00D04CF5" w:rsidRDefault="00F76243" w:rsidP="00F76243">
                      <w:pPr>
                        <w:numPr>
                          <w:ilvl w:val="1"/>
                          <w:numId w:val="19"/>
                        </w:numPr>
                        <w:suppressAutoHyphens/>
                        <w:spacing w:before="120" w:after="120"/>
                        <w:rPr>
                          <w:bCs/>
                          <w:color w:val="000000"/>
                          <w:sz w:val="20"/>
                          <w:szCs w:val="20"/>
                          <w:highlight w:val="yellow"/>
                          <w:lang w:val="en-US"/>
                        </w:rPr>
                      </w:pPr>
                      <w:r w:rsidRPr="00D04CF5">
                        <w:rPr>
                          <w:bCs/>
                          <w:color w:val="000000"/>
                          <w:sz w:val="20"/>
                          <w:szCs w:val="20"/>
                          <w:highlight w:val="yellow"/>
                          <w:lang w:val="en-US"/>
                        </w:rPr>
                        <w:t xml:space="preserve">Solution </w:t>
                      </w:r>
                      <w:r w:rsidRPr="00D04CF5">
                        <w:rPr>
                          <w:bCs/>
                          <w:color w:val="000000"/>
                          <w:sz w:val="20"/>
                          <w:szCs w:val="20"/>
                          <w:highlight w:val="yellow"/>
                          <w:lang w:val="en-US" w:eastAsia="zh-CN"/>
                        </w:rPr>
                        <w:t xml:space="preserve">2D: UE side </w:t>
                      </w:r>
                      <w:r w:rsidRPr="00D04CF5">
                        <w:rPr>
                          <w:bCs/>
                          <w:color w:val="000000"/>
                          <w:sz w:val="20"/>
                          <w:szCs w:val="20"/>
                          <w:highlight w:val="yellow"/>
                          <w:lang w:val="en-US"/>
                        </w:rPr>
                        <w:t>time/frequency pre-compensation</w:t>
                      </w:r>
                      <w:r w:rsidRPr="00D04CF5">
                        <w:rPr>
                          <w:bCs/>
                          <w:color w:val="000000"/>
                          <w:sz w:val="20"/>
                          <w:szCs w:val="20"/>
                          <w:highlight w:val="yellow"/>
                          <w:lang w:val="en-US" w:eastAsia="zh-CN"/>
                        </w:rPr>
                        <w:t xml:space="preserve"> based on reference location.</w:t>
                      </w:r>
                    </w:p>
                    <w:p w14:paraId="0BB6A845" w14:textId="77777777" w:rsidR="00F76243" w:rsidRPr="00D04CF5" w:rsidRDefault="00F76243" w:rsidP="00F76243">
                      <w:pPr>
                        <w:pStyle w:val="Listenabsatz"/>
                        <w:numPr>
                          <w:ilvl w:val="1"/>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2E: service link time/frequency pre-compensation based on last acquired GNSS position</w:t>
                      </w:r>
                    </w:p>
                    <w:p w14:paraId="796220A0" w14:textId="77777777" w:rsidR="00F76243" w:rsidRPr="00D04CF5" w:rsidRDefault="00F76243" w:rsidP="00F76243">
                      <w:pPr>
                        <w:pStyle w:val="Listenabsatz"/>
                        <w:numPr>
                          <w:ilvl w:val="1"/>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2F:</w:t>
                      </w:r>
                      <w:r w:rsidRPr="00D04CF5">
                        <w:rPr>
                          <w:rFonts w:eastAsia="Times New Roman"/>
                          <w:bCs/>
                          <w:color w:val="000000"/>
                          <w:lang w:val="en-US" w:eastAsia="zh-CN"/>
                        </w:rPr>
                        <w:t xml:space="preserve"> UE side </w:t>
                      </w:r>
                      <w:r w:rsidRPr="00D04CF5">
                        <w:rPr>
                          <w:bCs/>
                          <w:color w:val="000000"/>
                          <w:lang w:val="en-US"/>
                        </w:rPr>
                        <w:t>time/frequency pre-compensation</w:t>
                      </w:r>
                      <w:r w:rsidRPr="00D04CF5">
                        <w:rPr>
                          <w:rFonts w:eastAsia="Times New Roman"/>
                          <w:bCs/>
                          <w:color w:val="000000"/>
                          <w:lang w:val="en-US" w:eastAsia="zh-CN"/>
                        </w:rPr>
                        <w:t xml:space="preserve"> based on reference signal.</w:t>
                      </w:r>
                    </w:p>
                    <w:p w14:paraId="448A97DB" w14:textId="77777777" w:rsidR="00F76243" w:rsidRPr="00D04CF5" w:rsidRDefault="00F76243" w:rsidP="00F76243">
                      <w:pPr>
                        <w:pStyle w:val="Listenabsatz"/>
                        <w:numPr>
                          <w:ilvl w:val="1"/>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Other solutions are not precluded</w:t>
                      </w:r>
                    </w:p>
                    <w:p w14:paraId="13F07E9C" w14:textId="77777777" w:rsidR="00F76243" w:rsidRPr="00D04CF5" w:rsidRDefault="00F76243" w:rsidP="00F76243">
                      <w:pPr>
                        <w:pStyle w:val="Listenabsatz"/>
                        <w:numPr>
                          <w:ilvl w:val="0"/>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Solution 3: Implementation-based techniques e.g. using a long enough PRACH processing window and multiple timing hypotheses for PRACH preamble reception with large max differential delay.</w:t>
                      </w:r>
                    </w:p>
                    <w:p w14:paraId="549ECE8B" w14:textId="42008F32" w:rsidR="00F76243" w:rsidRPr="00D04CF5" w:rsidRDefault="00F76243" w:rsidP="00F76243">
                      <w:pPr>
                        <w:pStyle w:val="Listenabsatz"/>
                        <w:numPr>
                          <w:ilvl w:val="0"/>
                          <w:numId w:val="19"/>
                        </w:numPr>
                        <w:suppressAutoHyphens/>
                        <w:overflowPunct/>
                        <w:autoSpaceDE/>
                        <w:autoSpaceDN/>
                        <w:adjustRightInd/>
                        <w:spacing w:before="120" w:after="120"/>
                        <w:contextualSpacing w:val="0"/>
                        <w:textAlignment w:val="auto"/>
                        <w:rPr>
                          <w:bCs/>
                          <w:color w:val="000000"/>
                          <w:lang w:val="en-US"/>
                        </w:rPr>
                      </w:pPr>
                      <w:r w:rsidRPr="00D04CF5">
                        <w:rPr>
                          <w:bCs/>
                          <w:color w:val="000000"/>
                          <w:lang w:val="en-US"/>
                        </w:rPr>
                        <w:t>Other Solutions are not precluded</w:t>
                      </w:r>
                    </w:p>
                  </w:txbxContent>
                </v:textbox>
                <w10:wrap type="square" anchorx="margin"/>
              </v:shape>
            </w:pict>
          </mc:Fallback>
        </mc:AlternateContent>
      </w:r>
      <w:r w:rsidR="00F76243" w:rsidRPr="00726AD4">
        <w:rPr>
          <w:rFonts w:asciiTheme="majorBidi" w:eastAsia="Times New Roman" w:hAnsiTheme="majorBidi" w:cstheme="majorBidi"/>
          <w:sz w:val="24"/>
          <w:szCs w:val="24"/>
          <w:lang w:val="en-GB" w:eastAsia="en-US"/>
        </w:rPr>
        <w:t>time/frequency uncertainty</w:t>
      </w:r>
      <w:r w:rsidR="00F76243">
        <w:rPr>
          <w:rFonts w:asciiTheme="majorBidi" w:eastAsia="Times New Roman" w:hAnsiTheme="majorBidi" w:cstheme="majorBidi"/>
          <w:sz w:val="24"/>
          <w:szCs w:val="24"/>
          <w:lang w:val="en-GB" w:eastAsia="en-US"/>
        </w:rPr>
        <w:t>, where the following observation has been made:</w:t>
      </w:r>
    </w:p>
    <w:p w14:paraId="500C9141" w14:textId="77777777" w:rsidR="00D04CF5" w:rsidRDefault="00D04CF5"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0A9B7318" w14:textId="79B28105" w:rsidR="00C04D52" w:rsidRDefault="00C04D52"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In order to evaluate these solutions, and as agreed in the last RAN1#122bis, we evaluated the differential RTT and the differential RTD, that may be observed within the satellite’s uncertainty area as a function of the elevation angle and the azimuth angle with respect to the direction of motion of the satellite.</w:t>
      </w:r>
    </w:p>
    <w:p w14:paraId="2D99EECF" w14:textId="77777777" w:rsidR="00D04CF5" w:rsidRDefault="00D04CF5"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3A56DD8C" w14:textId="77777777" w:rsidR="00D04CF5" w:rsidRDefault="00D04CF5" w:rsidP="00D04CF5">
      <w:pPr>
        <w:pStyle w:val="0Maintext"/>
        <w:keepNext/>
        <w:spacing w:after="120" w:afterAutospacing="0" w:line="240" w:lineRule="auto"/>
        <w:ind w:firstLine="0"/>
        <w:jc w:val="center"/>
      </w:pPr>
      <w:r w:rsidRPr="00D04CF5">
        <w:rPr>
          <w:rFonts w:asciiTheme="majorBidi" w:eastAsia="Times New Roman" w:hAnsiTheme="majorBidi" w:cstheme="majorBidi"/>
          <w:noProof/>
          <w:sz w:val="24"/>
          <w:szCs w:val="24"/>
          <w:lang w:val="en-GB" w:eastAsia="en-US"/>
        </w:rPr>
        <w:lastRenderedPageBreak/>
        <w:drawing>
          <wp:inline distT="0" distB="0" distL="0" distR="0" wp14:anchorId="4804ACBC" wp14:editId="2C234959">
            <wp:extent cx="4735680" cy="3402280"/>
            <wp:effectExtent l="0" t="0" r="8255" b="8255"/>
            <wp:docPr id="381954893" name="Grafik 1" descr="Ein Bild, das Diagramm, Reihe,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954893" name="Grafik 1" descr="Ein Bild, das Diagramm, Reihe, Design enthält.&#10;&#10;KI-generierte Inhalte können fehlerhaft sein."/>
                    <pic:cNvPicPr/>
                  </pic:nvPicPr>
                  <pic:blipFill>
                    <a:blip r:embed="rId11"/>
                    <a:stretch>
                      <a:fillRect/>
                    </a:stretch>
                  </pic:blipFill>
                  <pic:spPr>
                    <a:xfrm>
                      <a:off x="0" y="0"/>
                      <a:ext cx="4761784" cy="3421034"/>
                    </a:xfrm>
                    <a:prstGeom prst="rect">
                      <a:avLst/>
                    </a:prstGeom>
                  </pic:spPr>
                </pic:pic>
              </a:graphicData>
            </a:graphic>
          </wp:inline>
        </w:drawing>
      </w:r>
    </w:p>
    <w:p w14:paraId="00D29C02" w14:textId="7AC9E6BB" w:rsidR="00D04CF5" w:rsidRPr="00D04CF5" w:rsidRDefault="00D04CF5" w:rsidP="00D04CF5">
      <w:pPr>
        <w:pStyle w:val="Beschriftung"/>
        <w:jc w:val="center"/>
        <w:rPr>
          <w:lang w:val="en-US"/>
        </w:rPr>
      </w:pPr>
      <w:r w:rsidRPr="00D04CF5">
        <w:rPr>
          <w:lang w:val="en-US"/>
        </w:rPr>
        <w:t xml:space="preserve">Figure </w:t>
      </w:r>
      <w:r>
        <w:fldChar w:fldCharType="begin"/>
      </w:r>
      <w:r w:rsidRPr="00D04CF5">
        <w:rPr>
          <w:lang w:val="en-US"/>
        </w:rPr>
        <w:instrText xml:space="preserve"> SEQ Figure \* ARABIC </w:instrText>
      </w:r>
      <w:r>
        <w:fldChar w:fldCharType="separate"/>
      </w:r>
      <w:r w:rsidRPr="00D04CF5">
        <w:rPr>
          <w:noProof/>
          <w:lang w:val="en-US"/>
        </w:rPr>
        <w:t>1</w:t>
      </w:r>
      <w:r>
        <w:fldChar w:fldCharType="end"/>
      </w:r>
      <w:r w:rsidRPr="00D04CF5">
        <w:rPr>
          <w:lang w:val="en-US"/>
        </w:rPr>
        <w:t xml:space="preserve"> Geometry of Uncertainty Area a</w:t>
      </w:r>
      <w:r>
        <w:rPr>
          <w:lang w:val="en-US"/>
        </w:rPr>
        <w:t>t Different Locations</w:t>
      </w:r>
    </w:p>
    <w:p w14:paraId="30F9A404" w14:textId="77777777" w:rsidR="00D04CF5" w:rsidRPr="00D04CF5" w:rsidRDefault="00D04CF5" w:rsidP="00D04CF5">
      <w:pPr>
        <w:rPr>
          <w:lang w:val="en-US"/>
        </w:rPr>
      </w:pPr>
    </w:p>
    <w:p w14:paraId="3A43E920" w14:textId="3FB794DE" w:rsidR="00940549" w:rsidRDefault="00940549"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The differential RT</w:t>
      </w:r>
      <w:r w:rsidR="0092795A">
        <w:rPr>
          <w:rFonts w:asciiTheme="majorBidi" w:eastAsia="Times New Roman" w:hAnsiTheme="majorBidi" w:cstheme="majorBidi"/>
          <w:sz w:val="24"/>
          <w:szCs w:val="24"/>
          <w:lang w:val="en-GB" w:eastAsia="en-US"/>
        </w:rPr>
        <w:t>T</w:t>
      </w:r>
      <w:r>
        <w:rPr>
          <w:rFonts w:asciiTheme="majorBidi" w:eastAsia="Times New Roman" w:hAnsiTheme="majorBidi" w:cstheme="majorBidi"/>
          <w:sz w:val="24"/>
          <w:szCs w:val="24"/>
          <w:lang w:val="en-GB" w:eastAsia="en-US"/>
        </w:rPr>
        <w:t xml:space="preserve"> within the uncertainty area as a function of elevation angle for LEO600 is given in the table below:</w:t>
      </w:r>
    </w:p>
    <w:p w14:paraId="5008344F" w14:textId="7543E2FD" w:rsidR="00940549" w:rsidRDefault="00940549"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721B1FA7" w14:textId="51AF1D5A" w:rsidR="004510DA" w:rsidRPr="004510DA" w:rsidRDefault="004510DA" w:rsidP="004510DA">
      <w:pPr>
        <w:pStyle w:val="Beschriftung"/>
        <w:keepNext/>
        <w:jc w:val="center"/>
        <w:rPr>
          <w:lang w:val="en-US"/>
        </w:rPr>
      </w:pPr>
      <w:r w:rsidRPr="004510DA">
        <w:rPr>
          <w:lang w:val="en-US"/>
        </w:rPr>
        <w:t xml:space="preserve">Table </w:t>
      </w:r>
      <w:r>
        <w:fldChar w:fldCharType="begin"/>
      </w:r>
      <w:r w:rsidRPr="004510DA">
        <w:rPr>
          <w:lang w:val="en-US"/>
        </w:rPr>
        <w:instrText xml:space="preserve"> SEQ Table \* ARABIC </w:instrText>
      </w:r>
      <w:r>
        <w:fldChar w:fldCharType="separate"/>
      </w:r>
      <w:r w:rsidR="0072104E">
        <w:rPr>
          <w:noProof/>
          <w:lang w:val="en-US"/>
        </w:rPr>
        <w:t>1</w:t>
      </w:r>
      <w:r>
        <w:fldChar w:fldCharType="end"/>
      </w:r>
      <w:r w:rsidRPr="004510DA">
        <w:rPr>
          <w:lang w:val="en-US"/>
        </w:rPr>
        <w:t xml:space="preserve"> Differential RT</w:t>
      </w:r>
      <w:r w:rsidR="00395FED">
        <w:rPr>
          <w:lang w:val="en-US"/>
        </w:rPr>
        <w:t>T</w:t>
      </w:r>
      <w:r w:rsidRPr="004510DA">
        <w:rPr>
          <w:lang w:val="en-US"/>
        </w:rPr>
        <w:t xml:space="preserve"> </w:t>
      </w:r>
      <w:r w:rsidR="00940549">
        <w:rPr>
          <w:lang w:val="en-US"/>
        </w:rPr>
        <w:t xml:space="preserve">[µs] </w:t>
      </w:r>
      <w:r w:rsidRPr="004510DA">
        <w:rPr>
          <w:lang w:val="en-US"/>
        </w:rPr>
        <w:t>within Uncertainty Area</w:t>
      </w:r>
    </w:p>
    <w:tbl>
      <w:tblPr>
        <w:tblW w:w="5961" w:type="dxa"/>
        <w:jc w:val="center"/>
        <w:tblCellMar>
          <w:left w:w="70" w:type="dxa"/>
          <w:right w:w="70" w:type="dxa"/>
        </w:tblCellMar>
        <w:tblLook w:val="04A0" w:firstRow="1" w:lastRow="0" w:firstColumn="1" w:lastColumn="0" w:noHBand="0" w:noVBand="1"/>
      </w:tblPr>
      <w:tblGrid>
        <w:gridCol w:w="799"/>
        <w:gridCol w:w="785"/>
        <w:gridCol w:w="869"/>
        <w:gridCol w:w="869"/>
        <w:gridCol w:w="869"/>
        <w:gridCol w:w="869"/>
        <w:gridCol w:w="901"/>
      </w:tblGrid>
      <w:tr w:rsidR="00395FED" w14:paraId="5EC3F09C" w14:textId="77777777" w:rsidTr="00395FED">
        <w:trPr>
          <w:trHeight w:val="285"/>
          <w:jc w:val="center"/>
        </w:trPr>
        <w:tc>
          <w:tcPr>
            <w:tcW w:w="5961" w:type="dxa"/>
            <w:gridSpan w:val="7"/>
            <w:tcBorders>
              <w:top w:val="single" w:sz="4" w:space="0" w:color="auto"/>
              <w:left w:val="single" w:sz="4" w:space="0" w:color="auto"/>
              <w:bottom w:val="single" w:sz="4" w:space="0" w:color="auto"/>
              <w:right w:val="single" w:sz="4" w:space="0" w:color="auto"/>
            </w:tcBorders>
            <w:noWrap/>
            <w:vAlign w:val="center"/>
            <w:hideMark/>
          </w:tcPr>
          <w:p w14:paraId="66121531" w14:textId="77777777" w:rsidR="00395FED" w:rsidRDefault="00395FED">
            <w:pPr>
              <w:jc w:val="center"/>
              <w:rPr>
                <w:rFonts w:ascii="Aptos" w:hAnsi="Aptos"/>
                <w:color w:val="000000"/>
                <w:sz w:val="22"/>
                <w:szCs w:val="22"/>
              </w:rPr>
            </w:pPr>
            <w:r>
              <w:rPr>
                <w:rFonts w:ascii="Aptos" w:hAnsi="Aptos"/>
                <w:color w:val="000000"/>
                <w:sz w:val="22"/>
                <w:szCs w:val="22"/>
                <w:lang w:val="en-US"/>
              </w:rPr>
              <w:t>Differential RTT (</w:t>
            </w:r>
            <w:r>
              <w:rPr>
                <w:rFonts w:ascii="Aptos Narrow" w:hAnsi="Aptos Narrow"/>
                <w:color w:val="000000"/>
                <w:sz w:val="22"/>
                <w:szCs w:val="22"/>
                <w:lang w:val="en-US"/>
              </w:rPr>
              <w:t>µ</w:t>
            </w:r>
            <w:r>
              <w:rPr>
                <w:rFonts w:ascii="Aptos" w:hAnsi="Aptos"/>
                <w:color w:val="000000"/>
                <w:sz w:val="22"/>
                <w:szCs w:val="22"/>
                <w:lang w:val="en-US"/>
              </w:rPr>
              <w:t xml:space="preserve">s) </w:t>
            </w:r>
          </w:p>
        </w:tc>
      </w:tr>
      <w:tr w:rsidR="00395FED" w14:paraId="6917ACB2" w14:textId="77777777" w:rsidTr="00395FED">
        <w:trPr>
          <w:trHeight w:val="285"/>
          <w:jc w:val="center"/>
        </w:trPr>
        <w:tc>
          <w:tcPr>
            <w:tcW w:w="799" w:type="dxa"/>
            <w:tcBorders>
              <w:top w:val="nil"/>
              <w:left w:val="single" w:sz="4" w:space="0" w:color="auto"/>
              <w:bottom w:val="single" w:sz="4" w:space="0" w:color="auto"/>
              <w:right w:val="single" w:sz="4" w:space="0" w:color="auto"/>
            </w:tcBorders>
            <w:noWrap/>
            <w:vAlign w:val="center"/>
            <w:hideMark/>
          </w:tcPr>
          <w:p w14:paraId="1DF27B86" w14:textId="77777777" w:rsidR="00395FED" w:rsidRDefault="00395FED">
            <w:pPr>
              <w:rPr>
                <w:rFonts w:ascii="Aptos" w:hAnsi="Aptos"/>
                <w:color w:val="000000"/>
                <w:sz w:val="22"/>
                <w:szCs w:val="22"/>
              </w:rPr>
            </w:pPr>
            <w:r>
              <w:rPr>
                <w:rFonts w:ascii="Aptos" w:hAnsi="Aptos"/>
                <w:color w:val="000000"/>
                <w:sz w:val="22"/>
                <w:szCs w:val="22"/>
              </w:rPr>
              <w:t xml:space="preserve">θ (deg) </w:t>
            </w:r>
          </w:p>
        </w:tc>
        <w:tc>
          <w:tcPr>
            <w:tcW w:w="785" w:type="dxa"/>
            <w:tcBorders>
              <w:top w:val="nil"/>
              <w:left w:val="nil"/>
              <w:bottom w:val="single" w:sz="4" w:space="0" w:color="auto"/>
              <w:right w:val="single" w:sz="4" w:space="0" w:color="auto"/>
            </w:tcBorders>
            <w:noWrap/>
            <w:vAlign w:val="bottom"/>
            <w:hideMark/>
          </w:tcPr>
          <w:p w14:paraId="7A7977E7" w14:textId="77777777" w:rsidR="00395FED" w:rsidRDefault="00395FED">
            <w:pPr>
              <w:rPr>
                <w:rFonts w:ascii="Aptos Narrow" w:hAnsi="Aptos Narrow"/>
                <w:color w:val="000000"/>
                <w:sz w:val="22"/>
                <w:szCs w:val="22"/>
              </w:rPr>
            </w:pPr>
            <w:r>
              <w:rPr>
                <w:rFonts w:ascii="Aptos Narrow" w:hAnsi="Aptos Narrow"/>
                <w:color w:val="000000"/>
                <w:sz w:val="22"/>
                <w:szCs w:val="22"/>
              </w:rPr>
              <w:t xml:space="preserve">     1 km </w:t>
            </w:r>
          </w:p>
        </w:tc>
        <w:tc>
          <w:tcPr>
            <w:tcW w:w="869" w:type="dxa"/>
            <w:tcBorders>
              <w:top w:val="nil"/>
              <w:left w:val="nil"/>
              <w:bottom w:val="single" w:sz="4" w:space="0" w:color="auto"/>
              <w:right w:val="single" w:sz="4" w:space="0" w:color="auto"/>
            </w:tcBorders>
            <w:noWrap/>
            <w:vAlign w:val="bottom"/>
            <w:hideMark/>
          </w:tcPr>
          <w:p w14:paraId="20F9C9E9" w14:textId="77777777" w:rsidR="00395FED" w:rsidRDefault="00395FED">
            <w:pPr>
              <w:rPr>
                <w:rFonts w:ascii="Aptos Narrow" w:hAnsi="Aptos Narrow"/>
                <w:color w:val="000000"/>
                <w:sz w:val="22"/>
                <w:szCs w:val="22"/>
              </w:rPr>
            </w:pPr>
            <w:r>
              <w:rPr>
                <w:rFonts w:ascii="Aptos Narrow" w:hAnsi="Aptos Narrow"/>
                <w:color w:val="000000"/>
                <w:sz w:val="22"/>
                <w:szCs w:val="22"/>
              </w:rPr>
              <w:t xml:space="preserve">    10 km </w:t>
            </w:r>
          </w:p>
        </w:tc>
        <w:tc>
          <w:tcPr>
            <w:tcW w:w="869" w:type="dxa"/>
            <w:tcBorders>
              <w:top w:val="nil"/>
              <w:left w:val="nil"/>
              <w:bottom w:val="single" w:sz="4" w:space="0" w:color="auto"/>
              <w:right w:val="single" w:sz="4" w:space="0" w:color="auto"/>
            </w:tcBorders>
            <w:noWrap/>
            <w:vAlign w:val="bottom"/>
            <w:hideMark/>
          </w:tcPr>
          <w:p w14:paraId="29C3C630" w14:textId="77777777" w:rsidR="00395FED" w:rsidRDefault="00395FED">
            <w:pPr>
              <w:rPr>
                <w:rFonts w:ascii="Aptos Narrow" w:hAnsi="Aptos Narrow"/>
                <w:color w:val="000000"/>
                <w:sz w:val="22"/>
                <w:szCs w:val="22"/>
              </w:rPr>
            </w:pPr>
            <w:r>
              <w:rPr>
                <w:rFonts w:ascii="Aptos Narrow" w:hAnsi="Aptos Narrow"/>
                <w:color w:val="000000"/>
                <w:sz w:val="22"/>
                <w:szCs w:val="22"/>
              </w:rPr>
              <w:t xml:space="preserve">    15 km </w:t>
            </w:r>
          </w:p>
        </w:tc>
        <w:tc>
          <w:tcPr>
            <w:tcW w:w="869" w:type="dxa"/>
            <w:tcBorders>
              <w:top w:val="nil"/>
              <w:left w:val="nil"/>
              <w:bottom w:val="single" w:sz="4" w:space="0" w:color="auto"/>
              <w:right w:val="single" w:sz="4" w:space="0" w:color="auto"/>
            </w:tcBorders>
            <w:noWrap/>
            <w:vAlign w:val="bottom"/>
            <w:hideMark/>
          </w:tcPr>
          <w:p w14:paraId="5696F168" w14:textId="77777777" w:rsidR="00395FED" w:rsidRDefault="00395FED">
            <w:pPr>
              <w:rPr>
                <w:rFonts w:ascii="Aptos Narrow" w:hAnsi="Aptos Narrow"/>
                <w:color w:val="000000"/>
                <w:sz w:val="22"/>
                <w:szCs w:val="22"/>
              </w:rPr>
            </w:pPr>
            <w:r>
              <w:rPr>
                <w:rFonts w:ascii="Aptos Narrow" w:hAnsi="Aptos Narrow"/>
                <w:color w:val="000000"/>
                <w:sz w:val="22"/>
                <w:szCs w:val="22"/>
              </w:rPr>
              <w:t xml:space="preserve">    20 km </w:t>
            </w:r>
          </w:p>
        </w:tc>
        <w:tc>
          <w:tcPr>
            <w:tcW w:w="869" w:type="dxa"/>
            <w:tcBorders>
              <w:top w:val="nil"/>
              <w:left w:val="nil"/>
              <w:bottom w:val="single" w:sz="4" w:space="0" w:color="auto"/>
              <w:right w:val="single" w:sz="4" w:space="0" w:color="auto"/>
            </w:tcBorders>
            <w:noWrap/>
            <w:vAlign w:val="bottom"/>
            <w:hideMark/>
          </w:tcPr>
          <w:p w14:paraId="77B8180A" w14:textId="77777777" w:rsidR="00395FED" w:rsidRDefault="00395FED">
            <w:pPr>
              <w:rPr>
                <w:rFonts w:ascii="Aptos Narrow" w:hAnsi="Aptos Narrow"/>
                <w:color w:val="000000"/>
                <w:sz w:val="22"/>
                <w:szCs w:val="22"/>
              </w:rPr>
            </w:pPr>
            <w:r>
              <w:rPr>
                <w:rFonts w:ascii="Aptos Narrow" w:hAnsi="Aptos Narrow"/>
                <w:color w:val="000000"/>
                <w:sz w:val="22"/>
                <w:szCs w:val="22"/>
              </w:rPr>
              <w:t xml:space="preserve">    25 km </w:t>
            </w:r>
          </w:p>
        </w:tc>
        <w:tc>
          <w:tcPr>
            <w:tcW w:w="901" w:type="dxa"/>
            <w:tcBorders>
              <w:top w:val="nil"/>
              <w:left w:val="nil"/>
              <w:bottom w:val="single" w:sz="4" w:space="0" w:color="auto"/>
              <w:right w:val="single" w:sz="4" w:space="0" w:color="auto"/>
            </w:tcBorders>
            <w:noWrap/>
            <w:vAlign w:val="bottom"/>
            <w:hideMark/>
          </w:tcPr>
          <w:p w14:paraId="6C7F4219" w14:textId="77777777" w:rsidR="00395FED" w:rsidRDefault="00395FED">
            <w:pPr>
              <w:rPr>
                <w:rFonts w:ascii="Aptos Narrow" w:hAnsi="Aptos Narrow"/>
                <w:color w:val="000000"/>
                <w:sz w:val="22"/>
                <w:szCs w:val="22"/>
              </w:rPr>
            </w:pPr>
            <w:r>
              <w:rPr>
                <w:rFonts w:ascii="Aptos Narrow" w:hAnsi="Aptos Narrow"/>
                <w:color w:val="000000"/>
                <w:sz w:val="22"/>
                <w:szCs w:val="22"/>
              </w:rPr>
              <w:t>100 km</w:t>
            </w:r>
          </w:p>
        </w:tc>
      </w:tr>
      <w:tr w:rsidR="00395FED" w14:paraId="19C5C23A" w14:textId="77777777" w:rsidTr="00395FED">
        <w:trPr>
          <w:trHeight w:val="293"/>
          <w:jc w:val="center"/>
        </w:trPr>
        <w:tc>
          <w:tcPr>
            <w:tcW w:w="799" w:type="dxa"/>
            <w:tcBorders>
              <w:top w:val="nil"/>
              <w:left w:val="single" w:sz="4" w:space="0" w:color="auto"/>
              <w:bottom w:val="single" w:sz="4" w:space="0" w:color="auto"/>
              <w:right w:val="single" w:sz="4" w:space="0" w:color="auto"/>
            </w:tcBorders>
            <w:noWrap/>
            <w:vAlign w:val="center"/>
            <w:hideMark/>
          </w:tcPr>
          <w:p w14:paraId="4C490CFE" w14:textId="77777777" w:rsidR="00395FED" w:rsidRDefault="00395FED">
            <w:pPr>
              <w:rPr>
                <w:rFonts w:ascii="Aptos" w:hAnsi="Aptos"/>
                <w:color w:val="000000"/>
                <w:sz w:val="22"/>
                <w:szCs w:val="22"/>
              </w:rPr>
            </w:pPr>
            <w:r>
              <w:rPr>
                <w:rFonts w:ascii="Aptos" w:hAnsi="Aptos"/>
                <w:color w:val="000000"/>
                <w:sz w:val="22"/>
                <w:szCs w:val="22"/>
              </w:rPr>
              <w:t xml:space="preserve">   90   </w:t>
            </w:r>
          </w:p>
        </w:tc>
        <w:tc>
          <w:tcPr>
            <w:tcW w:w="785" w:type="dxa"/>
            <w:tcBorders>
              <w:top w:val="nil"/>
              <w:left w:val="nil"/>
              <w:bottom w:val="single" w:sz="8" w:space="0" w:color="auto"/>
              <w:right w:val="single" w:sz="8" w:space="0" w:color="auto"/>
            </w:tcBorders>
            <w:noWrap/>
            <w:vAlign w:val="center"/>
            <w:hideMark/>
          </w:tcPr>
          <w:p w14:paraId="29844E6E"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0.01</w:t>
            </w:r>
          </w:p>
        </w:tc>
        <w:tc>
          <w:tcPr>
            <w:tcW w:w="869" w:type="dxa"/>
            <w:tcBorders>
              <w:top w:val="nil"/>
              <w:left w:val="nil"/>
              <w:bottom w:val="single" w:sz="8" w:space="0" w:color="auto"/>
              <w:right w:val="single" w:sz="8" w:space="0" w:color="auto"/>
            </w:tcBorders>
            <w:noWrap/>
            <w:vAlign w:val="center"/>
            <w:hideMark/>
          </w:tcPr>
          <w:p w14:paraId="53C1A9DA" w14:textId="6C3770FD" w:rsidR="00395FED" w:rsidRDefault="00395FED">
            <w:pPr>
              <w:jc w:val="center"/>
              <w:rPr>
                <w:rFonts w:ascii="Aptos Narrow" w:hAnsi="Aptos Narrow"/>
                <w:color w:val="000000"/>
                <w:sz w:val="22"/>
                <w:szCs w:val="22"/>
              </w:rPr>
            </w:pPr>
            <w:r>
              <w:rPr>
                <w:rFonts w:ascii="Aptos Narrow" w:hAnsi="Aptos Narrow"/>
                <w:color w:val="000000"/>
                <w:sz w:val="22"/>
                <w:szCs w:val="22"/>
              </w:rPr>
              <w:t>0.5</w:t>
            </w:r>
            <w:r w:rsidR="00BB71AC">
              <w:rPr>
                <w:rFonts w:ascii="Aptos Narrow" w:hAnsi="Aptos Narrow"/>
                <w:color w:val="000000"/>
                <w:sz w:val="22"/>
                <w:szCs w:val="22"/>
              </w:rPr>
              <w:t>6</w:t>
            </w:r>
          </w:p>
        </w:tc>
        <w:tc>
          <w:tcPr>
            <w:tcW w:w="869" w:type="dxa"/>
            <w:tcBorders>
              <w:top w:val="nil"/>
              <w:left w:val="nil"/>
              <w:bottom w:val="single" w:sz="8" w:space="0" w:color="auto"/>
              <w:right w:val="single" w:sz="8" w:space="0" w:color="auto"/>
            </w:tcBorders>
            <w:noWrap/>
            <w:vAlign w:val="center"/>
            <w:hideMark/>
          </w:tcPr>
          <w:p w14:paraId="479DEC82" w14:textId="7D5880C0" w:rsidR="00395FED" w:rsidRDefault="00395FED">
            <w:pPr>
              <w:jc w:val="center"/>
              <w:rPr>
                <w:rFonts w:ascii="Aptos Narrow" w:hAnsi="Aptos Narrow"/>
                <w:color w:val="000000"/>
                <w:sz w:val="22"/>
                <w:szCs w:val="22"/>
              </w:rPr>
            </w:pPr>
            <w:r>
              <w:rPr>
                <w:rFonts w:ascii="Aptos Narrow" w:hAnsi="Aptos Narrow"/>
                <w:color w:val="000000"/>
                <w:sz w:val="22"/>
                <w:szCs w:val="22"/>
              </w:rPr>
              <w:t>1.2</w:t>
            </w:r>
            <w:r w:rsidR="00BB71AC">
              <w:rPr>
                <w:rFonts w:ascii="Aptos Narrow" w:hAnsi="Aptos Narrow"/>
                <w:color w:val="000000"/>
                <w:sz w:val="22"/>
                <w:szCs w:val="22"/>
              </w:rPr>
              <w:t>5</w:t>
            </w:r>
          </w:p>
        </w:tc>
        <w:tc>
          <w:tcPr>
            <w:tcW w:w="869" w:type="dxa"/>
            <w:tcBorders>
              <w:top w:val="nil"/>
              <w:left w:val="nil"/>
              <w:bottom w:val="single" w:sz="8" w:space="0" w:color="auto"/>
              <w:right w:val="single" w:sz="8" w:space="0" w:color="auto"/>
            </w:tcBorders>
            <w:noWrap/>
            <w:vAlign w:val="center"/>
            <w:hideMark/>
          </w:tcPr>
          <w:p w14:paraId="108708AD" w14:textId="6A81F6E0" w:rsidR="00395FED" w:rsidRDefault="00395FED">
            <w:pPr>
              <w:jc w:val="center"/>
              <w:rPr>
                <w:rFonts w:ascii="Aptos Narrow" w:hAnsi="Aptos Narrow"/>
                <w:color w:val="000000"/>
                <w:sz w:val="22"/>
                <w:szCs w:val="22"/>
              </w:rPr>
            </w:pPr>
            <w:r>
              <w:rPr>
                <w:rFonts w:ascii="Aptos Narrow" w:hAnsi="Aptos Narrow"/>
                <w:color w:val="000000"/>
                <w:sz w:val="22"/>
                <w:szCs w:val="22"/>
              </w:rPr>
              <w:t>2.2</w:t>
            </w:r>
            <w:r w:rsidR="00BB71AC">
              <w:rPr>
                <w:rFonts w:ascii="Aptos Narrow" w:hAnsi="Aptos Narrow"/>
                <w:color w:val="000000"/>
                <w:sz w:val="22"/>
                <w:szCs w:val="22"/>
              </w:rPr>
              <w:t>2</w:t>
            </w:r>
          </w:p>
        </w:tc>
        <w:tc>
          <w:tcPr>
            <w:tcW w:w="869" w:type="dxa"/>
            <w:tcBorders>
              <w:top w:val="nil"/>
              <w:left w:val="nil"/>
              <w:bottom w:val="single" w:sz="8" w:space="0" w:color="auto"/>
              <w:right w:val="single" w:sz="8" w:space="0" w:color="auto"/>
            </w:tcBorders>
            <w:noWrap/>
            <w:vAlign w:val="center"/>
            <w:hideMark/>
          </w:tcPr>
          <w:p w14:paraId="27649955"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3.47</w:t>
            </w:r>
          </w:p>
        </w:tc>
        <w:tc>
          <w:tcPr>
            <w:tcW w:w="901" w:type="dxa"/>
            <w:tcBorders>
              <w:top w:val="nil"/>
              <w:left w:val="nil"/>
              <w:bottom w:val="single" w:sz="8" w:space="0" w:color="auto"/>
              <w:right w:val="single" w:sz="8" w:space="0" w:color="auto"/>
            </w:tcBorders>
            <w:noWrap/>
            <w:vAlign w:val="center"/>
            <w:hideMark/>
          </w:tcPr>
          <w:p w14:paraId="595B2C77" w14:textId="77777777" w:rsidR="00395FED" w:rsidRDefault="00395FED">
            <w:pPr>
              <w:rPr>
                <w:rFonts w:ascii="Aptos Narrow" w:hAnsi="Aptos Narrow"/>
                <w:color w:val="000000"/>
                <w:sz w:val="22"/>
                <w:szCs w:val="22"/>
              </w:rPr>
            </w:pPr>
            <w:r>
              <w:rPr>
                <w:rFonts w:ascii="Aptos Narrow" w:hAnsi="Aptos Narrow"/>
                <w:color w:val="000000"/>
                <w:sz w:val="22"/>
                <w:szCs w:val="22"/>
              </w:rPr>
              <w:t>13.88</w:t>
            </w:r>
          </w:p>
        </w:tc>
      </w:tr>
      <w:tr w:rsidR="00395FED" w14:paraId="7B15EA45" w14:textId="77777777" w:rsidTr="00395FED">
        <w:trPr>
          <w:trHeight w:val="293"/>
          <w:jc w:val="center"/>
        </w:trPr>
        <w:tc>
          <w:tcPr>
            <w:tcW w:w="799" w:type="dxa"/>
            <w:tcBorders>
              <w:top w:val="nil"/>
              <w:left w:val="single" w:sz="4" w:space="0" w:color="auto"/>
              <w:bottom w:val="single" w:sz="4" w:space="0" w:color="auto"/>
              <w:right w:val="single" w:sz="4" w:space="0" w:color="auto"/>
            </w:tcBorders>
            <w:noWrap/>
            <w:vAlign w:val="center"/>
            <w:hideMark/>
          </w:tcPr>
          <w:p w14:paraId="52B8DB40" w14:textId="77777777" w:rsidR="00395FED" w:rsidRDefault="00395FED">
            <w:pPr>
              <w:rPr>
                <w:rFonts w:ascii="Aptos" w:hAnsi="Aptos"/>
                <w:color w:val="000000"/>
                <w:sz w:val="22"/>
                <w:szCs w:val="22"/>
              </w:rPr>
            </w:pPr>
            <w:r>
              <w:rPr>
                <w:rFonts w:ascii="Aptos" w:hAnsi="Aptos"/>
                <w:color w:val="000000"/>
                <w:sz w:val="22"/>
                <w:szCs w:val="22"/>
              </w:rPr>
              <w:t xml:space="preserve">   75   </w:t>
            </w:r>
          </w:p>
        </w:tc>
        <w:tc>
          <w:tcPr>
            <w:tcW w:w="785" w:type="dxa"/>
            <w:tcBorders>
              <w:top w:val="nil"/>
              <w:left w:val="nil"/>
              <w:bottom w:val="single" w:sz="8" w:space="0" w:color="auto"/>
              <w:right w:val="single" w:sz="8" w:space="0" w:color="auto"/>
            </w:tcBorders>
            <w:noWrap/>
            <w:vAlign w:val="center"/>
            <w:hideMark/>
          </w:tcPr>
          <w:p w14:paraId="18BFF839"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3.45 </w:t>
            </w:r>
          </w:p>
        </w:tc>
        <w:tc>
          <w:tcPr>
            <w:tcW w:w="869" w:type="dxa"/>
            <w:tcBorders>
              <w:top w:val="nil"/>
              <w:left w:val="nil"/>
              <w:bottom w:val="single" w:sz="8" w:space="0" w:color="auto"/>
              <w:right w:val="single" w:sz="8" w:space="0" w:color="auto"/>
            </w:tcBorders>
            <w:noWrap/>
            <w:vAlign w:val="center"/>
            <w:hideMark/>
          </w:tcPr>
          <w:p w14:paraId="17A2719C"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34.51 </w:t>
            </w:r>
          </w:p>
        </w:tc>
        <w:tc>
          <w:tcPr>
            <w:tcW w:w="869" w:type="dxa"/>
            <w:tcBorders>
              <w:top w:val="nil"/>
              <w:left w:val="nil"/>
              <w:bottom w:val="single" w:sz="8" w:space="0" w:color="auto"/>
              <w:right w:val="single" w:sz="8" w:space="0" w:color="auto"/>
            </w:tcBorders>
            <w:noWrap/>
            <w:vAlign w:val="center"/>
            <w:hideMark/>
          </w:tcPr>
          <w:p w14:paraId="4DED2B6A"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51.76 </w:t>
            </w:r>
          </w:p>
        </w:tc>
        <w:tc>
          <w:tcPr>
            <w:tcW w:w="869" w:type="dxa"/>
            <w:tcBorders>
              <w:top w:val="nil"/>
              <w:left w:val="nil"/>
              <w:bottom w:val="single" w:sz="8" w:space="0" w:color="auto"/>
              <w:right w:val="single" w:sz="8" w:space="0" w:color="auto"/>
            </w:tcBorders>
            <w:noWrap/>
            <w:vAlign w:val="center"/>
            <w:hideMark/>
          </w:tcPr>
          <w:p w14:paraId="1EA74EC3"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69.02 </w:t>
            </w:r>
          </w:p>
        </w:tc>
        <w:tc>
          <w:tcPr>
            <w:tcW w:w="869" w:type="dxa"/>
            <w:tcBorders>
              <w:top w:val="nil"/>
              <w:left w:val="nil"/>
              <w:bottom w:val="single" w:sz="8" w:space="0" w:color="auto"/>
              <w:right w:val="single" w:sz="8" w:space="0" w:color="auto"/>
            </w:tcBorders>
            <w:noWrap/>
            <w:vAlign w:val="center"/>
            <w:hideMark/>
          </w:tcPr>
          <w:p w14:paraId="13854CBC"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86.27 </w:t>
            </w:r>
          </w:p>
        </w:tc>
        <w:tc>
          <w:tcPr>
            <w:tcW w:w="901" w:type="dxa"/>
            <w:tcBorders>
              <w:top w:val="nil"/>
              <w:left w:val="nil"/>
              <w:bottom w:val="single" w:sz="8" w:space="0" w:color="auto"/>
              <w:right w:val="single" w:sz="8" w:space="0" w:color="auto"/>
            </w:tcBorders>
            <w:noWrap/>
            <w:vAlign w:val="center"/>
            <w:hideMark/>
          </w:tcPr>
          <w:p w14:paraId="7BDD7D1E" w14:textId="77777777" w:rsidR="00395FED" w:rsidRDefault="00395FED">
            <w:pPr>
              <w:rPr>
                <w:rFonts w:ascii="Aptos Narrow" w:hAnsi="Aptos Narrow"/>
                <w:color w:val="000000"/>
                <w:sz w:val="22"/>
                <w:szCs w:val="22"/>
              </w:rPr>
            </w:pPr>
            <w:r>
              <w:rPr>
                <w:rFonts w:ascii="Aptos Narrow" w:hAnsi="Aptos Narrow"/>
                <w:color w:val="000000"/>
                <w:sz w:val="22"/>
                <w:szCs w:val="22"/>
              </w:rPr>
              <w:t>345.09</w:t>
            </w:r>
          </w:p>
        </w:tc>
      </w:tr>
      <w:tr w:rsidR="00395FED" w14:paraId="674F54F0" w14:textId="77777777" w:rsidTr="00395FED">
        <w:trPr>
          <w:trHeight w:val="293"/>
          <w:jc w:val="center"/>
        </w:trPr>
        <w:tc>
          <w:tcPr>
            <w:tcW w:w="799" w:type="dxa"/>
            <w:tcBorders>
              <w:top w:val="nil"/>
              <w:left w:val="single" w:sz="4" w:space="0" w:color="auto"/>
              <w:bottom w:val="single" w:sz="4" w:space="0" w:color="auto"/>
              <w:right w:val="single" w:sz="4" w:space="0" w:color="auto"/>
            </w:tcBorders>
            <w:noWrap/>
            <w:vAlign w:val="center"/>
            <w:hideMark/>
          </w:tcPr>
          <w:p w14:paraId="12C95B5F" w14:textId="77777777" w:rsidR="00395FED" w:rsidRDefault="00395FED">
            <w:pPr>
              <w:rPr>
                <w:rFonts w:ascii="Aptos" w:hAnsi="Aptos"/>
                <w:color w:val="000000"/>
                <w:sz w:val="22"/>
                <w:szCs w:val="22"/>
              </w:rPr>
            </w:pPr>
            <w:r>
              <w:rPr>
                <w:rFonts w:ascii="Aptos" w:hAnsi="Aptos"/>
                <w:color w:val="000000"/>
                <w:sz w:val="22"/>
                <w:szCs w:val="22"/>
              </w:rPr>
              <w:t xml:space="preserve">   60   </w:t>
            </w:r>
          </w:p>
        </w:tc>
        <w:tc>
          <w:tcPr>
            <w:tcW w:w="785" w:type="dxa"/>
            <w:tcBorders>
              <w:top w:val="nil"/>
              <w:left w:val="nil"/>
              <w:bottom w:val="single" w:sz="8" w:space="0" w:color="auto"/>
              <w:right w:val="single" w:sz="8" w:space="0" w:color="auto"/>
            </w:tcBorders>
            <w:noWrap/>
            <w:vAlign w:val="center"/>
            <w:hideMark/>
          </w:tcPr>
          <w:p w14:paraId="51C2FA31"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6.67 </w:t>
            </w:r>
          </w:p>
        </w:tc>
        <w:tc>
          <w:tcPr>
            <w:tcW w:w="869" w:type="dxa"/>
            <w:tcBorders>
              <w:top w:val="nil"/>
              <w:left w:val="nil"/>
              <w:bottom w:val="single" w:sz="8" w:space="0" w:color="auto"/>
              <w:right w:val="single" w:sz="8" w:space="0" w:color="auto"/>
            </w:tcBorders>
            <w:noWrap/>
            <w:vAlign w:val="center"/>
            <w:hideMark/>
          </w:tcPr>
          <w:p w14:paraId="400509DC"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66.67 </w:t>
            </w:r>
          </w:p>
        </w:tc>
        <w:tc>
          <w:tcPr>
            <w:tcW w:w="869" w:type="dxa"/>
            <w:tcBorders>
              <w:top w:val="nil"/>
              <w:left w:val="nil"/>
              <w:bottom w:val="single" w:sz="8" w:space="0" w:color="auto"/>
              <w:right w:val="single" w:sz="8" w:space="0" w:color="auto"/>
            </w:tcBorders>
            <w:noWrap/>
            <w:vAlign w:val="center"/>
            <w:hideMark/>
          </w:tcPr>
          <w:p w14:paraId="1C581185"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100.00 </w:t>
            </w:r>
          </w:p>
        </w:tc>
        <w:tc>
          <w:tcPr>
            <w:tcW w:w="869" w:type="dxa"/>
            <w:tcBorders>
              <w:top w:val="nil"/>
              <w:left w:val="nil"/>
              <w:bottom w:val="single" w:sz="8" w:space="0" w:color="auto"/>
              <w:right w:val="single" w:sz="8" w:space="0" w:color="auto"/>
            </w:tcBorders>
            <w:noWrap/>
            <w:vAlign w:val="center"/>
            <w:hideMark/>
          </w:tcPr>
          <w:p w14:paraId="79A4D190"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133.33 </w:t>
            </w:r>
          </w:p>
        </w:tc>
        <w:tc>
          <w:tcPr>
            <w:tcW w:w="869" w:type="dxa"/>
            <w:tcBorders>
              <w:top w:val="nil"/>
              <w:left w:val="nil"/>
              <w:bottom w:val="single" w:sz="8" w:space="0" w:color="auto"/>
              <w:right w:val="single" w:sz="8" w:space="0" w:color="auto"/>
            </w:tcBorders>
            <w:noWrap/>
            <w:vAlign w:val="center"/>
            <w:hideMark/>
          </w:tcPr>
          <w:p w14:paraId="43086EA2"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166.67 </w:t>
            </w:r>
          </w:p>
        </w:tc>
        <w:tc>
          <w:tcPr>
            <w:tcW w:w="901" w:type="dxa"/>
            <w:tcBorders>
              <w:top w:val="nil"/>
              <w:left w:val="nil"/>
              <w:bottom w:val="single" w:sz="8" w:space="0" w:color="auto"/>
              <w:right w:val="single" w:sz="8" w:space="0" w:color="auto"/>
            </w:tcBorders>
            <w:noWrap/>
            <w:vAlign w:val="center"/>
            <w:hideMark/>
          </w:tcPr>
          <w:p w14:paraId="3589174A" w14:textId="77777777" w:rsidR="00395FED" w:rsidRDefault="00395FED">
            <w:pPr>
              <w:rPr>
                <w:rFonts w:ascii="Aptos Narrow" w:hAnsi="Aptos Narrow"/>
                <w:color w:val="000000"/>
                <w:sz w:val="22"/>
                <w:szCs w:val="22"/>
              </w:rPr>
            </w:pPr>
            <w:r>
              <w:rPr>
                <w:rFonts w:ascii="Aptos Narrow" w:hAnsi="Aptos Narrow"/>
                <w:color w:val="000000"/>
                <w:sz w:val="22"/>
                <w:szCs w:val="22"/>
              </w:rPr>
              <w:t>666.67</w:t>
            </w:r>
          </w:p>
        </w:tc>
      </w:tr>
      <w:tr w:rsidR="00395FED" w14:paraId="445F450D" w14:textId="77777777" w:rsidTr="00395FED">
        <w:trPr>
          <w:trHeight w:val="293"/>
          <w:jc w:val="center"/>
        </w:trPr>
        <w:tc>
          <w:tcPr>
            <w:tcW w:w="799" w:type="dxa"/>
            <w:tcBorders>
              <w:top w:val="nil"/>
              <w:left w:val="single" w:sz="4" w:space="0" w:color="auto"/>
              <w:bottom w:val="single" w:sz="4" w:space="0" w:color="auto"/>
              <w:right w:val="single" w:sz="4" w:space="0" w:color="auto"/>
            </w:tcBorders>
            <w:noWrap/>
            <w:vAlign w:val="center"/>
            <w:hideMark/>
          </w:tcPr>
          <w:p w14:paraId="697A59F8" w14:textId="77777777" w:rsidR="00395FED" w:rsidRDefault="00395FED">
            <w:pPr>
              <w:rPr>
                <w:rFonts w:ascii="Aptos" w:hAnsi="Aptos"/>
                <w:color w:val="000000"/>
                <w:sz w:val="22"/>
                <w:szCs w:val="22"/>
              </w:rPr>
            </w:pPr>
            <w:r>
              <w:rPr>
                <w:rFonts w:ascii="Aptos" w:hAnsi="Aptos"/>
                <w:color w:val="000000"/>
                <w:sz w:val="22"/>
                <w:szCs w:val="22"/>
              </w:rPr>
              <w:t xml:space="preserve">   45   </w:t>
            </w:r>
          </w:p>
        </w:tc>
        <w:tc>
          <w:tcPr>
            <w:tcW w:w="785" w:type="dxa"/>
            <w:tcBorders>
              <w:top w:val="nil"/>
              <w:left w:val="nil"/>
              <w:bottom w:val="single" w:sz="8" w:space="0" w:color="auto"/>
              <w:right w:val="single" w:sz="8" w:space="0" w:color="auto"/>
            </w:tcBorders>
            <w:noWrap/>
            <w:vAlign w:val="center"/>
            <w:hideMark/>
          </w:tcPr>
          <w:p w14:paraId="15DA76AF"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9.43 </w:t>
            </w:r>
          </w:p>
        </w:tc>
        <w:tc>
          <w:tcPr>
            <w:tcW w:w="869" w:type="dxa"/>
            <w:tcBorders>
              <w:top w:val="nil"/>
              <w:left w:val="nil"/>
              <w:bottom w:val="single" w:sz="8" w:space="0" w:color="auto"/>
              <w:right w:val="single" w:sz="8" w:space="0" w:color="auto"/>
            </w:tcBorders>
            <w:noWrap/>
            <w:vAlign w:val="center"/>
            <w:hideMark/>
          </w:tcPr>
          <w:p w14:paraId="7907C727"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94.28 </w:t>
            </w:r>
          </w:p>
        </w:tc>
        <w:tc>
          <w:tcPr>
            <w:tcW w:w="869" w:type="dxa"/>
            <w:tcBorders>
              <w:top w:val="nil"/>
              <w:left w:val="nil"/>
              <w:bottom w:val="single" w:sz="8" w:space="0" w:color="auto"/>
              <w:right w:val="single" w:sz="8" w:space="0" w:color="auto"/>
            </w:tcBorders>
            <w:noWrap/>
            <w:vAlign w:val="center"/>
            <w:hideMark/>
          </w:tcPr>
          <w:p w14:paraId="3A700A1F"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141.42 </w:t>
            </w:r>
          </w:p>
        </w:tc>
        <w:tc>
          <w:tcPr>
            <w:tcW w:w="869" w:type="dxa"/>
            <w:tcBorders>
              <w:top w:val="nil"/>
              <w:left w:val="nil"/>
              <w:bottom w:val="single" w:sz="8" w:space="0" w:color="auto"/>
              <w:right w:val="single" w:sz="8" w:space="0" w:color="auto"/>
            </w:tcBorders>
            <w:noWrap/>
            <w:vAlign w:val="center"/>
            <w:hideMark/>
          </w:tcPr>
          <w:p w14:paraId="774110EA"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188.56 </w:t>
            </w:r>
          </w:p>
        </w:tc>
        <w:tc>
          <w:tcPr>
            <w:tcW w:w="869" w:type="dxa"/>
            <w:tcBorders>
              <w:top w:val="nil"/>
              <w:left w:val="nil"/>
              <w:bottom w:val="single" w:sz="8" w:space="0" w:color="auto"/>
              <w:right w:val="single" w:sz="8" w:space="0" w:color="auto"/>
            </w:tcBorders>
            <w:noWrap/>
            <w:vAlign w:val="center"/>
            <w:hideMark/>
          </w:tcPr>
          <w:p w14:paraId="1632D00E"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235.70 </w:t>
            </w:r>
          </w:p>
        </w:tc>
        <w:tc>
          <w:tcPr>
            <w:tcW w:w="901" w:type="dxa"/>
            <w:tcBorders>
              <w:top w:val="nil"/>
              <w:left w:val="nil"/>
              <w:bottom w:val="single" w:sz="8" w:space="0" w:color="auto"/>
              <w:right w:val="single" w:sz="8" w:space="0" w:color="auto"/>
            </w:tcBorders>
            <w:noWrap/>
            <w:vAlign w:val="center"/>
            <w:hideMark/>
          </w:tcPr>
          <w:p w14:paraId="3664640E" w14:textId="77777777" w:rsidR="00395FED" w:rsidRDefault="00395FED">
            <w:pPr>
              <w:rPr>
                <w:rFonts w:ascii="Aptos Narrow" w:hAnsi="Aptos Narrow"/>
                <w:color w:val="000000"/>
                <w:sz w:val="22"/>
                <w:szCs w:val="22"/>
              </w:rPr>
            </w:pPr>
            <w:r>
              <w:rPr>
                <w:rFonts w:ascii="Aptos Narrow" w:hAnsi="Aptos Narrow"/>
                <w:color w:val="000000"/>
                <w:sz w:val="22"/>
                <w:szCs w:val="22"/>
              </w:rPr>
              <w:t>942.81</w:t>
            </w:r>
          </w:p>
        </w:tc>
      </w:tr>
      <w:tr w:rsidR="00395FED" w14:paraId="4C20E69B" w14:textId="77777777" w:rsidTr="00395FED">
        <w:trPr>
          <w:trHeight w:val="293"/>
          <w:jc w:val="center"/>
        </w:trPr>
        <w:tc>
          <w:tcPr>
            <w:tcW w:w="799" w:type="dxa"/>
            <w:tcBorders>
              <w:top w:val="nil"/>
              <w:left w:val="single" w:sz="4" w:space="0" w:color="auto"/>
              <w:bottom w:val="single" w:sz="4" w:space="0" w:color="auto"/>
              <w:right w:val="single" w:sz="4" w:space="0" w:color="auto"/>
            </w:tcBorders>
            <w:noWrap/>
            <w:vAlign w:val="center"/>
            <w:hideMark/>
          </w:tcPr>
          <w:p w14:paraId="15E8E701" w14:textId="77777777" w:rsidR="00395FED" w:rsidRDefault="00395FED">
            <w:pPr>
              <w:rPr>
                <w:rFonts w:ascii="Aptos" w:hAnsi="Aptos"/>
                <w:color w:val="000000"/>
                <w:sz w:val="22"/>
                <w:szCs w:val="22"/>
              </w:rPr>
            </w:pPr>
            <w:r>
              <w:rPr>
                <w:rFonts w:ascii="Aptos" w:hAnsi="Aptos"/>
                <w:color w:val="000000"/>
                <w:sz w:val="22"/>
                <w:szCs w:val="22"/>
              </w:rPr>
              <w:t xml:space="preserve">   30   </w:t>
            </w:r>
          </w:p>
        </w:tc>
        <w:tc>
          <w:tcPr>
            <w:tcW w:w="785" w:type="dxa"/>
            <w:tcBorders>
              <w:top w:val="nil"/>
              <w:left w:val="nil"/>
              <w:bottom w:val="single" w:sz="8" w:space="0" w:color="auto"/>
              <w:right w:val="single" w:sz="8" w:space="0" w:color="auto"/>
            </w:tcBorders>
            <w:noWrap/>
            <w:vAlign w:val="center"/>
            <w:hideMark/>
          </w:tcPr>
          <w:p w14:paraId="22F2DEB1"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11.55 </w:t>
            </w:r>
          </w:p>
        </w:tc>
        <w:tc>
          <w:tcPr>
            <w:tcW w:w="869" w:type="dxa"/>
            <w:tcBorders>
              <w:top w:val="nil"/>
              <w:left w:val="nil"/>
              <w:bottom w:val="single" w:sz="8" w:space="0" w:color="auto"/>
              <w:right w:val="single" w:sz="8" w:space="0" w:color="auto"/>
            </w:tcBorders>
            <w:noWrap/>
            <w:vAlign w:val="center"/>
            <w:hideMark/>
          </w:tcPr>
          <w:p w14:paraId="5A55F129"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115.47 </w:t>
            </w:r>
          </w:p>
        </w:tc>
        <w:tc>
          <w:tcPr>
            <w:tcW w:w="869" w:type="dxa"/>
            <w:tcBorders>
              <w:top w:val="nil"/>
              <w:left w:val="nil"/>
              <w:bottom w:val="single" w:sz="8" w:space="0" w:color="auto"/>
              <w:right w:val="single" w:sz="8" w:space="0" w:color="auto"/>
            </w:tcBorders>
            <w:noWrap/>
            <w:vAlign w:val="center"/>
            <w:hideMark/>
          </w:tcPr>
          <w:p w14:paraId="2E1188F6"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173.21 </w:t>
            </w:r>
          </w:p>
        </w:tc>
        <w:tc>
          <w:tcPr>
            <w:tcW w:w="869" w:type="dxa"/>
            <w:tcBorders>
              <w:top w:val="nil"/>
              <w:left w:val="nil"/>
              <w:bottom w:val="single" w:sz="8" w:space="0" w:color="auto"/>
              <w:right w:val="single" w:sz="8" w:space="0" w:color="auto"/>
            </w:tcBorders>
            <w:noWrap/>
            <w:vAlign w:val="center"/>
            <w:hideMark/>
          </w:tcPr>
          <w:p w14:paraId="71C021C0"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230.94 </w:t>
            </w:r>
          </w:p>
        </w:tc>
        <w:tc>
          <w:tcPr>
            <w:tcW w:w="869" w:type="dxa"/>
            <w:tcBorders>
              <w:top w:val="nil"/>
              <w:left w:val="nil"/>
              <w:bottom w:val="single" w:sz="8" w:space="0" w:color="auto"/>
              <w:right w:val="single" w:sz="8" w:space="0" w:color="auto"/>
            </w:tcBorders>
            <w:noWrap/>
            <w:vAlign w:val="center"/>
            <w:hideMark/>
          </w:tcPr>
          <w:p w14:paraId="72DBC187" w14:textId="77777777" w:rsidR="00395FED" w:rsidRDefault="00395FED">
            <w:pPr>
              <w:jc w:val="center"/>
              <w:rPr>
                <w:rFonts w:ascii="Aptos Narrow" w:hAnsi="Aptos Narrow"/>
                <w:color w:val="000000"/>
                <w:sz w:val="22"/>
                <w:szCs w:val="22"/>
              </w:rPr>
            </w:pPr>
            <w:r>
              <w:rPr>
                <w:rFonts w:ascii="Aptos Narrow" w:hAnsi="Aptos Narrow"/>
                <w:color w:val="000000"/>
                <w:sz w:val="22"/>
                <w:szCs w:val="22"/>
              </w:rPr>
              <w:t xml:space="preserve">  288.68 </w:t>
            </w:r>
          </w:p>
        </w:tc>
        <w:tc>
          <w:tcPr>
            <w:tcW w:w="901" w:type="dxa"/>
            <w:tcBorders>
              <w:top w:val="nil"/>
              <w:left w:val="nil"/>
              <w:bottom w:val="single" w:sz="8" w:space="0" w:color="auto"/>
              <w:right w:val="single" w:sz="8" w:space="0" w:color="auto"/>
            </w:tcBorders>
            <w:noWrap/>
            <w:vAlign w:val="center"/>
            <w:hideMark/>
          </w:tcPr>
          <w:p w14:paraId="739C3EC4" w14:textId="77777777" w:rsidR="00395FED" w:rsidRDefault="00395FED">
            <w:pPr>
              <w:rPr>
                <w:rFonts w:ascii="Aptos Narrow" w:hAnsi="Aptos Narrow"/>
                <w:color w:val="000000"/>
                <w:sz w:val="22"/>
                <w:szCs w:val="22"/>
              </w:rPr>
            </w:pPr>
            <w:r>
              <w:rPr>
                <w:rFonts w:ascii="Aptos Narrow" w:hAnsi="Aptos Narrow"/>
                <w:color w:val="000000"/>
                <w:sz w:val="22"/>
                <w:szCs w:val="22"/>
              </w:rPr>
              <w:t>1154.70</w:t>
            </w:r>
          </w:p>
        </w:tc>
      </w:tr>
    </w:tbl>
    <w:p w14:paraId="76368253" w14:textId="77777777" w:rsidR="004008C0" w:rsidRDefault="004008C0"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23A45EEA" w14:textId="6DC673D7" w:rsidR="0092795A" w:rsidRDefault="0092795A" w:rsidP="0092795A">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And the differential RTD within the uncertainty area with an azimuth angle = 90 degree, as a function of elevation angle for LEO600 is given in the table below:</w:t>
      </w:r>
    </w:p>
    <w:p w14:paraId="194C6AA8" w14:textId="77777777" w:rsidR="0092795A" w:rsidRDefault="0092795A"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3F35942D" w14:textId="6CFEACB7" w:rsidR="004008C0" w:rsidRPr="004008C0" w:rsidRDefault="004008C0" w:rsidP="004008C0">
      <w:pPr>
        <w:pStyle w:val="Beschriftung"/>
        <w:keepNext/>
        <w:jc w:val="center"/>
        <w:rPr>
          <w:lang w:val="en-US"/>
        </w:rPr>
      </w:pPr>
      <w:r w:rsidRPr="004008C0">
        <w:rPr>
          <w:lang w:val="en-US"/>
        </w:rPr>
        <w:t xml:space="preserve">Table </w:t>
      </w:r>
      <w:r>
        <w:fldChar w:fldCharType="begin"/>
      </w:r>
      <w:r w:rsidRPr="004008C0">
        <w:rPr>
          <w:lang w:val="en-US"/>
        </w:rPr>
        <w:instrText xml:space="preserve"> SEQ Table \* ARABIC </w:instrText>
      </w:r>
      <w:r>
        <w:fldChar w:fldCharType="separate"/>
      </w:r>
      <w:r w:rsidR="0072104E">
        <w:rPr>
          <w:noProof/>
          <w:lang w:val="en-US"/>
        </w:rPr>
        <w:t>2</w:t>
      </w:r>
      <w:r>
        <w:fldChar w:fldCharType="end"/>
      </w:r>
      <w:r w:rsidRPr="004008C0">
        <w:rPr>
          <w:lang w:val="en-US"/>
        </w:rPr>
        <w:t xml:space="preserve"> Differential RTD</w:t>
      </w:r>
      <w:r w:rsidR="00395FED">
        <w:rPr>
          <w:lang w:val="en-US"/>
        </w:rPr>
        <w:t xml:space="preserve"> (KHz)</w:t>
      </w:r>
      <w:r w:rsidRPr="004008C0">
        <w:rPr>
          <w:lang w:val="en-US"/>
        </w:rPr>
        <w:t xml:space="preserve"> </w:t>
      </w:r>
      <w:r w:rsidR="0072104E">
        <w:rPr>
          <w:lang w:val="en-US"/>
        </w:rPr>
        <w:t>–</w:t>
      </w:r>
      <w:r w:rsidRPr="004008C0">
        <w:rPr>
          <w:lang w:val="en-US"/>
        </w:rPr>
        <w:t xml:space="preserve"> Cross</w:t>
      </w:r>
      <w:r w:rsidR="0072104E">
        <w:rPr>
          <w:lang w:val="en-US"/>
        </w:rPr>
        <w:t xml:space="preserve"> Track </w:t>
      </w:r>
      <w:r w:rsidRPr="004008C0">
        <w:rPr>
          <w:lang w:val="en-US"/>
        </w:rPr>
        <w:t>with azimuth angle = 90</w:t>
      </w:r>
      <w:r w:rsidR="0072104E">
        <w:rPr>
          <w:lang w:val="en-US"/>
        </w:rPr>
        <w:t>˚</w:t>
      </w:r>
    </w:p>
    <w:tbl>
      <w:tblPr>
        <w:tblW w:w="5961" w:type="dxa"/>
        <w:jc w:val="center"/>
        <w:tblCellMar>
          <w:left w:w="70" w:type="dxa"/>
          <w:right w:w="70" w:type="dxa"/>
        </w:tblCellMar>
        <w:tblLook w:val="04A0" w:firstRow="1" w:lastRow="0" w:firstColumn="1" w:lastColumn="0" w:noHBand="0" w:noVBand="1"/>
      </w:tblPr>
      <w:tblGrid>
        <w:gridCol w:w="812"/>
        <w:gridCol w:w="798"/>
        <w:gridCol w:w="883"/>
        <w:gridCol w:w="883"/>
        <w:gridCol w:w="883"/>
        <w:gridCol w:w="883"/>
        <w:gridCol w:w="819"/>
      </w:tblGrid>
      <w:tr w:rsidR="004008C0" w:rsidRPr="00240F6F" w14:paraId="766F8724" w14:textId="77777777" w:rsidTr="004008C0">
        <w:trPr>
          <w:trHeight w:val="285"/>
          <w:jc w:val="center"/>
        </w:trPr>
        <w:tc>
          <w:tcPr>
            <w:tcW w:w="5961" w:type="dxa"/>
            <w:gridSpan w:val="7"/>
            <w:tcBorders>
              <w:top w:val="single" w:sz="4" w:space="0" w:color="auto"/>
              <w:left w:val="single" w:sz="4" w:space="0" w:color="auto"/>
              <w:bottom w:val="single" w:sz="4" w:space="0" w:color="auto"/>
              <w:right w:val="single" w:sz="4" w:space="0" w:color="auto"/>
            </w:tcBorders>
            <w:noWrap/>
            <w:vAlign w:val="center"/>
            <w:hideMark/>
          </w:tcPr>
          <w:p w14:paraId="69477C11" w14:textId="4807E44A" w:rsidR="004008C0" w:rsidRPr="0072104E" w:rsidRDefault="004008C0">
            <w:pPr>
              <w:jc w:val="center"/>
              <w:rPr>
                <w:rFonts w:ascii="Aptos" w:hAnsi="Aptos"/>
                <w:color w:val="000000"/>
                <w:sz w:val="22"/>
                <w:szCs w:val="22"/>
                <w:lang w:val="en-US"/>
              </w:rPr>
            </w:pPr>
            <w:r>
              <w:rPr>
                <w:rFonts w:ascii="Aptos" w:hAnsi="Aptos"/>
                <w:color w:val="000000"/>
                <w:sz w:val="22"/>
                <w:szCs w:val="22"/>
                <w:lang w:val="en-US"/>
              </w:rPr>
              <w:t xml:space="preserve">Differential RTD </w:t>
            </w:r>
            <w:r w:rsidR="0072104E">
              <w:rPr>
                <w:rFonts w:ascii="Aptos" w:hAnsi="Aptos"/>
                <w:color w:val="000000"/>
                <w:sz w:val="22"/>
                <w:szCs w:val="22"/>
                <w:lang w:val="en-US"/>
              </w:rPr>
              <w:t xml:space="preserve">- Cross-Track </w:t>
            </w:r>
            <w:r>
              <w:rPr>
                <w:rFonts w:ascii="Aptos" w:hAnsi="Aptos"/>
                <w:color w:val="000000"/>
                <w:sz w:val="22"/>
                <w:szCs w:val="22"/>
                <w:lang w:val="en-US"/>
              </w:rPr>
              <w:t>(Azimuth = 90°)</w:t>
            </w:r>
          </w:p>
        </w:tc>
      </w:tr>
      <w:tr w:rsidR="004008C0" w14:paraId="267EF85D" w14:textId="77777777" w:rsidTr="004008C0">
        <w:trPr>
          <w:trHeight w:val="285"/>
          <w:jc w:val="center"/>
        </w:trPr>
        <w:tc>
          <w:tcPr>
            <w:tcW w:w="812" w:type="dxa"/>
            <w:tcBorders>
              <w:top w:val="nil"/>
              <w:left w:val="single" w:sz="4" w:space="0" w:color="auto"/>
              <w:bottom w:val="single" w:sz="4" w:space="0" w:color="auto"/>
              <w:right w:val="single" w:sz="4" w:space="0" w:color="auto"/>
            </w:tcBorders>
            <w:noWrap/>
            <w:vAlign w:val="center"/>
            <w:hideMark/>
          </w:tcPr>
          <w:p w14:paraId="2FA070A8" w14:textId="77777777" w:rsidR="004008C0" w:rsidRDefault="004008C0">
            <w:pPr>
              <w:rPr>
                <w:rFonts w:ascii="Aptos" w:hAnsi="Aptos"/>
                <w:color w:val="000000"/>
                <w:sz w:val="22"/>
                <w:szCs w:val="22"/>
              </w:rPr>
            </w:pPr>
            <w:r>
              <w:rPr>
                <w:rFonts w:ascii="Aptos" w:hAnsi="Aptos"/>
                <w:color w:val="000000"/>
                <w:sz w:val="22"/>
                <w:szCs w:val="22"/>
              </w:rPr>
              <w:t xml:space="preserve">θ (deg) </w:t>
            </w:r>
          </w:p>
        </w:tc>
        <w:tc>
          <w:tcPr>
            <w:tcW w:w="798" w:type="dxa"/>
            <w:tcBorders>
              <w:top w:val="nil"/>
              <w:left w:val="nil"/>
              <w:bottom w:val="single" w:sz="4" w:space="0" w:color="auto"/>
              <w:right w:val="single" w:sz="4" w:space="0" w:color="auto"/>
            </w:tcBorders>
            <w:noWrap/>
            <w:vAlign w:val="bottom"/>
            <w:hideMark/>
          </w:tcPr>
          <w:p w14:paraId="390EAB2F"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1 km </w:t>
            </w:r>
          </w:p>
        </w:tc>
        <w:tc>
          <w:tcPr>
            <w:tcW w:w="883" w:type="dxa"/>
            <w:tcBorders>
              <w:top w:val="nil"/>
              <w:left w:val="nil"/>
              <w:bottom w:val="single" w:sz="4" w:space="0" w:color="auto"/>
              <w:right w:val="single" w:sz="4" w:space="0" w:color="auto"/>
            </w:tcBorders>
            <w:noWrap/>
            <w:vAlign w:val="bottom"/>
            <w:hideMark/>
          </w:tcPr>
          <w:p w14:paraId="02C9EEDD"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10 km </w:t>
            </w:r>
          </w:p>
        </w:tc>
        <w:tc>
          <w:tcPr>
            <w:tcW w:w="883" w:type="dxa"/>
            <w:tcBorders>
              <w:top w:val="nil"/>
              <w:left w:val="nil"/>
              <w:bottom w:val="single" w:sz="4" w:space="0" w:color="auto"/>
              <w:right w:val="single" w:sz="4" w:space="0" w:color="auto"/>
            </w:tcBorders>
            <w:noWrap/>
            <w:vAlign w:val="bottom"/>
            <w:hideMark/>
          </w:tcPr>
          <w:p w14:paraId="17DD3E06"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15 km </w:t>
            </w:r>
          </w:p>
        </w:tc>
        <w:tc>
          <w:tcPr>
            <w:tcW w:w="883" w:type="dxa"/>
            <w:tcBorders>
              <w:top w:val="nil"/>
              <w:left w:val="nil"/>
              <w:bottom w:val="single" w:sz="4" w:space="0" w:color="auto"/>
              <w:right w:val="single" w:sz="4" w:space="0" w:color="auto"/>
            </w:tcBorders>
            <w:noWrap/>
            <w:vAlign w:val="bottom"/>
            <w:hideMark/>
          </w:tcPr>
          <w:p w14:paraId="1DA12654"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20 km </w:t>
            </w:r>
          </w:p>
        </w:tc>
        <w:tc>
          <w:tcPr>
            <w:tcW w:w="883" w:type="dxa"/>
            <w:tcBorders>
              <w:top w:val="nil"/>
              <w:left w:val="nil"/>
              <w:bottom w:val="single" w:sz="4" w:space="0" w:color="auto"/>
              <w:right w:val="single" w:sz="4" w:space="0" w:color="auto"/>
            </w:tcBorders>
            <w:noWrap/>
            <w:vAlign w:val="bottom"/>
            <w:hideMark/>
          </w:tcPr>
          <w:p w14:paraId="4A482D32"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25 km </w:t>
            </w:r>
          </w:p>
        </w:tc>
        <w:tc>
          <w:tcPr>
            <w:tcW w:w="819" w:type="dxa"/>
            <w:tcBorders>
              <w:top w:val="nil"/>
              <w:left w:val="nil"/>
              <w:bottom w:val="single" w:sz="4" w:space="0" w:color="auto"/>
              <w:right w:val="single" w:sz="4" w:space="0" w:color="auto"/>
            </w:tcBorders>
            <w:noWrap/>
            <w:vAlign w:val="bottom"/>
            <w:hideMark/>
          </w:tcPr>
          <w:p w14:paraId="4DFAB858" w14:textId="77777777" w:rsidR="004008C0" w:rsidRDefault="004008C0">
            <w:pPr>
              <w:rPr>
                <w:rFonts w:ascii="Aptos Narrow" w:hAnsi="Aptos Narrow"/>
                <w:color w:val="000000"/>
                <w:sz w:val="22"/>
                <w:szCs w:val="22"/>
              </w:rPr>
            </w:pPr>
            <w:r>
              <w:rPr>
                <w:rFonts w:ascii="Aptos Narrow" w:hAnsi="Aptos Narrow"/>
                <w:color w:val="000000"/>
                <w:sz w:val="22"/>
                <w:szCs w:val="22"/>
              </w:rPr>
              <w:t>100 km</w:t>
            </w:r>
          </w:p>
        </w:tc>
      </w:tr>
      <w:tr w:rsidR="004008C0" w14:paraId="68A19075" w14:textId="77777777" w:rsidTr="004008C0">
        <w:trPr>
          <w:trHeight w:val="285"/>
          <w:jc w:val="center"/>
        </w:trPr>
        <w:tc>
          <w:tcPr>
            <w:tcW w:w="812" w:type="dxa"/>
            <w:tcBorders>
              <w:top w:val="nil"/>
              <w:left w:val="single" w:sz="4" w:space="0" w:color="auto"/>
              <w:bottom w:val="single" w:sz="4" w:space="0" w:color="auto"/>
              <w:right w:val="single" w:sz="4" w:space="0" w:color="auto"/>
            </w:tcBorders>
            <w:noWrap/>
            <w:vAlign w:val="center"/>
            <w:hideMark/>
          </w:tcPr>
          <w:p w14:paraId="700ACCF1" w14:textId="77777777" w:rsidR="004008C0" w:rsidRDefault="004008C0">
            <w:pPr>
              <w:rPr>
                <w:rFonts w:ascii="Aptos" w:hAnsi="Aptos"/>
                <w:color w:val="000000"/>
                <w:sz w:val="22"/>
                <w:szCs w:val="22"/>
              </w:rPr>
            </w:pPr>
            <w:r>
              <w:rPr>
                <w:rFonts w:ascii="Aptos" w:hAnsi="Aptos"/>
                <w:color w:val="000000"/>
                <w:sz w:val="22"/>
                <w:szCs w:val="22"/>
              </w:rPr>
              <w:t xml:space="preserve">   90   </w:t>
            </w:r>
          </w:p>
        </w:tc>
        <w:tc>
          <w:tcPr>
            <w:tcW w:w="798" w:type="dxa"/>
            <w:tcBorders>
              <w:top w:val="nil"/>
              <w:left w:val="nil"/>
              <w:bottom w:val="single" w:sz="4" w:space="0" w:color="auto"/>
              <w:right w:val="single" w:sz="4" w:space="0" w:color="auto"/>
            </w:tcBorders>
            <w:noWrap/>
            <w:vAlign w:val="bottom"/>
            <w:hideMark/>
          </w:tcPr>
          <w:p w14:paraId="69652C7D"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0.34 </w:t>
            </w:r>
          </w:p>
        </w:tc>
        <w:tc>
          <w:tcPr>
            <w:tcW w:w="883" w:type="dxa"/>
            <w:tcBorders>
              <w:top w:val="nil"/>
              <w:left w:val="nil"/>
              <w:bottom w:val="single" w:sz="4" w:space="0" w:color="auto"/>
              <w:right w:val="single" w:sz="4" w:space="0" w:color="auto"/>
            </w:tcBorders>
            <w:noWrap/>
            <w:vAlign w:val="bottom"/>
            <w:hideMark/>
          </w:tcPr>
          <w:p w14:paraId="6968A9D3"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3.36 </w:t>
            </w:r>
          </w:p>
        </w:tc>
        <w:tc>
          <w:tcPr>
            <w:tcW w:w="883" w:type="dxa"/>
            <w:tcBorders>
              <w:top w:val="nil"/>
              <w:left w:val="nil"/>
              <w:bottom w:val="single" w:sz="4" w:space="0" w:color="auto"/>
              <w:right w:val="single" w:sz="4" w:space="0" w:color="auto"/>
            </w:tcBorders>
            <w:noWrap/>
            <w:vAlign w:val="bottom"/>
            <w:hideMark/>
          </w:tcPr>
          <w:p w14:paraId="6F47EB80"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5.04 </w:t>
            </w:r>
          </w:p>
        </w:tc>
        <w:tc>
          <w:tcPr>
            <w:tcW w:w="883" w:type="dxa"/>
            <w:tcBorders>
              <w:top w:val="nil"/>
              <w:left w:val="nil"/>
              <w:bottom w:val="single" w:sz="4" w:space="0" w:color="auto"/>
              <w:right w:val="single" w:sz="4" w:space="0" w:color="auto"/>
            </w:tcBorders>
            <w:noWrap/>
            <w:vAlign w:val="bottom"/>
            <w:hideMark/>
          </w:tcPr>
          <w:p w14:paraId="35228443"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6.72 </w:t>
            </w:r>
          </w:p>
        </w:tc>
        <w:tc>
          <w:tcPr>
            <w:tcW w:w="883" w:type="dxa"/>
            <w:tcBorders>
              <w:top w:val="nil"/>
              <w:left w:val="nil"/>
              <w:bottom w:val="single" w:sz="4" w:space="0" w:color="auto"/>
              <w:right w:val="single" w:sz="4" w:space="0" w:color="auto"/>
            </w:tcBorders>
            <w:noWrap/>
            <w:vAlign w:val="bottom"/>
            <w:hideMark/>
          </w:tcPr>
          <w:p w14:paraId="0838D470"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8.39 </w:t>
            </w:r>
          </w:p>
        </w:tc>
        <w:tc>
          <w:tcPr>
            <w:tcW w:w="819" w:type="dxa"/>
            <w:tcBorders>
              <w:top w:val="nil"/>
              <w:left w:val="nil"/>
              <w:bottom w:val="single" w:sz="4" w:space="0" w:color="auto"/>
              <w:right w:val="single" w:sz="4" w:space="0" w:color="auto"/>
            </w:tcBorders>
            <w:noWrap/>
            <w:vAlign w:val="bottom"/>
            <w:hideMark/>
          </w:tcPr>
          <w:p w14:paraId="073A74DA" w14:textId="77777777" w:rsidR="004008C0" w:rsidRDefault="004008C0">
            <w:pPr>
              <w:rPr>
                <w:rFonts w:ascii="Aptos Narrow" w:hAnsi="Aptos Narrow"/>
                <w:color w:val="000000"/>
                <w:sz w:val="22"/>
                <w:szCs w:val="22"/>
              </w:rPr>
            </w:pPr>
            <w:r>
              <w:rPr>
                <w:rFonts w:ascii="Aptos Narrow" w:hAnsi="Aptos Narrow"/>
                <w:color w:val="000000"/>
                <w:sz w:val="22"/>
                <w:szCs w:val="22"/>
              </w:rPr>
              <w:t>33.10</w:t>
            </w:r>
          </w:p>
        </w:tc>
      </w:tr>
      <w:tr w:rsidR="004008C0" w14:paraId="46703D66" w14:textId="77777777" w:rsidTr="004008C0">
        <w:trPr>
          <w:trHeight w:val="285"/>
          <w:jc w:val="center"/>
        </w:trPr>
        <w:tc>
          <w:tcPr>
            <w:tcW w:w="812" w:type="dxa"/>
            <w:tcBorders>
              <w:top w:val="nil"/>
              <w:left w:val="single" w:sz="4" w:space="0" w:color="auto"/>
              <w:bottom w:val="single" w:sz="4" w:space="0" w:color="auto"/>
              <w:right w:val="single" w:sz="4" w:space="0" w:color="auto"/>
            </w:tcBorders>
            <w:noWrap/>
            <w:vAlign w:val="center"/>
            <w:hideMark/>
          </w:tcPr>
          <w:p w14:paraId="192FBA5D" w14:textId="77777777" w:rsidR="004008C0" w:rsidRDefault="004008C0">
            <w:pPr>
              <w:rPr>
                <w:rFonts w:ascii="Aptos" w:hAnsi="Aptos"/>
                <w:color w:val="000000"/>
                <w:sz w:val="22"/>
                <w:szCs w:val="22"/>
              </w:rPr>
            </w:pPr>
            <w:r>
              <w:rPr>
                <w:rFonts w:ascii="Aptos" w:hAnsi="Aptos"/>
                <w:color w:val="000000"/>
                <w:sz w:val="22"/>
                <w:szCs w:val="22"/>
              </w:rPr>
              <w:t xml:space="preserve">   75   </w:t>
            </w:r>
          </w:p>
        </w:tc>
        <w:tc>
          <w:tcPr>
            <w:tcW w:w="798" w:type="dxa"/>
            <w:tcBorders>
              <w:top w:val="nil"/>
              <w:left w:val="nil"/>
              <w:bottom w:val="single" w:sz="4" w:space="0" w:color="auto"/>
              <w:right w:val="single" w:sz="4" w:space="0" w:color="auto"/>
            </w:tcBorders>
            <w:noWrap/>
            <w:vAlign w:val="bottom"/>
            <w:hideMark/>
          </w:tcPr>
          <w:p w14:paraId="570D3DCD"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0.33 </w:t>
            </w:r>
          </w:p>
        </w:tc>
        <w:tc>
          <w:tcPr>
            <w:tcW w:w="883" w:type="dxa"/>
            <w:tcBorders>
              <w:top w:val="nil"/>
              <w:left w:val="nil"/>
              <w:bottom w:val="single" w:sz="4" w:space="0" w:color="auto"/>
              <w:right w:val="single" w:sz="4" w:space="0" w:color="auto"/>
            </w:tcBorders>
            <w:noWrap/>
            <w:vAlign w:val="bottom"/>
            <w:hideMark/>
          </w:tcPr>
          <w:p w14:paraId="3208CE45"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3.26 </w:t>
            </w:r>
          </w:p>
        </w:tc>
        <w:tc>
          <w:tcPr>
            <w:tcW w:w="883" w:type="dxa"/>
            <w:tcBorders>
              <w:top w:val="nil"/>
              <w:left w:val="nil"/>
              <w:bottom w:val="single" w:sz="4" w:space="0" w:color="auto"/>
              <w:right w:val="single" w:sz="4" w:space="0" w:color="auto"/>
            </w:tcBorders>
            <w:noWrap/>
            <w:vAlign w:val="bottom"/>
            <w:hideMark/>
          </w:tcPr>
          <w:p w14:paraId="16DDFD05"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4.88 </w:t>
            </w:r>
          </w:p>
        </w:tc>
        <w:tc>
          <w:tcPr>
            <w:tcW w:w="883" w:type="dxa"/>
            <w:tcBorders>
              <w:top w:val="nil"/>
              <w:left w:val="nil"/>
              <w:bottom w:val="single" w:sz="4" w:space="0" w:color="auto"/>
              <w:right w:val="single" w:sz="4" w:space="0" w:color="auto"/>
            </w:tcBorders>
            <w:noWrap/>
            <w:vAlign w:val="bottom"/>
            <w:hideMark/>
          </w:tcPr>
          <w:p w14:paraId="5D405506"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6.51 </w:t>
            </w:r>
          </w:p>
        </w:tc>
        <w:tc>
          <w:tcPr>
            <w:tcW w:w="883" w:type="dxa"/>
            <w:tcBorders>
              <w:top w:val="nil"/>
              <w:left w:val="nil"/>
              <w:bottom w:val="single" w:sz="4" w:space="0" w:color="auto"/>
              <w:right w:val="single" w:sz="4" w:space="0" w:color="auto"/>
            </w:tcBorders>
            <w:noWrap/>
            <w:vAlign w:val="bottom"/>
            <w:hideMark/>
          </w:tcPr>
          <w:p w14:paraId="080AA777"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8.13 </w:t>
            </w:r>
          </w:p>
        </w:tc>
        <w:tc>
          <w:tcPr>
            <w:tcW w:w="819" w:type="dxa"/>
            <w:tcBorders>
              <w:top w:val="nil"/>
              <w:left w:val="nil"/>
              <w:bottom w:val="single" w:sz="4" w:space="0" w:color="auto"/>
              <w:right w:val="single" w:sz="4" w:space="0" w:color="auto"/>
            </w:tcBorders>
            <w:noWrap/>
            <w:vAlign w:val="bottom"/>
            <w:hideMark/>
          </w:tcPr>
          <w:p w14:paraId="1BC7435E" w14:textId="77777777" w:rsidR="004008C0" w:rsidRDefault="004008C0">
            <w:pPr>
              <w:rPr>
                <w:rFonts w:ascii="Aptos Narrow" w:hAnsi="Aptos Narrow"/>
                <w:color w:val="000000"/>
                <w:sz w:val="22"/>
                <w:szCs w:val="22"/>
              </w:rPr>
            </w:pPr>
            <w:r>
              <w:rPr>
                <w:rFonts w:ascii="Aptos Narrow" w:hAnsi="Aptos Narrow"/>
                <w:color w:val="000000"/>
                <w:sz w:val="22"/>
                <w:szCs w:val="22"/>
              </w:rPr>
              <w:t>32.10</w:t>
            </w:r>
          </w:p>
        </w:tc>
      </w:tr>
      <w:tr w:rsidR="004008C0" w14:paraId="190EFB6B" w14:textId="77777777" w:rsidTr="004008C0">
        <w:trPr>
          <w:trHeight w:val="285"/>
          <w:jc w:val="center"/>
        </w:trPr>
        <w:tc>
          <w:tcPr>
            <w:tcW w:w="812" w:type="dxa"/>
            <w:tcBorders>
              <w:top w:val="nil"/>
              <w:left w:val="single" w:sz="4" w:space="0" w:color="auto"/>
              <w:bottom w:val="single" w:sz="4" w:space="0" w:color="auto"/>
              <w:right w:val="single" w:sz="4" w:space="0" w:color="auto"/>
            </w:tcBorders>
            <w:noWrap/>
            <w:vAlign w:val="center"/>
            <w:hideMark/>
          </w:tcPr>
          <w:p w14:paraId="5AF03A22" w14:textId="77777777" w:rsidR="004008C0" w:rsidRDefault="004008C0">
            <w:pPr>
              <w:rPr>
                <w:rFonts w:ascii="Aptos" w:hAnsi="Aptos"/>
                <w:color w:val="000000"/>
                <w:sz w:val="22"/>
                <w:szCs w:val="22"/>
              </w:rPr>
            </w:pPr>
            <w:r>
              <w:rPr>
                <w:rFonts w:ascii="Aptos" w:hAnsi="Aptos"/>
                <w:color w:val="000000"/>
                <w:sz w:val="22"/>
                <w:szCs w:val="22"/>
              </w:rPr>
              <w:t xml:space="preserve">   60   </w:t>
            </w:r>
          </w:p>
        </w:tc>
        <w:tc>
          <w:tcPr>
            <w:tcW w:w="798" w:type="dxa"/>
            <w:tcBorders>
              <w:top w:val="nil"/>
              <w:left w:val="nil"/>
              <w:bottom w:val="single" w:sz="4" w:space="0" w:color="auto"/>
              <w:right w:val="single" w:sz="4" w:space="0" w:color="auto"/>
            </w:tcBorders>
            <w:noWrap/>
            <w:vAlign w:val="bottom"/>
            <w:hideMark/>
          </w:tcPr>
          <w:p w14:paraId="4CF32083"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0.30 </w:t>
            </w:r>
          </w:p>
        </w:tc>
        <w:tc>
          <w:tcPr>
            <w:tcW w:w="883" w:type="dxa"/>
            <w:tcBorders>
              <w:top w:val="nil"/>
              <w:left w:val="nil"/>
              <w:bottom w:val="single" w:sz="4" w:space="0" w:color="auto"/>
              <w:right w:val="single" w:sz="4" w:space="0" w:color="auto"/>
            </w:tcBorders>
            <w:noWrap/>
            <w:vAlign w:val="bottom"/>
            <w:hideMark/>
          </w:tcPr>
          <w:p w14:paraId="26332C97"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2.95 </w:t>
            </w:r>
          </w:p>
        </w:tc>
        <w:tc>
          <w:tcPr>
            <w:tcW w:w="883" w:type="dxa"/>
            <w:tcBorders>
              <w:top w:val="nil"/>
              <w:left w:val="nil"/>
              <w:bottom w:val="single" w:sz="4" w:space="0" w:color="auto"/>
              <w:right w:val="single" w:sz="4" w:space="0" w:color="auto"/>
            </w:tcBorders>
            <w:noWrap/>
            <w:vAlign w:val="bottom"/>
            <w:hideMark/>
          </w:tcPr>
          <w:p w14:paraId="14425F05"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4.43 </w:t>
            </w:r>
          </w:p>
        </w:tc>
        <w:tc>
          <w:tcPr>
            <w:tcW w:w="883" w:type="dxa"/>
            <w:tcBorders>
              <w:top w:val="nil"/>
              <w:left w:val="nil"/>
              <w:bottom w:val="single" w:sz="4" w:space="0" w:color="auto"/>
              <w:right w:val="single" w:sz="4" w:space="0" w:color="auto"/>
            </w:tcBorders>
            <w:noWrap/>
            <w:vAlign w:val="bottom"/>
            <w:hideMark/>
          </w:tcPr>
          <w:p w14:paraId="51440534"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5.90 </w:t>
            </w:r>
          </w:p>
        </w:tc>
        <w:tc>
          <w:tcPr>
            <w:tcW w:w="883" w:type="dxa"/>
            <w:tcBorders>
              <w:top w:val="nil"/>
              <w:left w:val="nil"/>
              <w:bottom w:val="single" w:sz="4" w:space="0" w:color="auto"/>
              <w:right w:val="single" w:sz="4" w:space="0" w:color="auto"/>
            </w:tcBorders>
            <w:noWrap/>
            <w:vAlign w:val="bottom"/>
            <w:hideMark/>
          </w:tcPr>
          <w:p w14:paraId="3988732F"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7.37 </w:t>
            </w:r>
          </w:p>
        </w:tc>
        <w:tc>
          <w:tcPr>
            <w:tcW w:w="819" w:type="dxa"/>
            <w:tcBorders>
              <w:top w:val="nil"/>
              <w:left w:val="nil"/>
              <w:bottom w:val="single" w:sz="4" w:space="0" w:color="auto"/>
              <w:right w:val="single" w:sz="4" w:space="0" w:color="auto"/>
            </w:tcBorders>
            <w:noWrap/>
            <w:vAlign w:val="bottom"/>
            <w:hideMark/>
          </w:tcPr>
          <w:p w14:paraId="42B79D01" w14:textId="77777777" w:rsidR="004008C0" w:rsidRDefault="004008C0">
            <w:pPr>
              <w:rPr>
                <w:rFonts w:ascii="Aptos Narrow" w:hAnsi="Aptos Narrow"/>
                <w:color w:val="000000"/>
                <w:sz w:val="22"/>
                <w:szCs w:val="22"/>
              </w:rPr>
            </w:pPr>
            <w:r>
              <w:rPr>
                <w:rFonts w:ascii="Aptos Narrow" w:hAnsi="Aptos Narrow"/>
                <w:color w:val="000000"/>
                <w:sz w:val="22"/>
                <w:szCs w:val="22"/>
              </w:rPr>
              <w:t>29.17</w:t>
            </w:r>
          </w:p>
        </w:tc>
      </w:tr>
      <w:tr w:rsidR="004008C0" w14:paraId="1341CFFF" w14:textId="77777777" w:rsidTr="004008C0">
        <w:trPr>
          <w:trHeight w:val="285"/>
          <w:jc w:val="center"/>
        </w:trPr>
        <w:tc>
          <w:tcPr>
            <w:tcW w:w="812" w:type="dxa"/>
            <w:tcBorders>
              <w:top w:val="nil"/>
              <w:left w:val="single" w:sz="4" w:space="0" w:color="auto"/>
              <w:bottom w:val="single" w:sz="4" w:space="0" w:color="auto"/>
              <w:right w:val="single" w:sz="4" w:space="0" w:color="auto"/>
            </w:tcBorders>
            <w:noWrap/>
            <w:vAlign w:val="center"/>
            <w:hideMark/>
          </w:tcPr>
          <w:p w14:paraId="6ECFF95B" w14:textId="77777777" w:rsidR="004008C0" w:rsidRDefault="004008C0">
            <w:pPr>
              <w:rPr>
                <w:rFonts w:ascii="Aptos" w:hAnsi="Aptos"/>
                <w:color w:val="000000"/>
                <w:sz w:val="22"/>
                <w:szCs w:val="22"/>
              </w:rPr>
            </w:pPr>
            <w:r>
              <w:rPr>
                <w:rFonts w:ascii="Aptos" w:hAnsi="Aptos"/>
                <w:color w:val="000000"/>
                <w:sz w:val="22"/>
                <w:szCs w:val="22"/>
              </w:rPr>
              <w:t xml:space="preserve">   45   </w:t>
            </w:r>
          </w:p>
        </w:tc>
        <w:tc>
          <w:tcPr>
            <w:tcW w:w="798" w:type="dxa"/>
            <w:tcBorders>
              <w:top w:val="nil"/>
              <w:left w:val="nil"/>
              <w:bottom w:val="single" w:sz="4" w:space="0" w:color="auto"/>
              <w:right w:val="single" w:sz="4" w:space="0" w:color="auto"/>
            </w:tcBorders>
            <w:noWrap/>
            <w:vAlign w:val="bottom"/>
            <w:hideMark/>
          </w:tcPr>
          <w:p w14:paraId="3B9E0ED2"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0.25 </w:t>
            </w:r>
          </w:p>
        </w:tc>
        <w:tc>
          <w:tcPr>
            <w:tcW w:w="883" w:type="dxa"/>
            <w:tcBorders>
              <w:top w:val="nil"/>
              <w:left w:val="nil"/>
              <w:bottom w:val="single" w:sz="4" w:space="0" w:color="auto"/>
              <w:right w:val="single" w:sz="4" w:space="0" w:color="auto"/>
            </w:tcBorders>
            <w:noWrap/>
            <w:vAlign w:val="bottom"/>
            <w:hideMark/>
          </w:tcPr>
          <w:p w14:paraId="39AB6462"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2.47 </w:t>
            </w:r>
          </w:p>
        </w:tc>
        <w:tc>
          <w:tcPr>
            <w:tcW w:w="883" w:type="dxa"/>
            <w:tcBorders>
              <w:top w:val="nil"/>
              <w:left w:val="nil"/>
              <w:bottom w:val="single" w:sz="4" w:space="0" w:color="auto"/>
              <w:right w:val="single" w:sz="4" w:space="0" w:color="auto"/>
            </w:tcBorders>
            <w:noWrap/>
            <w:vAlign w:val="bottom"/>
            <w:hideMark/>
          </w:tcPr>
          <w:p w14:paraId="7F36D21F"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3.71 </w:t>
            </w:r>
          </w:p>
        </w:tc>
        <w:tc>
          <w:tcPr>
            <w:tcW w:w="883" w:type="dxa"/>
            <w:tcBorders>
              <w:top w:val="nil"/>
              <w:left w:val="nil"/>
              <w:bottom w:val="single" w:sz="4" w:space="0" w:color="auto"/>
              <w:right w:val="single" w:sz="4" w:space="0" w:color="auto"/>
            </w:tcBorders>
            <w:noWrap/>
            <w:vAlign w:val="bottom"/>
            <w:hideMark/>
          </w:tcPr>
          <w:p w14:paraId="7527FD3F"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4.95 </w:t>
            </w:r>
          </w:p>
        </w:tc>
        <w:tc>
          <w:tcPr>
            <w:tcW w:w="883" w:type="dxa"/>
            <w:tcBorders>
              <w:top w:val="nil"/>
              <w:left w:val="nil"/>
              <w:bottom w:val="single" w:sz="4" w:space="0" w:color="auto"/>
              <w:right w:val="single" w:sz="4" w:space="0" w:color="auto"/>
            </w:tcBorders>
            <w:noWrap/>
            <w:vAlign w:val="bottom"/>
            <w:hideMark/>
          </w:tcPr>
          <w:p w14:paraId="1A2B622F"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6.18 </w:t>
            </w:r>
          </w:p>
        </w:tc>
        <w:tc>
          <w:tcPr>
            <w:tcW w:w="819" w:type="dxa"/>
            <w:tcBorders>
              <w:top w:val="nil"/>
              <w:left w:val="nil"/>
              <w:bottom w:val="single" w:sz="4" w:space="0" w:color="auto"/>
              <w:right w:val="single" w:sz="4" w:space="0" w:color="auto"/>
            </w:tcBorders>
            <w:noWrap/>
            <w:vAlign w:val="bottom"/>
            <w:hideMark/>
          </w:tcPr>
          <w:p w14:paraId="0D626823" w14:textId="77777777" w:rsidR="004008C0" w:rsidRDefault="004008C0">
            <w:pPr>
              <w:rPr>
                <w:rFonts w:ascii="Aptos Narrow" w:hAnsi="Aptos Narrow"/>
                <w:color w:val="000000"/>
                <w:sz w:val="22"/>
                <w:szCs w:val="22"/>
              </w:rPr>
            </w:pPr>
            <w:r>
              <w:rPr>
                <w:rFonts w:ascii="Aptos Narrow" w:hAnsi="Aptos Narrow"/>
                <w:color w:val="000000"/>
                <w:sz w:val="22"/>
                <w:szCs w:val="22"/>
              </w:rPr>
              <w:t>24.54</w:t>
            </w:r>
          </w:p>
        </w:tc>
      </w:tr>
      <w:tr w:rsidR="004008C0" w14:paraId="5B1C6C68" w14:textId="77777777" w:rsidTr="004008C0">
        <w:trPr>
          <w:trHeight w:val="285"/>
          <w:jc w:val="center"/>
        </w:trPr>
        <w:tc>
          <w:tcPr>
            <w:tcW w:w="812" w:type="dxa"/>
            <w:tcBorders>
              <w:top w:val="nil"/>
              <w:left w:val="single" w:sz="4" w:space="0" w:color="auto"/>
              <w:bottom w:val="single" w:sz="4" w:space="0" w:color="auto"/>
              <w:right w:val="single" w:sz="4" w:space="0" w:color="auto"/>
            </w:tcBorders>
            <w:noWrap/>
            <w:vAlign w:val="center"/>
            <w:hideMark/>
          </w:tcPr>
          <w:p w14:paraId="5ED535D6" w14:textId="77777777" w:rsidR="004008C0" w:rsidRDefault="004008C0">
            <w:pPr>
              <w:rPr>
                <w:rFonts w:ascii="Aptos" w:hAnsi="Aptos"/>
                <w:color w:val="000000"/>
                <w:sz w:val="22"/>
                <w:szCs w:val="22"/>
              </w:rPr>
            </w:pPr>
            <w:r>
              <w:rPr>
                <w:rFonts w:ascii="Aptos" w:hAnsi="Aptos"/>
                <w:color w:val="000000"/>
                <w:sz w:val="22"/>
                <w:szCs w:val="22"/>
              </w:rPr>
              <w:t xml:space="preserve">   30   </w:t>
            </w:r>
          </w:p>
        </w:tc>
        <w:tc>
          <w:tcPr>
            <w:tcW w:w="798" w:type="dxa"/>
            <w:tcBorders>
              <w:top w:val="nil"/>
              <w:left w:val="nil"/>
              <w:bottom w:val="single" w:sz="4" w:space="0" w:color="auto"/>
              <w:right w:val="single" w:sz="4" w:space="0" w:color="auto"/>
            </w:tcBorders>
            <w:noWrap/>
            <w:vAlign w:val="bottom"/>
            <w:hideMark/>
          </w:tcPr>
          <w:p w14:paraId="347F4888"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0.19 </w:t>
            </w:r>
          </w:p>
        </w:tc>
        <w:tc>
          <w:tcPr>
            <w:tcW w:w="883" w:type="dxa"/>
            <w:tcBorders>
              <w:top w:val="nil"/>
              <w:left w:val="nil"/>
              <w:bottom w:val="single" w:sz="4" w:space="0" w:color="auto"/>
              <w:right w:val="single" w:sz="4" w:space="0" w:color="auto"/>
            </w:tcBorders>
            <w:noWrap/>
            <w:vAlign w:val="bottom"/>
            <w:hideMark/>
          </w:tcPr>
          <w:p w14:paraId="120E5191"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1.88 </w:t>
            </w:r>
          </w:p>
        </w:tc>
        <w:tc>
          <w:tcPr>
            <w:tcW w:w="883" w:type="dxa"/>
            <w:tcBorders>
              <w:top w:val="nil"/>
              <w:left w:val="nil"/>
              <w:bottom w:val="single" w:sz="4" w:space="0" w:color="auto"/>
              <w:right w:val="single" w:sz="4" w:space="0" w:color="auto"/>
            </w:tcBorders>
            <w:noWrap/>
            <w:vAlign w:val="bottom"/>
            <w:hideMark/>
          </w:tcPr>
          <w:p w14:paraId="4A5BD814"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2.81 </w:t>
            </w:r>
          </w:p>
        </w:tc>
        <w:tc>
          <w:tcPr>
            <w:tcW w:w="883" w:type="dxa"/>
            <w:tcBorders>
              <w:top w:val="nil"/>
              <w:left w:val="nil"/>
              <w:bottom w:val="single" w:sz="4" w:space="0" w:color="auto"/>
              <w:right w:val="single" w:sz="4" w:space="0" w:color="auto"/>
            </w:tcBorders>
            <w:noWrap/>
            <w:vAlign w:val="bottom"/>
            <w:hideMark/>
          </w:tcPr>
          <w:p w14:paraId="407D5E24"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3.75 </w:t>
            </w:r>
          </w:p>
        </w:tc>
        <w:tc>
          <w:tcPr>
            <w:tcW w:w="883" w:type="dxa"/>
            <w:tcBorders>
              <w:top w:val="nil"/>
              <w:left w:val="nil"/>
              <w:bottom w:val="single" w:sz="4" w:space="0" w:color="auto"/>
              <w:right w:val="single" w:sz="4" w:space="0" w:color="auto"/>
            </w:tcBorders>
            <w:noWrap/>
            <w:vAlign w:val="bottom"/>
            <w:hideMark/>
          </w:tcPr>
          <w:p w14:paraId="249173FB" w14:textId="77777777" w:rsidR="004008C0" w:rsidRDefault="004008C0">
            <w:pPr>
              <w:rPr>
                <w:rFonts w:ascii="Aptos Narrow" w:hAnsi="Aptos Narrow"/>
                <w:color w:val="000000"/>
                <w:sz w:val="22"/>
                <w:szCs w:val="22"/>
              </w:rPr>
            </w:pPr>
            <w:r>
              <w:rPr>
                <w:rFonts w:ascii="Aptos Narrow" w:hAnsi="Aptos Narrow"/>
                <w:color w:val="000000"/>
                <w:sz w:val="22"/>
                <w:szCs w:val="22"/>
              </w:rPr>
              <w:t xml:space="preserve">     4.69 </w:t>
            </w:r>
          </w:p>
        </w:tc>
        <w:tc>
          <w:tcPr>
            <w:tcW w:w="819" w:type="dxa"/>
            <w:tcBorders>
              <w:top w:val="nil"/>
              <w:left w:val="nil"/>
              <w:bottom w:val="single" w:sz="4" w:space="0" w:color="auto"/>
              <w:right w:val="single" w:sz="4" w:space="0" w:color="auto"/>
            </w:tcBorders>
            <w:noWrap/>
            <w:vAlign w:val="bottom"/>
            <w:hideMark/>
          </w:tcPr>
          <w:p w14:paraId="7B1B230C" w14:textId="77777777" w:rsidR="004008C0" w:rsidRDefault="004008C0">
            <w:pPr>
              <w:rPr>
                <w:rFonts w:ascii="Aptos Narrow" w:hAnsi="Aptos Narrow"/>
                <w:color w:val="000000"/>
                <w:sz w:val="22"/>
                <w:szCs w:val="22"/>
              </w:rPr>
            </w:pPr>
            <w:r>
              <w:rPr>
                <w:rFonts w:ascii="Aptos Narrow" w:hAnsi="Aptos Narrow"/>
                <w:color w:val="000000"/>
                <w:sz w:val="22"/>
                <w:szCs w:val="22"/>
              </w:rPr>
              <w:t>18.66</w:t>
            </w:r>
          </w:p>
        </w:tc>
      </w:tr>
    </w:tbl>
    <w:p w14:paraId="23B3D5A4" w14:textId="77777777" w:rsidR="004008C0" w:rsidRDefault="004008C0"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5B497ADD" w14:textId="77777777" w:rsidR="004008C0" w:rsidRDefault="004008C0"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1CFC639A" w14:textId="27F79DED" w:rsidR="0072104E" w:rsidRPr="0072104E" w:rsidRDefault="0072104E" w:rsidP="0072104E">
      <w:pPr>
        <w:pStyle w:val="Beschriftung"/>
        <w:keepNext/>
        <w:jc w:val="center"/>
        <w:rPr>
          <w:lang w:val="en-US"/>
        </w:rPr>
      </w:pPr>
      <w:r w:rsidRPr="0072104E">
        <w:rPr>
          <w:lang w:val="en-US"/>
        </w:rPr>
        <w:lastRenderedPageBreak/>
        <w:t xml:space="preserve">Table </w:t>
      </w:r>
      <w:r>
        <w:fldChar w:fldCharType="begin"/>
      </w:r>
      <w:r w:rsidRPr="0072104E">
        <w:rPr>
          <w:lang w:val="en-US"/>
        </w:rPr>
        <w:instrText xml:space="preserve"> SEQ Table \* ARABIC </w:instrText>
      </w:r>
      <w:r>
        <w:fldChar w:fldCharType="separate"/>
      </w:r>
      <w:r w:rsidRPr="0072104E">
        <w:rPr>
          <w:noProof/>
          <w:lang w:val="en-US"/>
        </w:rPr>
        <w:t>3</w:t>
      </w:r>
      <w:r>
        <w:fldChar w:fldCharType="end"/>
      </w:r>
      <w:r w:rsidRPr="0072104E">
        <w:rPr>
          <w:lang w:val="en-US"/>
        </w:rPr>
        <w:t xml:space="preserve"> Differential RTD (KHz) </w:t>
      </w:r>
      <w:r>
        <w:rPr>
          <w:lang w:val="en-US"/>
        </w:rPr>
        <w:t>–</w:t>
      </w:r>
      <w:r w:rsidRPr="0072104E">
        <w:rPr>
          <w:lang w:val="en-US"/>
        </w:rPr>
        <w:t xml:space="preserve"> </w:t>
      </w:r>
      <w:r>
        <w:rPr>
          <w:lang w:val="en-US"/>
        </w:rPr>
        <w:t>Along Track</w:t>
      </w:r>
      <w:r w:rsidRPr="0072104E">
        <w:rPr>
          <w:lang w:val="en-US"/>
        </w:rPr>
        <w:t xml:space="preserve"> with azimuth angle = 0 degrees</w:t>
      </w:r>
    </w:p>
    <w:tbl>
      <w:tblPr>
        <w:tblW w:w="6574" w:type="dxa"/>
        <w:jc w:val="center"/>
        <w:tblCellMar>
          <w:left w:w="70" w:type="dxa"/>
          <w:right w:w="70" w:type="dxa"/>
        </w:tblCellMar>
        <w:tblLook w:val="04A0" w:firstRow="1" w:lastRow="0" w:firstColumn="1" w:lastColumn="0" w:noHBand="0" w:noVBand="1"/>
      </w:tblPr>
      <w:tblGrid>
        <w:gridCol w:w="1271"/>
        <w:gridCol w:w="851"/>
        <w:gridCol w:w="850"/>
        <w:gridCol w:w="851"/>
        <w:gridCol w:w="850"/>
        <w:gridCol w:w="851"/>
        <w:gridCol w:w="1050"/>
      </w:tblGrid>
      <w:tr w:rsidR="0072104E" w:rsidRPr="00240F6F" w14:paraId="49A7272F" w14:textId="77777777" w:rsidTr="0072104E">
        <w:trPr>
          <w:trHeight w:val="285"/>
          <w:jc w:val="center"/>
        </w:trPr>
        <w:tc>
          <w:tcPr>
            <w:tcW w:w="6574" w:type="dxa"/>
            <w:gridSpan w:val="7"/>
            <w:tcBorders>
              <w:top w:val="single" w:sz="4" w:space="0" w:color="auto"/>
              <w:left w:val="single" w:sz="4" w:space="0" w:color="auto"/>
              <w:bottom w:val="single" w:sz="4" w:space="0" w:color="auto"/>
              <w:right w:val="single" w:sz="4" w:space="0" w:color="auto"/>
            </w:tcBorders>
            <w:noWrap/>
            <w:vAlign w:val="center"/>
            <w:hideMark/>
          </w:tcPr>
          <w:p w14:paraId="24F0EC54" w14:textId="77777777" w:rsidR="0072104E" w:rsidRPr="0072104E" w:rsidRDefault="0072104E">
            <w:pPr>
              <w:jc w:val="center"/>
              <w:rPr>
                <w:rFonts w:ascii="Aptos" w:hAnsi="Aptos"/>
                <w:color w:val="000000"/>
                <w:sz w:val="22"/>
                <w:szCs w:val="22"/>
                <w:lang w:val="en-US"/>
              </w:rPr>
            </w:pPr>
            <w:r>
              <w:rPr>
                <w:rFonts w:ascii="Aptos" w:hAnsi="Aptos"/>
                <w:color w:val="000000"/>
                <w:sz w:val="22"/>
                <w:szCs w:val="22"/>
                <w:lang w:val="en-US"/>
              </w:rPr>
              <w:t>  Differential RTD - Along-Track (Azimuth = 0°)</w:t>
            </w:r>
          </w:p>
        </w:tc>
      </w:tr>
      <w:tr w:rsidR="0072104E" w14:paraId="1B79EB7F" w14:textId="77777777" w:rsidTr="0072104E">
        <w:trPr>
          <w:trHeight w:val="285"/>
          <w:jc w:val="center"/>
        </w:trPr>
        <w:tc>
          <w:tcPr>
            <w:tcW w:w="1271" w:type="dxa"/>
            <w:tcBorders>
              <w:top w:val="nil"/>
              <w:left w:val="single" w:sz="4" w:space="0" w:color="auto"/>
              <w:bottom w:val="single" w:sz="4" w:space="0" w:color="auto"/>
              <w:right w:val="single" w:sz="4" w:space="0" w:color="auto"/>
            </w:tcBorders>
            <w:noWrap/>
            <w:vAlign w:val="center"/>
            <w:hideMark/>
          </w:tcPr>
          <w:p w14:paraId="2C9719A8" w14:textId="77777777" w:rsidR="0072104E" w:rsidRDefault="0072104E">
            <w:pPr>
              <w:rPr>
                <w:rFonts w:ascii="Aptos" w:hAnsi="Aptos"/>
                <w:color w:val="000000"/>
                <w:sz w:val="22"/>
                <w:szCs w:val="22"/>
              </w:rPr>
            </w:pPr>
            <w:r>
              <w:rPr>
                <w:rFonts w:ascii="Aptos" w:hAnsi="Aptos"/>
                <w:color w:val="000000"/>
                <w:sz w:val="22"/>
                <w:szCs w:val="22"/>
              </w:rPr>
              <w:t xml:space="preserve">θ (deg) </w:t>
            </w:r>
          </w:p>
        </w:tc>
        <w:tc>
          <w:tcPr>
            <w:tcW w:w="851" w:type="dxa"/>
            <w:tcBorders>
              <w:top w:val="nil"/>
              <w:left w:val="nil"/>
              <w:bottom w:val="single" w:sz="4" w:space="0" w:color="auto"/>
              <w:right w:val="single" w:sz="4" w:space="0" w:color="auto"/>
            </w:tcBorders>
            <w:noWrap/>
            <w:vAlign w:val="bottom"/>
            <w:hideMark/>
          </w:tcPr>
          <w:p w14:paraId="3BC004DE"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1 km </w:t>
            </w:r>
          </w:p>
        </w:tc>
        <w:tc>
          <w:tcPr>
            <w:tcW w:w="850" w:type="dxa"/>
            <w:tcBorders>
              <w:top w:val="nil"/>
              <w:left w:val="nil"/>
              <w:bottom w:val="single" w:sz="4" w:space="0" w:color="auto"/>
              <w:right w:val="single" w:sz="4" w:space="0" w:color="auto"/>
            </w:tcBorders>
            <w:noWrap/>
            <w:vAlign w:val="bottom"/>
            <w:hideMark/>
          </w:tcPr>
          <w:p w14:paraId="50879363"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10 km </w:t>
            </w:r>
          </w:p>
        </w:tc>
        <w:tc>
          <w:tcPr>
            <w:tcW w:w="851" w:type="dxa"/>
            <w:tcBorders>
              <w:top w:val="nil"/>
              <w:left w:val="nil"/>
              <w:bottom w:val="single" w:sz="4" w:space="0" w:color="auto"/>
              <w:right w:val="single" w:sz="4" w:space="0" w:color="auto"/>
            </w:tcBorders>
            <w:noWrap/>
            <w:vAlign w:val="bottom"/>
            <w:hideMark/>
          </w:tcPr>
          <w:p w14:paraId="7C2E1587"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15 km </w:t>
            </w:r>
          </w:p>
        </w:tc>
        <w:tc>
          <w:tcPr>
            <w:tcW w:w="850" w:type="dxa"/>
            <w:tcBorders>
              <w:top w:val="nil"/>
              <w:left w:val="nil"/>
              <w:bottom w:val="single" w:sz="4" w:space="0" w:color="auto"/>
              <w:right w:val="single" w:sz="4" w:space="0" w:color="auto"/>
            </w:tcBorders>
            <w:noWrap/>
            <w:vAlign w:val="bottom"/>
            <w:hideMark/>
          </w:tcPr>
          <w:p w14:paraId="0EFCD0B6"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20 km </w:t>
            </w:r>
          </w:p>
        </w:tc>
        <w:tc>
          <w:tcPr>
            <w:tcW w:w="851" w:type="dxa"/>
            <w:tcBorders>
              <w:top w:val="nil"/>
              <w:left w:val="nil"/>
              <w:bottom w:val="single" w:sz="4" w:space="0" w:color="auto"/>
              <w:right w:val="single" w:sz="4" w:space="0" w:color="auto"/>
            </w:tcBorders>
            <w:noWrap/>
            <w:vAlign w:val="bottom"/>
            <w:hideMark/>
          </w:tcPr>
          <w:p w14:paraId="13DF828D"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25 km </w:t>
            </w:r>
          </w:p>
        </w:tc>
        <w:tc>
          <w:tcPr>
            <w:tcW w:w="1050" w:type="dxa"/>
            <w:tcBorders>
              <w:top w:val="nil"/>
              <w:left w:val="nil"/>
              <w:bottom w:val="single" w:sz="4" w:space="0" w:color="auto"/>
              <w:right w:val="single" w:sz="4" w:space="0" w:color="auto"/>
            </w:tcBorders>
            <w:noWrap/>
            <w:vAlign w:val="bottom"/>
            <w:hideMark/>
          </w:tcPr>
          <w:p w14:paraId="00A02A0D"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100 km </w:t>
            </w:r>
          </w:p>
        </w:tc>
      </w:tr>
      <w:tr w:rsidR="0072104E" w14:paraId="3A37039E" w14:textId="77777777" w:rsidTr="0072104E">
        <w:trPr>
          <w:trHeight w:val="285"/>
          <w:jc w:val="center"/>
        </w:trPr>
        <w:tc>
          <w:tcPr>
            <w:tcW w:w="1271" w:type="dxa"/>
            <w:tcBorders>
              <w:top w:val="nil"/>
              <w:left w:val="single" w:sz="4" w:space="0" w:color="auto"/>
              <w:bottom w:val="single" w:sz="4" w:space="0" w:color="auto"/>
              <w:right w:val="single" w:sz="4" w:space="0" w:color="auto"/>
            </w:tcBorders>
            <w:noWrap/>
            <w:vAlign w:val="center"/>
            <w:hideMark/>
          </w:tcPr>
          <w:p w14:paraId="2F4C3883" w14:textId="77777777" w:rsidR="0072104E" w:rsidRDefault="0072104E">
            <w:pPr>
              <w:rPr>
                <w:rFonts w:ascii="Aptos" w:hAnsi="Aptos"/>
                <w:color w:val="000000"/>
                <w:sz w:val="22"/>
                <w:szCs w:val="22"/>
              </w:rPr>
            </w:pPr>
            <w:r>
              <w:rPr>
                <w:rFonts w:ascii="Aptos" w:hAnsi="Aptos"/>
                <w:color w:val="000000"/>
                <w:sz w:val="22"/>
                <w:szCs w:val="22"/>
              </w:rPr>
              <w:t xml:space="preserve">   90   </w:t>
            </w:r>
          </w:p>
        </w:tc>
        <w:tc>
          <w:tcPr>
            <w:tcW w:w="851" w:type="dxa"/>
            <w:tcBorders>
              <w:top w:val="nil"/>
              <w:left w:val="nil"/>
              <w:bottom w:val="single" w:sz="4" w:space="0" w:color="auto"/>
              <w:right w:val="single" w:sz="4" w:space="0" w:color="auto"/>
            </w:tcBorders>
            <w:noWrap/>
            <w:vAlign w:val="bottom"/>
            <w:hideMark/>
          </w:tcPr>
          <w:p w14:paraId="1A20C29C"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0.34 </w:t>
            </w:r>
          </w:p>
        </w:tc>
        <w:tc>
          <w:tcPr>
            <w:tcW w:w="850" w:type="dxa"/>
            <w:tcBorders>
              <w:top w:val="nil"/>
              <w:left w:val="nil"/>
              <w:bottom w:val="single" w:sz="4" w:space="0" w:color="auto"/>
              <w:right w:val="single" w:sz="4" w:space="0" w:color="auto"/>
            </w:tcBorders>
            <w:noWrap/>
            <w:vAlign w:val="bottom"/>
            <w:hideMark/>
          </w:tcPr>
          <w:p w14:paraId="75D6A1AA"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3.36 </w:t>
            </w:r>
          </w:p>
        </w:tc>
        <w:tc>
          <w:tcPr>
            <w:tcW w:w="851" w:type="dxa"/>
            <w:tcBorders>
              <w:top w:val="nil"/>
              <w:left w:val="nil"/>
              <w:bottom w:val="single" w:sz="4" w:space="0" w:color="auto"/>
              <w:right w:val="single" w:sz="4" w:space="0" w:color="auto"/>
            </w:tcBorders>
            <w:noWrap/>
            <w:vAlign w:val="bottom"/>
            <w:hideMark/>
          </w:tcPr>
          <w:p w14:paraId="4604E7C9"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5.04 </w:t>
            </w:r>
          </w:p>
        </w:tc>
        <w:tc>
          <w:tcPr>
            <w:tcW w:w="850" w:type="dxa"/>
            <w:tcBorders>
              <w:top w:val="nil"/>
              <w:left w:val="nil"/>
              <w:bottom w:val="single" w:sz="4" w:space="0" w:color="auto"/>
              <w:right w:val="single" w:sz="4" w:space="0" w:color="auto"/>
            </w:tcBorders>
            <w:noWrap/>
            <w:vAlign w:val="bottom"/>
            <w:hideMark/>
          </w:tcPr>
          <w:p w14:paraId="453CF757"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6.72 </w:t>
            </w:r>
          </w:p>
        </w:tc>
        <w:tc>
          <w:tcPr>
            <w:tcW w:w="851" w:type="dxa"/>
            <w:tcBorders>
              <w:top w:val="nil"/>
              <w:left w:val="nil"/>
              <w:bottom w:val="single" w:sz="4" w:space="0" w:color="auto"/>
              <w:right w:val="single" w:sz="4" w:space="0" w:color="auto"/>
            </w:tcBorders>
            <w:noWrap/>
            <w:vAlign w:val="bottom"/>
            <w:hideMark/>
          </w:tcPr>
          <w:p w14:paraId="4EE99EF8"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8.39 </w:t>
            </w:r>
          </w:p>
        </w:tc>
        <w:tc>
          <w:tcPr>
            <w:tcW w:w="1050" w:type="dxa"/>
            <w:tcBorders>
              <w:top w:val="nil"/>
              <w:left w:val="nil"/>
              <w:bottom w:val="single" w:sz="4" w:space="0" w:color="auto"/>
              <w:right w:val="single" w:sz="4" w:space="0" w:color="auto"/>
            </w:tcBorders>
            <w:noWrap/>
            <w:vAlign w:val="bottom"/>
            <w:hideMark/>
          </w:tcPr>
          <w:p w14:paraId="73846C2E"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33.14 </w:t>
            </w:r>
          </w:p>
        </w:tc>
      </w:tr>
      <w:tr w:rsidR="0072104E" w14:paraId="376049D2" w14:textId="77777777" w:rsidTr="0072104E">
        <w:trPr>
          <w:trHeight w:val="285"/>
          <w:jc w:val="center"/>
        </w:trPr>
        <w:tc>
          <w:tcPr>
            <w:tcW w:w="1271" w:type="dxa"/>
            <w:tcBorders>
              <w:top w:val="nil"/>
              <w:left w:val="single" w:sz="4" w:space="0" w:color="auto"/>
              <w:bottom w:val="single" w:sz="4" w:space="0" w:color="auto"/>
              <w:right w:val="single" w:sz="4" w:space="0" w:color="auto"/>
            </w:tcBorders>
            <w:noWrap/>
            <w:vAlign w:val="center"/>
            <w:hideMark/>
          </w:tcPr>
          <w:p w14:paraId="6B92953E" w14:textId="77777777" w:rsidR="0072104E" w:rsidRDefault="0072104E">
            <w:pPr>
              <w:rPr>
                <w:rFonts w:ascii="Aptos" w:hAnsi="Aptos"/>
                <w:color w:val="000000"/>
                <w:sz w:val="22"/>
                <w:szCs w:val="22"/>
              </w:rPr>
            </w:pPr>
            <w:r>
              <w:rPr>
                <w:rFonts w:ascii="Aptos" w:hAnsi="Aptos"/>
                <w:color w:val="000000"/>
                <w:sz w:val="22"/>
                <w:szCs w:val="22"/>
              </w:rPr>
              <w:t xml:space="preserve">   75   </w:t>
            </w:r>
          </w:p>
        </w:tc>
        <w:tc>
          <w:tcPr>
            <w:tcW w:w="851" w:type="dxa"/>
            <w:tcBorders>
              <w:top w:val="nil"/>
              <w:left w:val="nil"/>
              <w:bottom w:val="single" w:sz="4" w:space="0" w:color="auto"/>
              <w:right w:val="single" w:sz="4" w:space="0" w:color="auto"/>
            </w:tcBorders>
            <w:noWrap/>
            <w:vAlign w:val="bottom"/>
            <w:hideMark/>
          </w:tcPr>
          <w:p w14:paraId="71746B59"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0.31 </w:t>
            </w:r>
          </w:p>
        </w:tc>
        <w:tc>
          <w:tcPr>
            <w:tcW w:w="850" w:type="dxa"/>
            <w:tcBorders>
              <w:top w:val="nil"/>
              <w:left w:val="nil"/>
              <w:bottom w:val="single" w:sz="4" w:space="0" w:color="auto"/>
              <w:right w:val="single" w:sz="4" w:space="0" w:color="auto"/>
            </w:tcBorders>
            <w:noWrap/>
            <w:vAlign w:val="bottom"/>
            <w:hideMark/>
          </w:tcPr>
          <w:p w14:paraId="1A47310B"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3.06 </w:t>
            </w:r>
          </w:p>
        </w:tc>
        <w:tc>
          <w:tcPr>
            <w:tcW w:w="851" w:type="dxa"/>
            <w:tcBorders>
              <w:top w:val="nil"/>
              <w:left w:val="nil"/>
              <w:bottom w:val="single" w:sz="4" w:space="0" w:color="auto"/>
              <w:right w:val="single" w:sz="4" w:space="0" w:color="auto"/>
            </w:tcBorders>
            <w:noWrap/>
            <w:vAlign w:val="bottom"/>
            <w:hideMark/>
          </w:tcPr>
          <w:p w14:paraId="38312247"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4.58 </w:t>
            </w:r>
          </w:p>
        </w:tc>
        <w:tc>
          <w:tcPr>
            <w:tcW w:w="850" w:type="dxa"/>
            <w:tcBorders>
              <w:top w:val="nil"/>
              <w:left w:val="nil"/>
              <w:bottom w:val="single" w:sz="4" w:space="0" w:color="auto"/>
              <w:right w:val="single" w:sz="4" w:space="0" w:color="auto"/>
            </w:tcBorders>
            <w:noWrap/>
            <w:vAlign w:val="bottom"/>
            <w:hideMark/>
          </w:tcPr>
          <w:p w14:paraId="4FFCC8DF"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6.11 </w:t>
            </w:r>
          </w:p>
        </w:tc>
        <w:tc>
          <w:tcPr>
            <w:tcW w:w="851" w:type="dxa"/>
            <w:tcBorders>
              <w:top w:val="nil"/>
              <w:left w:val="nil"/>
              <w:bottom w:val="single" w:sz="4" w:space="0" w:color="auto"/>
              <w:right w:val="single" w:sz="4" w:space="0" w:color="auto"/>
            </w:tcBorders>
            <w:noWrap/>
            <w:vAlign w:val="bottom"/>
            <w:hideMark/>
          </w:tcPr>
          <w:p w14:paraId="2FB2ED00"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7.63 </w:t>
            </w:r>
          </w:p>
        </w:tc>
        <w:tc>
          <w:tcPr>
            <w:tcW w:w="1050" w:type="dxa"/>
            <w:tcBorders>
              <w:top w:val="nil"/>
              <w:left w:val="nil"/>
              <w:bottom w:val="single" w:sz="4" w:space="0" w:color="auto"/>
              <w:right w:val="single" w:sz="4" w:space="0" w:color="auto"/>
            </w:tcBorders>
            <w:noWrap/>
            <w:vAlign w:val="bottom"/>
            <w:hideMark/>
          </w:tcPr>
          <w:p w14:paraId="7E3AF89B"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30.25 </w:t>
            </w:r>
          </w:p>
        </w:tc>
      </w:tr>
      <w:tr w:rsidR="0072104E" w14:paraId="430906F3" w14:textId="77777777" w:rsidTr="0072104E">
        <w:trPr>
          <w:trHeight w:val="285"/>
          <w:jc w:val="center"/>
        </w:trPr>
        <w:tc>
          <w:tcPr>
            <w:tcW w:w="1271" w:type="dxa"/>
            <w:tcBorders>
              <w:top w:val="nil"/>
              <w:left w:val="single" w:sz="4" w:space="0" w:color="auto"/>
              <w:bottom w:val="single" w:sz="4" w:space="0" w:color="auto"/>
              <w:right w:val="single" w:sz="4" w:space="0" w:color="auto"/>
            </w:tcBorders>
            <w:noWrap/>
            <w:vAlign w:val="center"/>
            <w:hideMark/>
          </w:tcPr>
          <w:p w14:paraId="03FCCC58" w14:textId="77777777" w:rsidR="0072104E" w:rsidRDefault="0072104E">
            <w:pPr>
              <w:rPr>
                <w:rFonts w:ascii="Aptos" w:hAnsi="Aptos"/>
                <w:color w:val="000000"/>
                <w:sz w:val="22"/>
                <w:szCs w:val="22"/>
              </w:rPr>
            </w:pPr>
            <w:r>
              <w:rPr>
                <w:rFonts w:ascii="Aptos" w:hAnsi="Aptos"/>
                <w:color w:val="000000"/>
                <w:sz w:val="22"/>
                <w:szCs w:val="22"/>
              </w:rPr>
              <w:t xml:space="preserve">   60   </w:t>
            </w:r>
          </w:p>
        </w:tc>
        <w:tc>
          <w:tcPr>
            <w:tcW w:w="851" w:type="dxa"/>
            <w:tcBorders>
              <w:top w:val="nil"/>
              <w:left w:val="nil"/>
              <w:bottom w:val="single" w:sz="4" w:space="0" w:color="auto"/>
              <w:right w:val="single" w:sz="4" w:space="0" w:color="auto"/>
            </w:tcBorders>
            <w:noWrap/>
            <w:vAlign w:val="bottom"/>
            <w:hideMark/>
          </w:tcPr>
          <w:p w14:paraId="1437F149"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0.23 </w:t>
            </w:r>
          </w:p>
        </w:tc>
        <w:tc>
          <w:tcPr>
            <w:tcW w:w="850" w:type="dxa"/>
            <w:tcBorders>
              <w:top w:val="nil"/>
              <w:left w:val="nil"/>
              <w:bottom w:val="single" w:sz="4" w:space="0" w:color="auto"/>
              <w:right w:val="single" w:sz="4" w:space="0" w:color="auto"/>
            </w:tcBorders>
            <w:noWrap/>
            <w:vAlign w:val="bottom"/>
            <w:hideMark/>
          </w:tcPr>
          <w:p w14:paraId="41304287"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2.27 </w:t>
            </w:r>
          </w:p>
        </w:tc>
        <w:tc>
          <w:tcPr>
            <w:tcW w:w="851" w:type="dxa"/>
            <w:tcBorders>
              <w:top w:val="nil"/>
              <w:left w:val="nil"/>
              <w:bottom w:val="single" w:sz="4" w:space="0" w:color="auto"/>
              <w:right w:val="single" w:sz="4" w:space="0" w:color="auto"/>
            </w:tcBorders>
            <w:noWrap/>
            <w:vAlign w:val="bottom"/>
            <w:hideMark/>
          </w:tcPr>
          <w:p w14:paraId="73751A0B"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3.41 </w:t>
            </w:r>
          </w:p>
        </w:tc>
        <w:tc>
          <w:tcPr>
            <w:tcW w:w="850" w:type="dxa"/>
            <w:tcBorders>
              <w:top w:val="nil"/>
              <w:left w:val="nil"/>
              <w:bottom w:val="single" w:sz="4" w:space="0" w:color="auto"/>
              <w:right w:val="single" w:sz="4" w:space="0" w:color="auto"/>
            </w:tcBorders>
            <w:noWrap/>
            <w:vAlign w:val="bottom"/>
            <w:hideMark/>
          </w:tcPr>
          <w:p w14:paraId="6E751280"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4.55 </w:t>
            </w:r>
          </w:p>
        </w:tc>
        <w:tc>
          <w:tcPr>
            <w:tcW w:w="851" w:type="dxa"/>
            <w:tcBorders>
              <w:top w:val="nil"/>
              <w:left w:val="nil"/>
              <w:bottom w:val="single" w:sz="4" w:space="0" w:color="auto"/>
              <w:right w:val="single" w:sz="4" w:space="0" w:color="auto"/>
            </w:tcBorders>
            <w:noWrap/>
            <w:vAlign w:val="bottom"/>
            <w:hideMark/>
          </w:tcPr>
          <w:p w14:paraId="1C53B81B"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5.68 </w:t>
            </w:r>
          </w:p>
        </w:tc>
        <w:tc>
          <w:tcPr>
            <w:tcW w:w="1050" w:type="dxa"/>
            <w:tcBorders>
              <w:top w:val="nil"/>
              <w:left w:val="nil"/>
              <w:bottom w:val="single" w:sz="4" w:space="0" w:color="auto"/>
              <w:right w:val="single" w:sz="4" w:space="0" w:color="auto"/>
            </w:tcBorders>
            <w:noWrap/>
            <w:vAlign w:val="bottom"/>
            <w:hideMark/>
          </w:tcPr>
          <w:p w14:paraId="52CAA42C"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22.77 </w:t>
            </w:r>
          </w:p>
        </w:tc>
      </w:tr>
      <w:tr w:rsidR="0072104E" w14:paraId="346DED2B" w14:textId="77777777" w:rsidTr="0072104E">
        <w:trPr>
          <w:trHeight w:val="285"/>
          <w:jc w:val="center"/>
        </w:trPr>
        <w:tc>
          <w:tcPr>
            <w:tcW w:w="1271" w:type="dxa"/>
            <w:tcBorders>
              <w:top w:val="nil"/>
              <w:left w:val="single" w:sz="4" w:space="0" w:color="auto"/>
              <w:bottom w:val="single" w:sz="4" w:space="0" w:color="auto"/>
              <w:right w:val="single" w:sz="4" w:space="0" w:color="auto"/>
            </w:tcBorders>
            <w:noWrap/>
            <w:vAlign w:val="center"/>
            <w:hideMark/>
          </w:tcPr>
          <w:p w14:paraId="4C5C5F62" w14:textId="77777777" w:rsidR="0072104E" w:rsidRDefault="0072104E">
            <w:pPr>
              <w:rPr>
                <w:rFonts w:ascii="Aptos" w:hAnsi="Aptos"/>
                <w:color w:val="000000"/>
                <w:sz w:val="22"/>
                <w:szCs w:val="22"/>
              </w:rPr>
            </w:pPr>
            <w:r>
              <w:rPr>
                <w:rFonts w:ascii="Aptos" w:hAnsi="Aptos"/>
                <w:color w:val="000000"/>
                <w:sz w:val="22"/>
                <w:szCs w:val="22"/>
              </w:rPr>
              <w:t xml:space="preserve">   45   </w:t>
            </w:r>
          </w:p>
        </w:tc>
        <w:tc>
          <w:tcPr>
            <w:tcW w:w="851" w:type="dxa"/>
            <w:tcBorders>
              <w:top w:val="nil"/>
              <w:left w:val="nil"/>
              <w:bottom w:val="single" w:sz="4" w:space="0" w:color="auto"/>
              <w:right w:val="single" w:sz="4" w:space="0" w:color="auto"/>
            </w:tcBorders>
            <w:noWrap/>
            <w:vAlign w:val="bottom"/>
            <w:hideMark/>
          </w:tcPr>
          <w:p w14:paraId="0EC41AE8"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0.13 </w:t>
            </w:r>
          </w:p>
        </w:tc>
        <w:tc>
          <w:tcPr>
            <w:tcW w:w="850" w:type="dxa"/>
            <w:tcBorders>
              <w:top w:val="nil"/>
              <w:left w:val="nil"/>
              <w:bottom w:val="single" w:sz="4" w:space="0" w:color="auto"/>
              <w:right w:val="single" w:sz="4" w:space="0" w:color="auto"/>
            </w:tcBorders>
            <w:noWrap/>
            <w:vAlign w:val="bottom"/>
            <w:hideMark/>
          </w:tcPr>
          <w:p w14:paraId="1448E3C4"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1.34 </w:t>
            </w:r>
          </w:p>
        </w:tc>
        <w:tc>
          <w:tcPr>
            <w:tcW w:w="851" w:type="dxa"/>
            <w:tcBorders>
              <w:top w:val="nil"/>
              <w:left w:val="nil"/>
              <w:bottom w:val="single" w:sz="4" w:space="0" w:color="auto"/>
              <w:right w:val="single" w:sz="4" w:space="0" w:color="auto"/>
            </w:tcBorders>
            <w:noWrap/>
            <w:vAlign w:val="bottom"/>
            <w:hideMark/>
          </w:tcPr>
          <w:p w14:paraId="4B56937E"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2.00 </w:t>
            </w:r>
          </w:p>
        </w:tc>
        <w:tc>
          <w:tcPr>
            <w:tcW w:w="850" w:type="dxa"/>
            <w:tcBorders>
              <w:top w:val="nil"/>
              <w:left w:val="nil"/>
              <w:bottom w:val="single" w:sz="4" w:space="0" w:color="auto"/>
              <w:right w:val="single" w:sz="4" w:space="0" w:color="auto"/>
            </w:tcBorders>
            <w:noWrap/>
            <w:vAlign w:val="bottom"/>
            <w:hideMark/>
          </w:tcPr>
          <w:p w14:paraId="536538F1"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2.67 </w:t>
            </w:r>
          </w:p>
        </w:tc>
        <w:tc>
          <w:tcPr>
            <w:tcW w:w="851" w:type="dxa"/>
            <w:tcBorders>
              <w:top w:val="nil"/>
              <w:left w:val="nil"/>
              <w:bottom w:val="single" w:sz="4" w:space="0" w:color="auto"/>
              <w:right w:val="single" w:sz="4" w:space="0" w:color="auto"/>
            </w:tcBorders>
            <w:noWrap/>
            <w:vAlign w:val="bottom"/>
            <w:hideMark/>
          </w:tcPr>
          <w:p w14:paraId="6D464C2A"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3.34 </w:t>
            </w:r>
          </w:p>
        </w:tc>
        <w:tc>
          <w:tcPr>
            <w:tcW w:w="1050" w:type="dxa"/>
            <w:tcBorders>
              <w:top w:val="nil"/>
              <w:left w:val="nil"/>
              <w:bottom w:val="single" w:sz="4" w:space="0" w:color="auto"/>
              <w:right w:val="single" w:sz="4" w:space="0" w:color="auto"/>
            </w:tcBorders>
            <w:noWrap/>
            <w:vAlign w:val="bottom"/>
            <w:hideMark/>
          </w:tcPr>
          <w:p w14:paraId="3CE4E690"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13.49 </w:t>
            </w:r>
          </w:p>
        </w:tc>
      </w:tr>
      <w:tr w:rsidR="0072104E" w14:paraId="5CF9D3A9" w14:textId="77777777" w:rsidTr="0072104E">
        <w:trPr>
          <w:trHeight w:val="285"/>
          <w:jc w:val="center"/>
        </w:trPr>
        <w:tc>
          <w:tcPr>
            <w:tcW w:w="1271" w:type="dxa"/>
            <w:tcBorders>
              <w:top w:val="nil"/>
              <w:left w:val="single" w:sz="4" w:space="0" w:color="auto"/>
              <w:bottom w:val="single" w:sz="4" w:space="0" w:color="auto"/>
              <w:right w:val="single" w:sz="4" w:space="0" w:color="auto"/>
            </w:tcBorders>
            <w:noWrap/>
            <w:vAlign w:val="center"/>
            <w:hideMark/>
          </w:tcPr>
          <w:p w14:paraId="78304FB4" w14:textId="77777777" w:rsidR="0072104E" w:rsidRDefault="0072104E">
            <w:pPr>
              <w:rPr>
                <w:rFonts w:ascii="Aptos" w:hAnsi="Aptos"/>
                <w:color w:val="000000"/>
                <w:sz w:val="22"/>
                <w:szCs w:val="22"/>
              </w:rPr>
            </w:pPr>
            <w:r>
              <w:rPr>
                <w:rFonts w:ascii="Aptos" w:hAnsi="Aptos"/>
                <w:color w:val="000000"/>
                <w:sz w:val="22"/>
                <w:szCs w:val="22"/>
              </w:rPr>
              <w:t xml:space="preserve">   30   </w:t>
            </w:r>
          </w:p>
        </w:tc>
        <w:tc>
          <w:tcPr>
            <w:tcW w:w="851" w:type="dxa"/>
            <w:tcBorders>
              <w:top w:val="nil"/>
              <w:left w:val="nil"/>
              <w:bottom w:val="single" w:sz="4" w:space="0" w:color="auto"/>
              <w:right w:val="single" w:sz="4" w:space="0" w:color="auto"/>
            </w:tcBorders>
            <w:noWrap/>
            <w:vAlign w:val="bottom"/>
            <w:hideMark/>
          </w:tcPr>
          <w:p w14:paraId="706E985C"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0.06 </w:t>
            </w:r>
          </w:p>
        </w:tc>
        <w:tc>
          <w:tcPr>
            <w:tcW w:w="850" w:type="dxa"/>
            <w:tcBorders>
              <w:top w:val="nil"/>
              <w:left w:val="nil"/>
              <w:bottom w:val="single" w:sz="4" w:space="0" w:color="auto"/>
              <w:right w:val="single" w:sz="4" w:space="0" w:color="auto"/>
            </w:tcBorders>
            <w:noWrap/>
            <w:vAlign w:val="bottom"/>
            <w:hideMark/>
          </w:tcPr>
          <w:p w14:paraId="5DD7F7E2"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0.57 </w:t>
            </w:r>
          </w:p>
        </w:tc>
        <w:tc>
          <w:tcPr>
            <w:tcW w:w="851" w:type="dxa"/>
            <w:tcBorders>
              <w:top w:val="nil"/>
              <w:left w:val="nil"/>
              <w:bottom w:val="single" w:sz="4" w:space="0" w:color="auto"/>
              <w:right w:val="single" w:sz="4" w:space="0" w:color="auto"/>
            </w:tcBorders>
            <w:noWrap/>
            <w:vAlign w:val="bottom"/>
            <w:hideMark/>
          </w:tcPr>
          <w:p w14:paraId="414D79AF"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0.86 </w:t>
            </w:r>
          </w:p>
        </w:tc>
        <w:tc>
          <w:tcPr>
            <w:tcW w:w="850" w:type="dxa"/>
            <w:tcBorders>
              <w:top w:val="nil"/>
              <w:left w:val="nil"/>
              <w:bottom w:val="single" w:sz="4" w:space="0" w:color="auto"/>
              <w:right w:val="single" w:sz="4" w:space="0" w:color="auto"/>
            </w:tcBorders>
            <w:noWrap/>
            <w:vAlign w:val="bottom"/>
            <w:hideMark/>
          </w:tcPr>
          <w:p w14:paraId="54420D95"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1.15 </w:t>
            </w:r>
          </w:p>
        </w:tc>
        <w:tc>
          <w:tcPr>
            <w:tcW w:w="851" w:type="dxa"/>
            <w:tcBorders>
              <w:top w:val="nil"/>
              <w:left w:val="nil"/>
              <w:bottom w:val="single" w:sz="4" w:space="0" w:color="auto"/>
              <w:right w:val="single" w:sz="4" w:space="0" w:color="auto"/>
            </w:tcBorders>
            <w:noWrap/>
            <w:vAlign w:val="bottom"/>
            <w:hideMark/>
          </w:tcPr>
          <w:p w14:paraId="050FF343"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1.43 </w:t>
            </w:r>
          </w:p>
        </w:tc>
        <w:tc>
          <w:tcPr>
            <w:tcW w:w="1050" w:type="dxa"/>
            <w:tcBorders>
              <w:top w:val="nil"/>
              <w:left w:val="nil"/>
              <w:bottom w:val="single" w:sz="4" w:space="0" w:color="auto"/>
              <w:right w:val="single" w:sz="4" w:space="0" w:color="auto"/>
            </w:tcBorders>
            <w:noWrap/>
            <w:vAlign w:val="bottom"/>
            <w:hideMark/>
          </w:tcPr>
          <w:p w14:paraId="4FF3F48E" w14:textId="77777777" w:rsidR="0072104E" w:rsidRDefault="0072104E">
            <w:pPr>
              <w:rPr>
                <w:rFonts w:ascii="Aptos Narrow" w:hAnsi="Aptos Narrow"/>
                <w:color w:val="000000"/>
                <w:sz w:val="22"/>
                <w:szCs w:val="22"/>
              </w:rPr>
            </w:pPr>
            <w:r>
              <w:rPr>
                <w:rFonts w:ascii="Aptos Narrow" w:hAnsi="Aptos Narrow"/>
                <w:color w:val="000000"/>
                <w:sz w:val="22"/>
                <w:szCs w:val="22"/>
              </w:rPr>
              <w:t xml:space="preserve">     5.80 </w:t>
            </w:r>
          </w:p>
        </w:tc>
      </w:tr>
    </w:tbl>
    <w:p w14:paraId="36490A0C" w14:textId="77777777" w:rsidR="0072104E" w:rsidRDefault="0072104E"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4832C0B5" w14:textId="76D2C3E7" w:rsidR="00240F6F" w:rsidRDefault="00240F6F"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 xml:space="preserve">As requested in the last RAN1 meeting, an excel sheet is provided with this contribution targeting </w:t>
      </w:r>
      <w:r w:rsidR="005417E0">
        <w:rPr>
          <w:rFonts w:asciiTheme="majorBidi" w:eastAsia="Times New Roman" w:hAnsiTheme="majorBidi" w:cstheme="majorBidi"/>
          <w:sz w:val="24"/>
          <w:szCs w:val="24"/>
          <w:lang w:val="en-GB" w:eastAsia="en-US"/>
        </w:rPr>
        <w:t>a subset of the</w:t>
      </w:r>
      <w:r>
        <w:rPr>
          <w:rFonts w:asciiTheme="majorBidi" w:eastAsia="Times New Roman" w:hAnsiTheme="majorBidi" w:cstheme="majorBidi"/>
          <w:sz w:val="24"/>
          <w:szCs w:val="24"/>
          <w:lang w:val="en-GB" w:eastAsia="en-US"/>
        </w:rPr>
        <w:t xml:space="preserve"> simulation assumptions for scenarios 1 and 2,</w:t>
      </w:r>
    </w:p>
    <w:p w14:paraId="2655929B" w14:textId="77777777" w:rsidR="00240F6F" w:rsidRDefault="00240F6F"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64A5710F" w14:textId="1124B4A4" w:rsidR="0072733D" w:rsidRDefault="00726AD4"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In this contribution, we provide our views on sub-points 1D and 2D</w:t>
      </w:r>
      <w:r w:rsidR="00AB53FB">
        <w:rPr>
          <w:rFonts w:asciiTheme="majorBidi" w:eastAsia="Times New Roman" w:hAnsiTheme="majorBidi" w:cstheme="majorBidi"/>
          <w:sz w:val="24"/>
          <w:szCs w:val="24"/>
          <w:lang w:val="en-GB" w:eastAsia="en-US"/>
        </w:rPr>
        <w:t xml:space="preserve"> with respect to enhancements on </w:t>
      </w:r>
      <w:r w:rsidR="007C12D1">
        <w:rPr>
          <w:rFonts w:asciiTheme="majorBidi" w:eastAsia="Times New Roman" w:hAnsiTheme="majorBidi" w:cstheme="majorBidi"/>
          <w:sz w:val="24"/>
          <w:szCs w:val="24"/>
          <w:lang w:val="en-GB" w:eastAsia="en-US"/>
        </w:rPr>
        <w:t xml:space="preserve">UL </w:t>
      </w:r>
      <w:r w:rsidR="00AB53FB">
        <w:rPr>
          <w:rFonts w:asciiTheme="majorBidi" w:eastAsia="Times New Roman" w:hAnsiTheme="majorBidi" w:cstheme="majorBidi"/>
          <w:sz w:val="24"/>
          <w:szCs w:val="24"/>
          <w:lang w:val="en-GB" w:eastAsia="en-US"/>
        </w:rPr>
        <w:t>time and frequency synchronization.</w:t>
      </w:r>
    </w:p>
    <w:p w14:paraId="49B90A52" w14:textId="0DBC8265" w:rsidR="0093550C" w:rsidRPr="00AB53FB" w:rsidRDefault="004A19EC" w:rsidP="0093550C">
      <w:pPr>
        <w:pStyle w:val="berschrift1"/>
        <w:numPr>
          <w:ilvl w:val="0"/>
          <w:numId w:val="2"/>
        </w:numPr>
        <w:rPr>
          <w:rFonts w:asciiTheme="majorBidi" w:hAnsiTheme="majorBidi" w:cstheme="majorBidi"/>
        </w:rPr>
      </w:pPr>
      <w:r>
        <w:rPr>
          <w:rFonts w:asciiTheme="majorBidi" w:hAnsiTheme="majorBidi" w:cstheme="majorBidi"/>
        </w:rPr>
        <w:t>UL Time</w:t>
      </w:r>
      <w:r w:rsidR="00782253">
        <w:rPr>
          <w:rFonts w:asciiTheme="majorBidi" w:hAnsiTheme="majorBidi" w:cstheme="majorBidi"/>
        </w:rPr>
        <w:t xml:space="preserve"> </w:t>
      </w:r>
      <w:r w:rsidR="0072733D">
        <w:rPr>
          <w:rFonts w:asciiTheme="majorBidi" w:hAnsiTheme="majorBidi" w:cstheme="majorBidi"/>
        </w:rPr>
        <w:t xml:space="preserve">and Frequency </w:t>
      </w:r>
      <w:r w:rsidR="00861044">
        <w:rPr>
          <w:rFonts w:asciiTheme="majorBidi" w:hAnsiTheme="majorBidi" w:cstheme="majorBidi"/>
        </w:rPr>
        <w:t>Synchronization</w:t>
      </w:r>
      <w:r w:rsidR="00CB4269">
        <w:rPr>
          <w:rFonts w:asciiTheme="majorBidi" w:hAnsiTheme="majorBidi" w:cstheme="majorBidi"/>
        </w:rPr>
        <w:t>:</w:t>
      </w:r>
    </w:p>
    <w:p w14:paraId="63D57A92" w14:textId="73E3BEEC" w:rsidR="0093550C" w:rsidRDefault="0093550C" w:rsidP="0093550C">
      <w:pPr>
        <w:rPr>
          <w:lang w:val="en-US" w:eastAsia="en-US"/>
        </w:rPr>
      </w:pPr>
      <w:r w:rsidRPr="006534F3">
        <w:rPr>
          <w:lang w:val="en-US" w:eastAsia="en-US"/>
        </w:rPr>
        <w:t xml:space="preserve">As of </w:t>
      </w:r>
      <w:r>
        <w:rPr>
          <w:lang w:val="en-US" w:eastAsia="en-US"/>
        </w:rPr>
        <w:t>R</w:t>
      </w:r>
      <w:r w:rsidRPr="006534F3">
        <w:rPr>
          <w:lang w:val="en-US" w:eastAsia="en-US"/>
        </w:rPr>
        <w:t>el</w:t>
      </w:r>
      <w:r>
        <w:rPr>
          <w:lang w:val="en-US" w:eastAsia="en-US"/>
        </w:rPr>
        <w:t>-</w:t>
      </w:r>
      <w:r w:rsidRPr="006534F3">
        <w:rPr>
          <w:lang w:val="en-US" w:eastAsia="en-US"/>
        </w:rPr>
        <w:t xml:space="preserve">19, and as part of the initial access </w:t>
      </w:r>
      <w:r>
        <w:rPr>
          <w:lang w:val="en-US" w:eastAsia="en-US"/>
        </w:rPr>
        <w:t>procedure</w:t>
      </w:r>
      <w:r w:rsidRPr="006534F3">
        <w:rPr>
          <w:lang w:val="en-US" w:eastAsia="en-US"/>
        </w:rPr>
        <w:t xml:space="preserve">, </w:t>
      </w:r>
      <w:r>
        <w:rPr>
          <w:lang w:val="en-US" w:eastAsia="en-US"/>
        </w:rPr>
        <w:t>an NTN</w:t>
      </w:r>
      <w:r w:rsidRPr="006534F3">
        <w:rPr>
          <w:lang w:val="en-US" w:eastAsia="en-US"/>
        </w:rPr>
        <w:t xml:space="preserve"> UE may rely on its position provided by the GNSS in addition to the</w:t>
      </w:r>
      <w:r>
        <w:rPr>
          <w:lang w:val="en-US" w:eastAsia="en-US"/>
        </w:rPr>
        <w:t xml:space="preserve"> satellite’s </w:t>
      </w:r>
      <w:r w:rsidRPr="006534F3">
        <w:rPr>
          <w:lang w:val="en-US" w:eastAsia="en-US"/>
        </w:rPr>
        <w:t xml:space="preserve">ephemeris data to pre-compensate for </w:t>
      </w:r>
      <w:r>
        <w:rPr>
          <w:lang w:val="en-US" w:eastAsia="en-US"/>
        </w:rPr>
        <w:t xml:space="preserve">the majority of the </w:t>
      </w:r>
      <w:r w:rsidRPr="006534F3">
        <w:rPr>
          <w:lang w:val="en-US" w:eastAsia="en-US"/>
        </w:rPr>
        <w:t>time of</w:t>
      </w:r>
      <w:r>
        <w:rPr>
          <w:lang w:val="en-US" w:eastAsia="en-US"/>
        </w:rPr>
        <w:t>fset</w:t>
      </w:r>
      <w:r w:rsidRPr="006534F3">
        <w:rPr>
          <w:lang w:val="en-US" w:eastAsia="en-US"/>
        </w:rPr>
        <w:t xml:space="preserve"> </w:t>
      </w:r>
      <w:r w:rsidR="00BB4399">
        <w:rPr>
          <w:lang w:val="en-US" w:eastAsia="en-US"/>
        </w:rPr>
        <w:t xml:space="preserve">and frequency offset </w:t>
      </w:r>
      <w:r w:rsidRPr="006534F3">
        <w:rPr>
          <w:lang w:val="en-US" w:eastAsia="en-US"/>
        </w:rPr>
        <w:t xml:space="preserve">before transmitting a PRACH preamble in an open-loop mechanism, which ensures that the PRACH preamble </w:t>
      </w:r>
      <w:r>
        <w:rPr>
          <w:lang w:val="en-US" w:eastAsia="en-US"/>
        </w:rPr>
        <w:t>is</w:t>
      </w:r>
      <w:r w:rsidRPr="006534F3">
        <w:rPr>
          <w:lang w:val="en-US" w:eastAsia="en-US"/>
        </w:rPr>
        <w:t xml:space="preserve"> received at the base station with </w:t>
      </w:r>
      <w:r>
        <w:rPr>
          <w:lang w:val="en-US" w:eastAsia="en-US"/>
        </w:rPr>
        <w:t xml:space="preserve">an </w:t>
      </w:r>
      <w:r w:rsidRPr="006534F3">
        <w:rPr>
          <w:lang w:val="en-US" w:eastAsia="en-US"/>
        </w:rPr>
        <w:t xml:space="preserve">acceptable time </w:t>
      </w:r>
      <w:r>
        <w:rPr>
          <w:lang w:val="en-US" w:eastAsia="en-US"/>
        </w:rPr>
        <w:t xml:space="preserve">and frequency </w:t>
      </w:r>
      <w:r w:rsidRPr="006534F3">
        <w:rPr>
          <w:lang w:val="en-US" w:eastAsia="en-US"/>
        </w:rPr>
        <w:t>offset</w:t>
      </w:r>
      <w:r>
        <w:rPr>
          <w:lang w:val="en-US" w:eastAsia="en-US"/>
        </w:rPr>
        <w:t xml:space="preserve">s. </w:t>
      </w:r>
      <w:r w:rsidRPr="004D33E9">
        <w:rPr>
          <w:lang w:val="en-US" w:eastAsia="en-US"/>
        </w:rPr>
        <w:t>In case that an NTN UE was not able to rely on a GNSS signal when pre-compensating UL ti</w:t>
      </w:r>
      <w:r w:rsidR="003A35BB">
        <w:rPr>
          <w:lang w:val="en-US" w:eastAsia="en-US"/>
        </w:rPr>
        <w:t>ming</w:t>
      </w:r>
      <w:r>
        <w:rPr>
          <w:lang w:val="en-US" w:eastAsia="en-US"/>
        </w:rPr>
        <w:t xml:space="preserve"> </w:t>
      </w:r>
      <w:r w:rsidR="003A35BB">
        <w:rPr>
          <w:lang w:val="en-US" w:eastAsia="en-US"/>
        </w:rPr>
        <w:t>and</w:t>
      </w:r>
      <w:r>
        <w:rPr>
          <w:lang w:val="en-US" w:eastAsia="en-US"/>
        </w:rPr>
        <w:t xml:space="preserve"> frequency</w:t>
      </w:r>
      <w:r w:rsidRPr="004D33E9">
        <w:rPr>
          <w:lang w:val="en-US" w:eastAsia="en-US"/>
        </w:rPr>
        <w:t xml:space="preserve">, </w:t>
      </w:r>
      <w:r>
        <w:rPr>
          <w:lang w:val="en-US" w:eastAsia="en-US"/>
        </w:rPr>
        <w:t xml:space="preserve">an NTN UE may be able to rely on a reference point to pre-compensate UL timing and doppler before a PRACH transmission. The reference point may be </w:t>
      </w:r>
      <w:r w:rsidR="003A35BB">
        <w:rPr>
          <w:lang w:val="en-US" w:eastAsia="en-US"/>
        </w:rPr>
        <w:t>specified</w:t>
      </w:r>
      <w:r>
        <w:rPr>
          <w:lang w:val="en-US" w:eastAsia="en-US"/>
        </w:rPr>
        <w:t xml:space="preserve"> at any point on the service link between the UE and the satellite, or </w:t>
      </w:r>
      <w:r w:rsidR="003A35BB">
        <w:rPr>
          <w:lang w:val="en-US" w:eastAsia="en-US"/>
        </w:rPr>
        <w:t xml:space="preserve">on </w:t>
      </w:r>
      <w:r>
        <w:rPr>
          <w:lang w:val="en-US" w:eastAsia="en-US"/>
        </w:rPr>
        <w:t xml:space="preserve">the feeder link between the satellite and the gateway. A straightforward approach is to define the reference point at the center of the satellite’s uncertainty area, which minimizes the residual timing </w:t>
      </w:r>
      <w:r w:rsidR="003A35BB">
        <w:rPr>
          <w:lang w:val="en-US" w:eastAsia="en-US"/>
        </w:rPr>
        <w:t xml:space="preserve">and frequency </w:t>
      </w:r>
      <w:r>
        <w:rPr>
          <w:lang w:val="en-US" w:eastAsia="en-US"/>
        </w:rPr>
        <w:t>error within the satellite’s uncertainty area.</w:t>
      </w:r>
    </w:p>
    <w:p w14:paraId="0FCC248F" w14:textId="77777777" w:rsidR="0093550C" w:rsidRDefault="0093550C" w:rsidP="0093550C">
      <w:pPr>
        <w:rPr>
          <w:lang w:val="en-US" w:eastAsia="en-US"/>
        </w:rPr>
      </w:pPr>
    </w:p>
    <w:p w14:paraId="25A33C8C" w14:textId="5D297708" w:rsidR="0093550C" w:rsidRDefault="0093550C" w:rsidP="0093550C">
      <w:pPr>
        <w:rPr>
          <w:b/>
          <w:bCs/>
          <w:lang w:val="en-US" w:eastAsia="en-US"/>
        </w:rPr>
      </w:pPr>
      <w:r w:rsidRPr="006A06C6">
        <w:rPr>
          <w:b/>
          <w:bCs/>
          <w:lang w:val="en-US" w:eastAsia="en-US"/>
        </w:rPr>
        <w:t>Proposal</w:t>
      </w:r>
      <w:r>
        <w:rPr>
          <w:b/>
          <w:bCs/>
          <w:lang w:val="en-US" w:eastAsia="en-US"/>
        </w:rPr>
        <w:t xml:space="preserve"> 1</w:t>
      </w:r>
      <w:r w:rsidRPr="006A06C6">
        <w:rPr>
          <w:b/>
          <w:bCs/>
          <w:lang w:val="en-US" w:eastAsia="en-US"/>
        </w:rPr>
        <w:t xml:space="preserve">: RAN1 to consider </w:t>
      </w:r>
      <w:r w:rsidR="003A35BB">
        <w:rPr>
          <w:b/>
          <w:bCs/>
          <w:lang w:val="en-US" w:eastAsia="en-US"/>
        </w:rPr>
        <w:t xml:space="preserve">the center of the satellite’s uncertainty area to be used as a </w:t>
      </w:r>
      <w:r w:rsidRPr="006A06C6">
        <w:rPr>
          <w:b/>
          <w:bCs/>
          <w:lang w:val="en-US" w:eastAsia="en-US"/>
        </w:rPr>
        <w:t>reference point</w:t>
      </w:r>
      <w:r w:rsidR="003A35BB">
        <w:rPr>
          <w:b/>
          <w:bCs/>
          <w:lang w:val="en-US" w:eastAsia="en-US"/>
        </w:rPr>
        <w:t xml:space="preserve">, which is </w:t>
      </w:r>
      <w:r w:rsidRPr="006A06C6">
        <w:rPr>
          <w:b/>
          <w:bCs/>
          <w:lang w:val="en-US" w:eastAsia="en-US"/>
        </w:rPr>
        <w:t xml:space="preserve">used by an NTN UE to pre-compensate UL time and frequency </w:t>
      </w:r>
      <w:r w:rsidR="003A35BB">
        <w:rPr>
          <w:b/>
          <w:bCs/>
          <w:lang w:val="en-US" w:eastAsia="en-US"/>
        </w:rPr>
        <w:t>in case of a resilient GNSS operation, which</w:t>
      </w:r>
      <w:r w:rsidRPr="006A06C6">
        <w:rPr>
          <w:b/>
          <w:bCs/>
          <w:lang w:val="en-US" w:eastAsia="en-US"/>
        </w:rPr>
        <w:t xml:space="preserve"> </w:t>
      </w:r>
      <w:r w:rsidR="003A35BB">
        <w:rPr>
          <w:b/>
          <w:bCs/>
          <w:lang w:val="en-US" w:eastAsia="en-US"/>
        </w:rPr>
        <w:t>helps</w:t>
      </w:r>
      <w:r>
        <w:rPr>
          <w:b/>
          <w:bCs/>
          <w:lang w:val="en-US" w:eastAsia="en-US"/>
        </w:rPr>
        <w:t xml:space="preserve"> minimiz</w:t>
      </w:r>
      <w:r w:rsidR="003A35BB">
        <w:rPr>
          <w:b/>
          <w:bCs/>
          <w:lang w:val="en-US" w:eastAsia="en-US"/>
        </w:rPr>
        <w:t>ing</w:t>
      </w:r>
      <w:r>
        <w:rPr>
          <w:b/>
          <w:bCs/>
          <w:lang w:val="en-US" w:eastAsia="en-US"/>
        </w:rPr>
        <w:t xml:space="preserve"> the residual differential </w:t>
      </w:r>
      <w:r w:rsidR="0097640A">
        <w:rPr>
          <w:b/>
          <w:bCs/>
          <w:lang w:val="en-US" w:eastAsia="en-US"/>
        </w:rPr>
        <w:t>RTT</w:t>
      </w:r>
      <w:r>
        <w:rPr>
          <w:b/>
          <w:bCs/>
          <w:lang w:val="en-US" w:eastAsia="en-US"/>
        </w:rPr>
        <w:t>/</w:t>
      </w:r>
      <w:r w:rsidR="0097640A">
        <w:rPr>
          <w:b/>
          <w:bCs/>
          <w:lang w:val="en-US" w:eastAsia="en-US"/>
        </w:rPr>
        <w:t>RTD</w:t>
      </w:r>
      <w:r>
        <w:rPr>
          <w:b/>
          <w:bCs/>
          <w:lang w:val="en-US" w:eastAsia="en-US"/>
        </w:rPr>
        <w:t xml:space="preserve"> with respect to the reference point.</w:t>
      </w:r>
    </w:p>
    <w:p w14:paraId="20BF3EB5" w14:textId="77777777" w:rsidR="0093550C" w:rsidRPr="0093550C" w:rsidRDefault="0093550C" w:rsidP="0093550C">
      <w:pPr>
        <w:rPr>
          <w:lang w:val="en-US" w:eastAsia="en-US"/>
        </w:rPr>
      </w:pPr>
    </w:p>
    <w:p w14:paraId="288BFFB5" w14:textId="7643F054" w:rsidR="00E43113" w:rsidRDefault="00E43113" w:rsidP="00E43113">
      <w:pPr>
        <w:rPr>
          <w:lang w:val="en-US" w:eastAsia="en-US"/>
        </w:rPr>
      </w:pPr>
      <w:r w:rsidRPr="006534F3">
        <w:rPr>
          <w:lang w:val="en-US" w:eastAsia="en-US"/>
        </w:rPr>
        <w:t xml:space="preserve">The base station, and upon reception of the PRACH preamble may try to correct the </w:t>
      </w:r>
      <w:r w:rsidR="006534F3">
        <w:rPr>
          <w:lang w:val="en-US" w:eastAsia="en-US"/>
        </w:rPr>
        <w:t>residual time offset</w:t>
      </w:r>
      <w:r w:rsidRPr="006534F3">
        <w:rPr>
          <w:lang w:val="en-US" w:eastAsia="en-US"/>
        </w:rPr>
        <w:t xml:space="preserve"> of the received PRACH preamble in a </w:t>
      </w:r>
      <w:r w:rsidR="0068229A">
        <w:rPr>
          <w:lang w:val="en-US" w:eastAsia="en-US"/>
        </w:rPr>
        <w:t xml:space="preserve">timing </w:t>
      </w:r>
      <w:r w:rsidRPr="006534F3">
        <w:rPr>
          <w:lang w:val="en-US" w:eastAsia="en-US"/>
        </w:rPr>
        <w:t xml:space="preserve">closed-loop mechanism. For an NTN operation, where GNSS signal is temporarily unavailable or degraded, </w:t>
      </w:r>
      <w:r w:rsidR="003E0BD5">
        <w:rPr>
          <w:lang w:val="en-US" w:eastAsia="en-US"/>
        </w:rPr>
        <w:t>an NTN</w:t>
      </w:r>
      <w:r w:rsidRPr="006534F3">
        <w:rPr>
          <w:lang w:val="en-US" w:eastAsia="en-US"/>
        </w:rPr>
        <w:t xml:space="preserve"> UE may not be able to obtain its </w:t>
      </w:r>
      <w:r w:rsidR="0034283B">
        <w:rPr>
          <w:lang w:val="en-US" w:eastAsia="en-US"/>
        </w:rPr>
        <w:t xml:space="preserve">GNSS-based </w:t>
      </w:r>
      <w:r w:rsidRPr="006534F3">
        <w:rPr>
          <w:lang w:val="en-US" w:eastAsia="en-US"/>
        </w:rPr>
        <w:t>position before transmitting a PRACH preamble, which may cause a</w:t>
      </w:r>
      <w:r w:rsidR="009B17C7">
        <w:rPr>
          <w:lang w:val="en-US" w:eastAsia="en-US"/>
        </w:rPr>
        <w:t xml:space="preserve"> larger </w:t>
      </w:r>
      <w:r w:rsidRPr="006534F3">
        <w:rPr>
          <w:lang w:val="en-US" w:eastAsia="en-US"/>
        </w:rPr>
        <w:t xml:space="preserve">PRACH </w:t>
      </w:r>
      <w:r w:rsidR="006534F3">
        <w:rPr>
          <w:lang w:val="en-US" w:eastAsia="en-US"/>
        </w:rPr>
        <w:t xml:space="preserve">time </w:t>
      </w:r>
      <w:r w:rsidRPr="006534F3">
        <w:rPr>
          <w:lang w:val="en-US" w:eastAsia="en-US"/>
        </w:rPr>
        <w:t>misalignment at the base station, which should be adjusted by the network</w:t>
      </w:r>
      <w:r w:rsidR="003E0BD5">
        <w:rPr>
          <w:lang w:val="en-US" w:eastAsia="en-US"/>
        </w:rPr>
        <w:t xml:space="preserve"> in an enhanced timing closed loop mechanism.</w:t>
      </w:r>
    </w:p>
    <w:p w14:paraId="0E43E5EC" w14:textId="77777777" w:rsidR="00BE2E97" w:rsidRDefault="00BE2E97" w:rsidP="00E43113">
      <w:pPr>
        <w:rPr>
          <w:lang w:val="en-US" w:eastAsia="en-US"/>
        </w:rPr>
      </w:pPr>
    </w:p>
    <w:p w14:paraId="4CBE7FCC" w14:textId="6F0DE033" w:rsidR="00BE2E97" w:rsidRPr="008B1A11" w:rsidRDefault="00BE2E97" w:rsidP="009B17C7">
      <w:pPr>
        <w:rPr>
          <w:b/>
          <w:bCs/>
          <w:lang w:val="en-US" w:eastAsia="en-US"/>
        </w:rPr>
      </w:pPr>
      <w:r w:rsidRPr="008B1A11">
        <w:rPr>
          <w:b/>
          <w:bCs/>
          <w:lang w:val="en-US" w:eastAsia="en-US"/>
        </w:rPr>
        <w:t>Observation</w:t>
      </w:r>
      <w:r w:rsidR="009C556C" w:rsidRPr="008B1A11">
        <w:rPr>
          <w:b/>
          <w:bCs/>
          <w:lang w:val="en-US" w:eastAsia="en-US"/>
        </w:rPr>
        <w:t xml:space="preserve"> 1: A</w:t>
      </w:r>
      <w:r w:rsidRPr="008B1A11">
        <w:rPr>
          <w:b/>
          <w:bCs/>
          <w:lang w:val="en-US" w:eastAsia="en-US"/>
        </w:rPr>
        <w:t xml:space="preserve">n NTN UE, and in case GNSS signal was temporarily unavailable or degraded at the time of initiating a PRACH preamble, may not be able to </w:t>
      </w:r>
      <w:r w:rsidR="009B0EE4">
        <w:rPr>
          <w:b/>
          <w:bCs/>
          <w:lang w:val="en-US" w:eastAsia="en-US"/>
        </w:rPr>
        <w:t xml:space="preserve">fully </w:t>
      </w:r>
      <w:r w:rsidRPr="008B1A11">
        <w:rPr>
          <w:b/>
          <w:bCs/>
          <w:lang w:val="en-US" w:eastAsia="en-US"/>
        </w:rPr>
        <w:t xml:space="preserve">pre-compensate the </w:t>
      </w:r>
      <w:r w:rsidR="0068229A">
        <w:rPr>
          <w:b/>
          <w:bCs/>
          <w:lang w:val="en-US" w:eastAsia="en-US"/>
        </w:rPr>
        <w:t>time offset</w:t>
      </w:r>
      <w:r w:rsidR="0097640A">
        <w:rPr>
          <w:b/>
          <w:bCs/>
          <w:lang w:val="en-US" w:eastAsia="en-US"/>
        </w:rPr>
        <w:t xml:space="preserve"> for the transmission of a PRACH preamble</w:t>
      </w:r>
      <w:r w:rsidR="009B17C7">
        <w:rPr>
          <w:b/>
          <w:bCs/>
          <w:lang w:val="en-US" w:eastAsia="en-US"/>
        </w:rPr>
        <w:t>.</w:t>
      </w:r>
    </w:p>
    <w:p w14:paraId="0E56BD39" w14:textId="77777777" w:rsidR="00BE2E97" w:rsidRPr="008B1A11" w:rsidRDefault="00BE2E97" w:rsidP="00E43113">
      <w:pPr>
        <w:rPr>
          <w:b/>
          <w:bCs/>
          <w:lang w:val="en-US" w:eastAsia="en-US"/>
        </w:rPr>
      </w:pPr>
    </w:p>
    <w:p w14:paraId="6E0D4F45" w14:textId="3C3FE7D9" w:rsidR="007773D5" w:rsidRDefault="00BE2E97" w:rsidP="009C556C">
      <w:pPr>
        <w:rPr>
          <w:b/>
          <w:bCs/>
          <w:lang w:val="en-US" w:eastAsia="en-US"/>
        </w:rPr>
      </w:pPr>
      <w:r w:rsidRPr="008B1A11">
        <w:rPr>
          <w:b/>
          <w:bCs/>
          <w:lang w:val="en-US" w:eastAsia="en-US"/>
        </w:rPr>
        <w:t>Proposal</w:t>
      </w:r>
      <w:r w:rsidR="009C556C" w:rsidRPr="008B1A11">
        <w:rPr>
          <w:b/>
          <w:bCs/>
          <w:lang w:val="en-US" w:eastAsia="en-US"/>
        </w:rPr>
        <w:t xml:space="preserve"> </w:t>
      </w:r>
      <w:r w:rsidR="00AF1C98">
        <w:rPr>
          <w:b/>
          <w:bCs/>
          <w:lang w:val="en-US" w:eastAsia="en-US"/>
        </w:rPr>
        <w:t>2</w:t>
      </w:r>
      <w:r w:rsidRPr="008B1A11">
        <w:rPr>
          <w:b/>
          <w:bCs/>
          <w:lang w:val="en-US" w:eastAsia="en-US"/>
        </w:rPr>
        <w:t xml:space="preserve">: RAN1 to study enhancements to timing </w:t>
      </w:r>
      <w:r w:rsidR="00F71AE3">
        <w:rPr>
          <w:b/>
          <w:bCs/>
          <w:lang w:val="en-US" w:eastAsia="en-US"/>
        </w:rPr>
        <w:t xml:space="preserve">correction </w:t>
      </w:r>
      <w:r w:rsidRPr="008B1A11">
        <w:rPr>
          <w:b/>
          <w:bCs/>
          <w:lang w:val="en-US" w:eastAsia="en-US"/>
        </w:rPr>
        <w:t xml:space="preserve">closed loop mechanism to support an NTN operation in which GNSS signal is temporarily unavailable or </w:t>
      </w:r>
      <w:r w:rsidR="003E0BD5">
        <w:rPr>
          <w:b/>
          <w:bCs/>
          <w:lang w:val="en-US" w:eastAsia="en-US"/>
        </w:rPr>
        <w:t xml:space="preserve">performance </w:t>
      </w:r>
      <w:r w:rsidRPr="008B1A11">
        <w:rPr>
          <w:b/>
          <w:bCs/>
          <w:lang w:val="en-US" w:eastAsia="en-US"/>
        </w:rPr>
        <w:t xml:space="preserve">degraded. </w:t>
      </w:r>
    </w:p>
    <w:p w14:paraId="01CB776F" w14:textId="77777777" w:rsidR="004D33E9" w:rsidRDefault="004D33E9" w:rsidP="009C556C">
      <w:pPr>
        <w:rPr>
          <w:b/>
          <w:bCs/>
          <w:lang w:val="en-US" w:eastAsia="en-US"/>
        </w:rPr>
      </w:pPr>
    </w:p>
    <w:p w14:paraId="51389C6E" w14:textId="6014DDC9" w:rsidR="00EE5CF6" w:rsidRDefault="0093550C" w:rsidP="009C556C">
      <w:pPr>
        <w:rPr>
          <w:lang w:val="en-US" w:eastAsia="en-US"/>
        </w:rPr>
      </w:pPr>
      <w:r w:rsidRPr="00355C8E">
        <w:rPr>
          <w:lang w:val="en-US" w:eastAsia="en-US"/>
        </w:rPr>
        <w:lastRenderedPageBreak/>
        <w:t xml:space="preserve">Relying on a reference point [e.g., center of the satellite’s uncertainty area] </w:t>
      </w:r>
      <w:r w:rsidR="00355C8E" w:rsidRPr="00355C8E">
        <w:rPr>
          <w:lang w:val="en-US" w:eastAsia="en-US"/>
        </w:rPr>
        <w:t xml:space="preserve">when pre-compensating timing offset by the UE reduces </w:t>
      </w:r>
      <w:r w:rsidR="000E4DC1">
        <w:rPr>
          <w:lang w:val="en-US" w:eastAsia="en-US"/>
        </w:rPr>
        <w:t xml:space="preserve">the timing offset </w:t>
      </w:r>
      <w:r w:rsidR="00355C8E" w:rsidRPr="00355C8E">
        <w:rPr>
          <w:lang w:val="en-US" w:eastAsia="en-US"/>
        </w:rPr>
        <w:t>uncertainty and increases the alignment between UL and DL subframes at the base station.</w:t>
      </w:r>
      <w:r w:rsidR="00C53E0C">
        <w:rPr>
          <w:lang w:val="en-US" w:eastAsia="en-US"/>
        </w:rPr>
        <w:t xml:space="preserve"> However, the misalignment at the base station when receiving a PRACH preamble, which </w:t>
      </w:r>
      <w:r w:rsidR="004E2CC4">
        <w:rPr>
          <w:lang w:val="en-US" w:eastAsia="en-US"/>
        </w:rPr>
        <w:t>is</w:t>
      </w:r>
      <w:r w:rsidR="00C53E0C">
        <w:rPr>
          <w:lang w:val="en-US" w:eastAsia="en-US"/>
        </w:rPr>
        <w:t xml:space="preserve"> pre-compensated by a time offset corresponding to the reference point, may still be large and should be corrected by the network. </w:t>
      </w:r>
      <w:r w:rsidR="002D0EA8">
        <w:rPr>
          <w:lang w:val="en-US" w:eastAsia="en-US"/>
        </w:rPr>
        <w:t xml:space="preserve">The </w:t>
      </w:r>
      <w:r w:rsidR="000E4DC1">
        <w:rPr>
          <w:lang w:val="en-US" w:eastAsia="en-US"/>
        </w:rPr>
        <w:t>timing advance command [</w:t>
      </w:r>
      <w:r w:rsidR="002D0EA8">
        <w:rPr>
          <w:lang w:val="en-US" w:eastAsia="en-US"/>
        </w:rPr>
        <w:t>TAC</w:t>
      </w:r>
      <w:r w:rsidR="000E4DC1">
        <w:rPr>
          <w:lang w:val="en-US" w:eastAsia="en-US"/>
        </w:rPr>
        <w:t>]</w:t>
      </w:r>
      <w:r w:rsidR="002D0EA8">
        <w:rPr>
          <w:lang w:val="en-US" w:eastAsia="en-US"/>
        </w:rPr>
        <w:t xml:space="preserve"> within </w:t>
      </w:r>
      <w:r w:rsidR="000E4DC1">
        <w:rPr>
          <w:lang w:val="en-US" w:eastAsia="en-US"/>
        </w:rPr>
        <w:t>a</w:t>
      </w:r>
      <w:r w:rsidR="002D0EA8">
        <w:rPr>
          <w:lang w:val="en-US" w:eastAsia="en-US"/>
        </w:rPr>
        <w:t xml:space="preserve"> RAR message, which is used by the network to adjust the timing misalignment</w:t>
      </w:r>
      <w:r w:rsidR="0030325C">
        <w:rPr>
          <w:lang w:val="en-US" w:eastAsia="en-US"/>
        </w:rPr>
        <w:t xml:space="preserve"> </w:t>
      </w:r>
      <w:r w:rsidR="002D0EA8">
        <w:rPr>
          <w:lang w:val="en-US" w:eastAsia="en-US"/>
        </w:rPr>
        <w:t xml:space="preserve">may be not enough to adjust large timing offsets for different NTN scenarios, which depend on the residual differential delay within the coverage of the satellite’s uncertainty area with respect to a reference point. </w:t>
      </w:r>
      <w:r w:rsidR="000E4DC1">
        <w:rPr>
          <w:lang w:val="en-US" w:eastAsia="en-US"/>
        </w:rPr>
        <w:t>The maximum timing offsets that may be indicated by the current TAC for different sub-carrier spacings are given below:</w:t>
      </w:r>
    </w:p>
    <w:p w14:paraId="031CF683" w14:textId="77777777" w:rsidR="0030325C" w:rsidRDefault="0030325C" w:rsidP="009C556C">
      <w:pPr>
        <w:rPr>
          <w:lang w:val="en-US" w:eastAsia="en-US"/>
        </w:rPr>
      </w:pPr>
    </w:p>
    <w:p w14:paraId="6A161950" w14:textId="77777777" w:rsidR="00021412" w:rsidRDefault="00021412" w:rsidP="009C556C">
      <w:pPr>
        <w:rPr>
          <w:lang w:val="en-US" w:eastAsia="en-US"/>
        </w:rPr>
      </w:pPr>
    </w:p>
    <w:p w14:paraId="43C95F9E" w14:textId="5119C274" w:rsidR="0030325C" w:rsidRPr="0030325C" w:rsidRDefault="0030325C" w:rsidP="0030325C">
      <w:pPr>
        <w:pStyle w:val="Beschriftung"/>
        <w:keepNext/>
        <w:jc w:val="center"/>
        <w:rPr>
          <w:lang w:val="en-US"/>
        </w:rPr>
      </w:pPr>
      <w:r w:rsidRPr="0030325C">
        <w:rPr>
          <w:lang w:val="en-US"/>
        </w:rPr>
        <w:t xml:space="preserve">Table </w:t>
      </w:r>
      <w:r>
        <w:fldChar w:fldCharType="begin"/>
      </w:r>
      <w:r w:rsidRPr="0030325C">
        <w:rPr>
          <w:lang w:val="en-US"/>
        </w:rPr>
        <w:instrText xml:space="preserve"> SEQ Table \* ARABIC </w:instrText>
      </w:r>
      <w:r>
        <w:fldChar w:fldCharType="separate"/>
      </w:r>
      <w:r w:rsidR="0072104E">
        <w:rPr>
          <w:noProof/>
          <w:lang w:val="en-US"/>
        </w:rPr>
        <w:t>4</w:t>
      </w:r>
      <w:r>
        <w:fldChar w:fldCharType="end"/>
      </w:r>
      <w:r w:rsidRPr="0030325C">
        <w:rPr>
          <w:lang w:val="en-US"/>
        </w:rPr>
        <w:t xml:space="preserve"> The maximum timing offsets that may be adjusted by </w:t>
      </w:r>
      <w:r w:rsidR="00730DC7" w:rsidRPr="0030325C">
        <w:rPr>
          <w:lang w:val="en-US"/>
        </w:rPr>
        <w:t>TAC.</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gridCol w:w="1843"/>
      </w:tblGrid>
      <w:tr w:rsidR="0030325C" w:rsidRPr="00832640" w14:paraId="42234E56" w14:textId="77777777" w:rsidTr="0030325C">
        <w:trPr>
          <w:trHeight w:val="290"/>
          <w:jc w:val="center"/>
        </w:trPr>
        <w:tc>
          <w:tcPr>
            <w:tcW w:w="4248" w:type="dxa"/>
            <w:noWrap/>
            <w:vAlign w:val="bottom"/>
            <w:hideMark/>
          </w:tcPr>
          <w:p w14:paraId="1B382865" w14:textId="77777777" w:rsidR="0030325C" w:rsidRPr="0030325C" w:rsidRDefault="0030325C" w:rsidP="00BD08ED">
            <w:pPr>
              <w:jc w:val="center"/>
              <w:rPr>
                <w:rFonts w:ascii="Aptos Narrow" w:hAnsi="Aptos Narrow"/>
                <w:color w:val="000000"/>
                <w:szCs w:val="22"/>
                <w:lang w:val="en-US"/>
              </w:rPr>
            </w:pPr>
            <w:r w:rsidRPr="0030325C">
              <w:rPr>
                <w:rFonts w:ascii="Aptos Narrow" w:hAnsi="Aptos Narrow"/>
                <w:color w:val="000000"/>
                <w:szCs w:val="22"/>
                <w:lang w:val="en-US"/>
              </w:rPr>
              <w:t>Maximum timing advance in RAR (ms)</w:t>
            </w:r>
          </w:p>
        </w:tc>
        <w:tc>
          <w:tcPr>
            <w:tcW w:w="1843" w:type="dxa"/>
            <w:noWrap/>
            <w:vAlign w:val="bottom"/>
            <w:hideMark/>
          </w:tcPr>
          <w:p w14:paraId="54725B3E" w14:textId="77777777" w:rsidR="0030325C" w:rsidRPr="00832640" w:rsidRDefault="0030325C" w:rsidP="00BD08ED">
            <w:pPr>
              <w:jc w:val="center"/>
              <w:rPr>
                <w:rFonts w:ascii="Aptos Narrow" w:hAnsi="Aptos Narrow"/>
                <w:color w:val="000000"/>
                <w:szCs w:val="22"/>
              </w:rPr>
            </w:pPr>
            <w:r w:rsidRPr="00832640">
              <w:rPr>
                <w:rFonts w:ascii="Aptos Narrow" w:hAnsi="Aptos Narrow"/>
                <w:color w:val="000000"/>
                <w:szCs w:val="22"/>
              </w:rPr>
              <w:t>SCS (KHz)</w:t>
            </w:r>
          </w:p>
        </w:tc>
      </w:tr>
      <w:tr w:rsidR="0030325C" w:rsidRPr="00832640" w14:paraId="75F5AD69" w14:textId="77777777" w:rsidTr="0030325C">
        <w:trPr>
          <w:trHeight w:val="290"/>
          <w:jc w:val="center"/>
        </w:trPr>
        <w:tc>
          <w:tcPr>
            <w:tcW w:w="4248" w:type="dxa"/>
            <w:noWrap/>
            <w:vAlign w:val="bottom"/>
            <w:hideMark/>
          </w:tcPr>
          <w:p w14:paraId="5F8119E6" w14:textId="77777777" w:rsidR="0030325C" w:rsidRPr="00832640" w:rsidRDefault="0030325C" w:rsidP="00BD08ED">
            <w:pPr>
              <w:jc w:val="center"/>
              <w:rPr>
                <w:rFonts w:ascii="Aptos Narrow" w:hAnsi="Aptos Narrow"/>
                <w:color w:val="000000"/>
                <w:szCs w:val="22"/>
              </w:rPr>
            </w:pPr>
            <w:r w:rsidRPr="00832640">
              <w:rPr>
                <w:rFonts w:ascii="Aptos Narrow" w:hAnsi="Aptos Narrow"/>
                <w:color w:val="000000"/>
                <w:szCs w:val="22"/>
              </w:rPr>
              <w:t>2</w:t>
            </w:r>
          </w:p>
        </w:tc>
        <w:tc>
          <w:tcPr>
            <w:tcW w:w="1843" w:type="dxa"/>
            <w:noWrap/>
            <w:vAlign w:val="bottom"/>
            <w:hideMark/>
          </w:tcPr>
          <w:p w14:paraId="76CB7287" w14:textId="77777777" w:rsidR="0030325C" w:rsidRPr="00832640" w:rsidRDefault="0030325C" w:rsidP="00BD08ED">
            <w:pPr>
              <w:jc w:val="center"/>
              <w:rPr>
                <w:rFonts w:ascii="Aptos Narrow" w:hAnsi="Aptos Narrow"/>
                <w:color w:val="000000"/>
                <w:szCs w:val="22"/>
              </w:rPr>
            </w:pPr>
            <w:r w:rsidRPr="00832640">
              <w:rPr>
                <w:rFonts w:ascii="Aptos Narrow" w:hAnsi="Aptos Narrow"/>
                <w:color w:val="000000"/>
                <w:szCs w:val="22"/>
              </w:rPr>
              <w:t>15</w:t>
            </w:r>
          </w:p>
        </w:tc>
      </w:tr>
      <w:tr w:rsidR="0030325C" w:rsidRPr="00832640" w14:paraId="1B80B3E1" w14:textId="77777777" w:rsidTr="0030325C">
        <w:trPr>
          <w:trHeight w:val="290"/>
          <w:jc w:val="center"/>
        </w:trPr>
        <w:tc>
          <w:tcPr>
            <w:tcW w:w="4248" w:type="dxa"/>
            <w:noWrap/>
            <w:vAlign w:val="bottom"/>
            <w:hideMark/>
          </w:tcPr>
          <w:p w14:paraId="6D0A8576" w14:textId="77777777" w:rsidR="0030325C" w:rsidRPr="00832640" w:rsidRDefault="0030325C" w:rsidP="00BD08ED">
            <w:pPr>
              <w:jc w:val="center"/>
              <w:rPr>
                <w:rFonts w:ascii="Aptos Narrow" w:hAnsi="Aptos Narrow"/>
                <w:color w:val="000000"/>
                <w:szCs w:val="22"/>
              </w:rPr>
            </w:pPr>
            <w:r w:rsidRPr="00832640">
              <w:rPr>
                <w:rFonts w:ascii="Aptos Narrow" w:hAnsi="Aptos Narrow"/>
                <w:color w:val="000000"/>
                <w:szCs w:val="22"/>
              </w:rPr>
              <w:t>1</w:t>
            </w:r>
          </w:p>
        </w:tc>
        <w:tc>
          <w:tcPr>
            <w:tcW w:w="1843" w:type="dxa"/>
            <w:noWrap/>
            <w:vAlign w:val="bottom"/>
            <w:hideMark/>
          </w:tcPr>
          <w:p w14:paraId="47AEE47F" w14:textId="77777777" w:rsidR="0030325C" w:rsidRPr="00832640" w:rsidRDefault="0030325C" w:rsidP="00BD08ED">
            <w:pPr>
              <w:jc w:val="center"/>
              <w:rPr>
                <w:rFonts w:ascii="Aptos Narrow" w:hAnsi="Aptos Narrow"/>
                <w:color w:val="000000"/>
                <w:szCs w:val="22"/>
              </w:rPr>
            </w:pPr>
            <w:r w:rsidRPr="00832640">
              <w:rPr>
                <w:rFonts w:ascii="Aptos Narrow" w:hAnsi="Aptos Narrow"/>
                <w:color w:val="000000"/>
                <w:szCs w:val="22"/>
              </w:rPr>
              <w:t>30</w:t>
            </w:r>
          </w:p>
        </w:tc>
      </w:tr>
      <w:tr w:rsidR="0030325C" w:rsidRPr="00832640" w14:paraId="469153CE" w14:textId="77777777" w:rsidTr="0030325C">
        <w:trPr>
          <w:trHeight w:val="290"/>
          <w:jc w:val="center"/>
        </w:trPr>
        <w:tc>
          <w:tcPr>
            <w:tcW w:w="4248" w:type="dxa"/>
            <w:noWrap/>
            <w:vAlign w:val="bottom"/>
            <w:hideMark/>
          </w:tcPr>
          <w:p w14:paraId="33818D1D" w14:textId="77777777" w:rsidR="0030325C" w:rsidRPr="00832640" w:rsidRDefault="0030325C" w:rsidP="00BD08ED">
            <w:pPr>
              <w:jc w:val="center"/>
              <w:rPr>
                <w:rFonts w:ascii="Aptos Narrow" w:hAnsi="Aptos Narrow"/>
                <w:color w:val="000000"/>
                <w:szCs w:val="22"/>
              </w:rPr>
            </w:pPr>
            <w:r w:rsidRPr="00832640">
              <w:rPr>
                <w:rFonts w:ascii="Aptos Narrow" w:hAnsi="Aptos Narrow"/>
                <w:color w:val="000000"/>
                <w:szCs w:val="22"/>
              </w:rPr>
              <w:t>0.5</w:t>
            </w:r>
          </w:p>
        </w:tc>
        <w:tc>
          <w:tcPr>
            <w:tcW w:w="1843" w:type="dxa"/>
            <w:noWrap/>
            <w:vAlign w:val="bottom"/>
            <w:hideMark/>
          </w:tcPr>
          <w:p w14:paraId="0C0F6B3A" w14:textId="77777777" w:rsidR="0030325C" w:rsidRPr="00832640" w:rsidRDefault="0030325C" w:rsidP="00BD08ED">
            <w:pPr>
              <w:jc w:val="center"/>
              <w:rPr>
                <w:rFonts w:ascii="Aptos Narrow" w:hAnsi="Aptos Narrow"/>
                <w:color w:val="000000"/>
                <w:szCs w:val="22"/>
              </w:rPr>
            </w:pPr>
            <w:r w:rsidRPr="00832640">
              <w:rPr>
                <w:rFonts w:ascii="Aptos Narrow" w:hAnsi="Aptos Narrow"/>
                <w:color w:val="000000"/>
                <w:szCs w:val="22"/>
              </w:rPr>
              <w:t>60</w:t>
            </w:r>
          </w:p>
        </w:tc>
      </w:tr>
      <w:tr w:rsidR="0030325C" w:rsidRPr="00832640" w14:paraId="3BDCE956" w14:textId="77777777" w:rsidTr="0030325C">
        <w:trPr>
          <w:trHeight w:val="290"/>
          <w:jc w:val="center"/>
        </w:trPr>
        <w:tc>
          <w:tcPr>
            <w:tcW w:w="4248" w:type="dxa"/>
            <w:noWrap/>
            <w:vAlign w:val="bottom"/>
            <w:hideMark/>
          </w:tcPr>
          <w:p w14:paraId="5048E778" w14:textId="77777777" w:rsidR="0030325C" w:rsidRPr="00832640" w:rsidRDefault="0030325C" w:rsidP="00BD08ED">
            <w:pPr>
              <w:jc w:val="center"/>
              <w:rPr>
                <w:rFonts w:ascii="Aptos Narrow" w:hAnsi="Aptos Narrow"/>
                <w:color w:val="000000"/>
                <w:szCs w:val="22"/>
              </w:rPr>
            </w:pPr>
            <w:r w:rsidRPr="00832640">
              <w:rPr>
                <w:rFonts w:ascii="Aptos Narrow" w:hAnsi="Aptos Narrow"/>
                <w:color w:val="000000"/>
                <w:szCs w:val="22"/>
              </w:rPr>
              <w:t>0.25</w:t>
            </w:r>
          </w:p>
        </w:tc>
        <w:tc>
          <w:tcPr>
            <w:tcW w:w="1843" w:type="dxa"/>
            <w:noWrap/>
            <w:vAlign w:val="bottom"/>
            <w:hideMark/>
          </w:tcPr>
          <w:p w14:paraId="17E4B413" w14:textId="77777777" w:rsidR="0030325C" w:rsidRPr="00832640" w:rsidRDefault="0030325C" w:rsidP="00BD08ED">
            <w:pPr>
              <w:jc w:val="center"/>
              <w:rPr>
                <w:rFonts w:ascii="Aptos Narrow" w:hAnsi="Aptos Narrow"/>
                <w:color w:val="000000"/>
                <w:szCs w:val="22"/>
              </w:rPr>
            </w:pPr>
            <w:r w:rsidRPr="00832640">
              <w:rPr>
                <w:rFonts w:ascii="Aptos Narrow" w:hAnsi="Aptos Narrow"/>
                <w:color w:val="000000"/>
                <w:szCs w:val="22"/>
              </w:rPr>
              <w:t>120</w:t>
            </w:r>
          </w:p>
        </w:tc>
      </w:tr>
      <w:tr w:rsidR="0030325C" w:rsidRPr="00832640" w14:paraId="13374270" w14:textId="77777777" w:rsidTr="0030325C">
        <w:trPr>
          <w:trHeight w:val="290"/>
          <w:jc w:val="center"/>
        </w:trPr>
        <w:tc>
          <w:tcPr>
            <w:tcW w:w="4248" w:type="dxa"/>
            <w:noWrap/>
            <w:vAlign w:val="bottom"/>
            <w:hideMark/>
          </w:tcPr>
          <w:p w14:paraId="24F05712" w14:textId="77777777" w:rsidR="0030325C" w:rsidRPr="00832640" w:rsidRDefault="0030325C" w:rsidP="00BD08ED">
            <w:pPr>
              <w:jc w:val="center"/>
              <w:rPr>
                <w:rFonts w:ascii="Aptos Narrow" w:hAnsi="Aptos Narrow"/>
                <w:color w:val="000000"/>
                <w:szCs w:val="22"/>
              </w:rPr>
            </w:pPr>
            <w:r w:rsidRPr="00832640">
              <w:rPr>
                <w:rFonts w:ascii="Aptos Narrow" w:hAnsi="Aptos Narrow"/>
                <w:color w:val="000000"/>
                <w:szCs w:val="22"/>
              </w:rPr>
              <w:t>0.125</w:t>
            </w:r>
          </w:p>
        </w:tc>
        <w:tc>
          <w:tcPr>
            <w:tcW w:w="1843" w:type="dxa"/>
            <w:noWrap/>
            <w:vAlign w:val="bottom"/>
            <w:hideMark/>
          </w:tcPr>
          <w:p w14:paraId="33490450" w14:textId="77777777" w:rsidR="0030325C" w:rsidRPr="00832640" w:rsidRDefault="0030325C" w:rsidP="00BD08ED">
            <w:pPr>
              <w:jc w:val="center"/>
              <w:rPr>
                <w:rFonts w:ascii="Aptos Narrow" w:hAnsi="Aptos Narrow"/>
                <w:color w:val="000000"/>
                <w:szCs w:val="22"/>
              </w:rPr>
            </w:pPr>
            <w:r w:rsidRPr="00832640">
              <w:rPr>
                <w:rFonts w:ascii="Aptos Narrow" w:hAnsi="Aptos Narrow"/>
                <w:color w:val="000000"/>
                <w:szCs w:val="22"/>
              </w:rPr>
              <w:t>240</w:t>
            </w:r>
          </w:p>
        </w:tc>
      </w:tr>
    </w:tbl>
    <w:p w14:paraId="16BD3A57" w14:textId="77777777" w:rsidR="0030325C" w:rsidRDefault="0030325C" w:rsidP="009C556C">
      <w:pPr>
        <w:rPr>
          <w:lang w:val="en-US" w:eastAsia="en-US"/>
        </w:rPr>
      </w:pPr>
    </w:p>
    <w:p w14:paraId="645C4C40" w14:textId="22E70DDF" w:rsidR="00C47EC7" w:rsidRDefault="00C47EC7" w:rsidP="009C556C">
      <w:pPr>
        <w:rPr>
          <w:lang w:val="en-US" w:eastAsia="en-US"/>
        </w:rPr>
      </w:pPr>
      <w:r>
        <w:rPr>
          <w:lang w:val="en-US" w:eastAsia="en-US"/>
        </w:rPr>
        <w:t xml:space="preserve">As </w:t>
      </w:r>
      <w:r w:rsidR="00730DC7">
        <w:rPr>
          <w:lang w:val="en-US" w:eastAsia="en-US"/>
        </w:rPr>
        <w:t>can be observed</w:t>
      </w:r>
      <w:r>
        <w:rPr>
          <w:lang w:val="en-US" w:eastAsia="en-US"/>
        </w:rPr>
        <w:t xml:space="preserve"> from the previous two tables, the TAC within RAR message may not be enough to indicate the required timing correction corresponding to a differential RTT within uncertainty areas with a radius larger than 20km and minimum elevation angles [e.g., less than 60 degress] for SCS = 240 KHz. The same may be observed for SCS = 120 KHz, where TAC is not enough to indicate timing correction within an uncertainty area with a radius of larger than 25 km and a minimum elevation angle of less than 45 degrees.</w:t>
      </w:r>
      <w:r w:rsidR="0070244F">
        <w:rPr>
          <w:lang w:val="en-US" w:eastAsia="en-US"/>
        </w:rPr>
        <w:t xml:space="preserve"> For an uncertainty area with a radius of 100km and a minimum elevation angle of less than 45 degree, the TAC is not enough to indicate the timing correction for a SCS &gt;= 30 degrees. In summary, the TAC may not be enough to adjust the timing offsets in some NTN scenarios.</w:t>
      </w:r>
    </w:p>
    <w:p w14:paraId="117F0C4C" w14:textId="77777777" w:rsidR="00C47EC7" w:rsidRDefault="00C47EC7" w:rsidP="009C556C">
      <w:pPr>
        <w:rPr>
          <w:lang w:val="en-US" w:eastAsia="en-US"/>
        </w:rPr>
      </w:pPr>
    </w:p>
    <w:p w14:paraId="1889FF3D" w14:textId="5B845343" w:rsidR="002D0EA8" w:rsidRPr="00DD6C0A" w:rsidRDefault="0030325C" w:rsidP="009C556C">
      <w:pPr>
        <w:rPr>
          <w:b/>
          <w:bCs/>
          <w:lang w:val="en-US" w:eastAsia="en-US"/>
        </w:rPr>
      </w:pPr>
      <w:r w:rsidRPr="00DD6C0A">
        <w:rPr>
          <w:b/>
          <w:bCs/>
          <w:lang w:val="en-US" w:eastAsia="en-US"/>
        </w:rPr>
        <w:t>Observation 2: TAC within RAR message may not be enough to adjust the timing offsets in some NTN scenarios.</w:t>
      </w:r>
    </w:p>
    <w:p w14:paraId="537F5D54" w14:textId="77777777" w:rsidR="0030325C" w:rsidRPr="00DD6C0A" w:rsidRDefault="0030325C" w:rsidP="009C556C">
      <w:pPr>
        <w:rPr>
          <w:b/>
          <w:bCs/>
          <w:lang w:val="en-US" w:eastAsia="en-US"/>
        </w:rPr>
      </w:pPr>
    </w:p>
    <w:p w14:paraId="33ACA937" w14:textId="47C0D60D" w:rsidR="0030325C" w:rsidRDefault="00DD6C0A" w:rsidP="009C556C">
      <w:pPr>
        <w:rPr>
          <w:b/>
          <w:bCs/>
          <w:lang w:val="en-US" w:eastAsia="en-US"/>
        </w:rPr>
      </w:pPr>
      <w:r w:rsidRPr="00DD6C0A">
        <w:rPr>
          <w:b/>
          <w:bCs/>
          <w:lang w:val="en-US" w:eastAsia="en-US"/>
        </w:rPr>
        <w:t xml:space="preserve">Observation 3: </w:t>
      </w:r>
      <w:r w:rsidR="0030325C" w:rsidRPr="00DD6C0A">
        <w:rPr>
          <w:b/>
          <w:bCs/>
          <w:lang w:val="en-US" w:eastAsia="en-US"/>
        </w:rPr>
        <w:t xml:space="preserve">An extension of TAC within RAR message may be needed </w:t>
      </w:r>
      <w:r w:rsidRPr="00DD6C0A">
        <w:rPr>
          <w:b/>
          <w:bCs/>
          <w:lang w:val="en-US" w:eastAsia="en-US"/>
        </w:rPr>
        <w:t>to cover different NTN scenarios, wherein the residual timing offset within the satellite’s uncertainty area with respect to a reference point is larger than the maximum value that may be indicated by a TAC.</w:t>
      </w:r>
    </w:p>
    <w:p w14:paraId="25798DF6" w14:textId="77777777" w:rsidR="00A96CC6" w:rsidRDefault="00A96CC6" w:rsidP="009C556C">
      <w:pPr>
        <w:rPr>
          <w:b/>
          <w:bCs/>
          <w:lang w:val="en-US" w:eastAsia="en-US"/>
        </w:rPr>
      </w:pPr>
    </w:p>
    <w:p w14:paraId="15BC6373" w14:textId="288F8F04" w:rsidR="00AF1C98" w:rsidRDefault="00AF1C98" w:rsidP="009C556C">
      <w:pPr>
        <w:rPr>
          <w:b/>
          <w:bCs/>
          <w:lang w:val="en-US" w:eastAsia="en-US"/>
        </w:rPr>
      </w:pPr>
      <w:r>
        <w:rPr>
          <w:b/>
          <w:bCs/>
          <w:lang w:val="en-US" w:eastAsia="en-US"/>
        </w:rPr>
        <w:t xml:space="preserve">Proposal 3: RAN1 to consider extending TAC within RAR to indicate larger timing offsets in case an NTN UE </w:t>
      </w:r>
      <w:r w:rsidR="00C715E2">
        <w:rPr>
          <w:b/>
          <w:bCs/>
          <w:lang w:val="en-US" w:eastAsia="en-US"/>
        </w:rPr>
        <w:t>might</w:t>
      </w:r>
      <w:r>
        <w:rPr>
          <w:b/>
          <w:bCs/>
          <w:lang w:val="en-US" w:eastAsia="en-US"/>
        </w:rPr>
        <w:t xml:space="preserve"> not be able to rely on GNSS when pre-compensating timing offsets.</w:t>
      </w:r>
    </w:p>
    <w:p w14:paraId="1298075F" w14:textId="77777777" w:rsidR="005C419B" w:rsidRDefault="005C419B" w:rsidP="009C556C">
      <w:pPr>
        <w:rPr>
          <w:b/>
          <w:bCs/>
          <w:lang w:val="en-US" w:eastAsia="en-US"/>
        </w:rPr>
      </w:pPr>
    </w:p>
    <w:p w14:paraId="069BA3F1" w14:textId="6B11C37C" w:rsidR="005C419B" w:rsidRPr="00A31570" w:rsidRDefault="00A31570" w:rsidP="009C556C">
      <w:pPr>
        <w:rPr>
          <w:lang w:val="en-US" w:eastAsia="en-US"/>
        </w:rPr>
      </w:pPr>
      <w:r w:rsidRPr="00A31570">
        <w:rPr>
          <w:lang w:val="en-US" w:eastAsia="en-US"/>
        </w:rPr>
        <w:t>Since the current RAR frame structure doesn’t have available bits to extend the TAC, and in order to ensure backward compatibility with pre rel-20 NTN UEs, other options may be considered to extend the timing offset values that may be indicated within TAC based on existing fields within the RAR message.</w:t>
      </w:r>
      <w:r w:rsidR="00465E30">
        <w:rPr>
          <w:lang w:val="en-US" w:eastAsia="en-US"/>
        </w:rPr>
        <w:t xml:space="preserve"> The current frame structure is given below, which has 12 bits allocated for TAC and no available bits to extend the TAC field.</w:t>
      </w:r>
    </w:p>
    <w:p w14:paraId="0346358A" w14:textId="77777777" w:rsidR="00A31570" w:rsidRDefault="00A31570" w:rsidP="009C556C">
      <w:pPr>
        <w:rPr>
          <w:b/>
          <w:bCs/>
          <w:lang w:val="en-US" w:eastAsia="en-US"/>
        </w:rPr>
      </w:pPr>
    </w:p>
    <w:p w14:paraId="3B8A6812" w14:textId="77777777" w:rsidR="00A31570" w:rsidRDefault="00A31570" w:rsidP="00A31570">
      <w:pPr>
        <w:keepNext/>
        <w:jc w:val="center"/>
      </w:pPr>
      <w:r>
        <w:rPr>
          <w:noProof/>
        </w:rPr>
        <w:lastRenderedPageBreak/>
        <w:drawing>
          <wp:inline distT="0" distB="0" distL="0" distR="0" wp14:anchorId="0F9749B5" wp14:editId="12047311">
            <wp:extent cx="1599868" cy="1320170"/>
            <wp:effectExtent l="0" t="0" r="635" b="0"/>
            <wp:docPr id="472247678" name="Grafik 1"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256527" name="Grafik 1" descr="Ein Bild, das Text, Screenshot, Schrift, Zahl enthält.&#10;&#10;KI-generierte Inhalte können fehlerhaft sein."/>
                    <pic:cNvPicPr/>
                  </pic:nvPicPr>
                  <pic:blipFill>
                    <a:blip r:embed="rId12"/>
                    <a:stretch>
                      <a:fillRect/>
                    </a:stretch>
                  </pic:blipFill>
                  <pic:spPr>
                    <a:xfrm>
                      <a:off x="0" y="0"/>
                      <a:ext cx="1611374" cy="1329664"/>
                    </a:xfrm>
                    <a:prstGeom prst="rect">
                      <a:avLst/>
                    </a:prstGeom>
                  </pic:spPr>
                </pic:pic>
              </a:graphicData>
            </a:graphic>
          </wp:inline>
        </w:drawing>
      </w:r>
    </w:p>
    <w:p w14:paraId="0D08F531" w14:textId="3CC1E7A0" w:rsidR="00A31570" w:rsidRDefault="00A31570" w:rsidP="00A31570">
      <w:pPr>
        <w:pStyle w:val="Beschriftung"/>
        <w:jc w:val="center"/>
        <w:rPr>
          <w:b w:val="0"/>
          <w:bCs w:val="0"/>
          <w:lang w:val="en-US" w:eastAsia="en-US"/>
        </w:rPr>
      </w:pPr>
      <w:r w:rsidRPr="004008C0">
        <w:rPr>
          <w:lang w:val="en-US"/>
        </w:rPr>
        <w:t xml:space="preserve">Figure </w:t>
      </w:r>
      <w:r>
        <w:fldChar w:fldCharType="begin"/>
      </w:r>
      <w:r w:rsidRPr="004008C0">
        <w:rPr>
          <w:lang w:val="en-US"/>
        </w:rPr>
        <w:instrText xml:space="preserve"> SEQ Figure \* ARABIC </w:instrText>
      </w:r>
      <w:r>
        <w:fldChar w:fldCharType="separate"/>
      </w:r>
      <w:r w:rsidR="00D04CF5">
        <w:rPr>
          <w:noProof/>
          <w:lang w:val="en-US"/>
        </w:rPr>
        <w:t>2</w:t>
      </w:r>
      <w:r>
        <w:fldChar w:fldCharType="end"/>
      </w:r>
      <w:r w:rsidRPr="004008C0">
        <w:rPr>
          <w:lang w:val="en-US"/>
        </w:rPr>
        <w:t xml:space="preserve"> RAR Frame Structure [2]</w:t>
      </w:r>
    </w:p>
    <w:p w14:paraId="72D77D96" w14:textId="77777777" w:rsidR="00AF1C98" w:rsidRDefault="00AF1C98" w:rsidP="009C556C">
      <w:pPr>
        <w:rPr>
          <w:b/>
          <w:bCs/>
          <w:lang w:val="en-US" w:eastAsia="en-US"/>
        </w:rPr>
      </w:pPr>
    </w:p>
    <w:p w14:paraId="77277240" w14:textId="4A9B7141" w:rsidR="00402F35" w:rsidRDefault="00402F35" w:rsidP="009C556C">
      <w:pPr>
        <w:rPr>
          <w:b/>
          <w:bCs/>
          <w:lang w:val="en-US" w:eastAsia="en-US"/>
        </w:rPr>
      </w:pPr>
      <w:r>
        <w:rPr>
          <w:b/>
          <w:bCs/>
          <w:lang w:val="en-US" w:eastAsia="en-US"/>
        </w:rPr>
        <w:t>Observation 4: The current RAR frame structure doesn’t have available bits to extend TAC.</w:t>
      </w:r>
    </w:p>
    <w:p w14:paraId="5CDC8B8D" w14:textId="77777777" w:rsidR="00402F35" w:rsidRDefault="00402F35" w:rsidP="009C556C">
      <w:pPr>
        <w:rPr>
          <w:b/>
          <w:bCs/>
          <w:lang w:val="en-US" w:eastAsia="en-US"/>
        </w:rPr>
      </w:pPr>
    </w:p>
    <w:p w14:paraId="74F28CA4" w14:textId="3D9C0835" w:rsidR="00402F35" w:rsidRDefault="00402F35" w:rsidP="009C556C">
      <w:pPr>
        <w:rPr>
          <w:b/>
          <w:bCs/>
          <w:lang w:val="en-US" w:eastAsia="en-US"/>
        </w:rPr>
      </w:pPr>
      <w:r>
        <w:rPr>
          <w:b/>
          <w:bCs/>
          <w:lang w:val="en-US" w:eastAsia="en-US"/>
        </w:rPr>
        <w:t>Proposal 4: RAN1 to study solutions to extend TAC/ increase the range of timing offset values that may be indicated by a TAC, while ensuring backward compatibility with pre rel-20 NTN UEs.</w:t>
      </w:r>
    </w:p>
    <w:p w14:paraId="133D82EC" w14:textId="77777777" w:rsidR="00C406D2" w:rsidRDefault="00C406D2" w:rsidP="009C556C">
      <w:pPr>
        <w:rPr>
          <w:b/>
          <w:bCs/>
          <w:lang w:val="en-US" w:eastAsia="en-US"/>
        </w:rPr>
      </w:pPr>
    </w:p>
    <w:p w14:paraId="2227D357" w14:textId="2926FCEA" w:rsidR="00C406D2" w:rsidRPr="00C406D2" w:rsidRDefault="00C406D2" w:rsidP="009C556C">
      <w:pPr>
        <w:rPr>
          <w:lang w:val="en-US" w:eastAsia="en-US"/>
        </w:rPr>
      </w:pPr>
      <w:r w:rsidRPr="00C406D2">
        <w:rPr>
          <w:lang w:val="en-US" w:eastAsia="en-US"/>
        </w:rPr>
        <w:t>One possible solution would be to utilize the current frame structure by defining different associations, which associate other fields within the RAR message [e.g., TC-RNTI or msg3 PUSCH Frequency resources (Uplink Grant)] with a certain offset/scaling factor to be applied on the indicated TAC in order to increase the range of indicated timing offset values.</w:t>
      </w:r>
    </w:p>
    <w:p w14:paraId="2EE8CED5" w14:textId="77777777" w:rsidR="00C406D2" w:rsidRDefault="00C406D2" w:rsidP="009C556C">
      <w:pPr>
        <w:rPr>
          <w:b/>
          <w:bCs/>
          <w:lang w:val="en-US" w:eastAsia="en-US"/>
        </w:rPr>
      </w:pPr>
    </w:p>
    <w:p w14:paraId="0337CA65" w14:textId="7A7FCDFF" w:rsidR="00C406D2" w:rsidRDefault="00C406D2" w:rsidP="009C556C">
      <w:pPr>
        <w:rPr>
          <w:b/>
          <w:bCs/>
          <w:lang w:val="en-US" w:eastAsia="en-US"/>
        </w:rPr>
      </w:pPr>
      <w:r>
        <w:rPr>
          <w:b/>
          <w:bCs/>
          <w:lang w:val="en-US" w:eastAsia="en-US"/>
        </w:rPr>
        <w:t>Proposal 5: RAN1 to consider utilizing the current RAR frame structure to extend the range of indicated timing offset values [e.g., TC-RNTI or msg3 PUSCH Frequency Resources associations].</w:t>
      </w:r>
    </w:p>
    <w:p w14:paraId="079860F2" w14:textId="77777777" w:rsidR="00402F35" w:rsidRPr="00DD6C0A" w:rsidRDefault="00402F35" w:rsidP="009C556C">
      <w:pPr>
        <w:rPr>
          <w:b/>
          <w:bCs/>
          <w:lang w:val="en-US" w:eastAsia="en-US"/>
        </w:rPr>
      </w:pPr>
    </w:p>
    <w:p w14:paraId="4DABD461" w14:textId="52F58664" w:rsidR="0020703C" w:rsidRDefault="00934D34" w:rsidP="00CB4269">
      <w:pPr>
        <w:rPr>
          <w:lang w:val="en-GB" w:eastAsia="en-US"/>
        </w:rPr>
      </w:pPr>
      <w:r>
        <w:rPr>
          <w:lang w:val="en-GB" w:eastAsia="en-US"/>
        </w:rPr>
        <w:t>Similarly, and i</w:t>
      </w:r>
      <w:r w:rsidR="002D16BC">
        <w:rPr>
          <w:lang w:val="en-GB" w:eastAsia="en-US"/>
        </w:rPr>
        <w:t xml:space="preserve">n case </w:t>
      </w:r>
      <w:r w:rsidR="00ED59C5">
        <w:rPr>
          <w:lang w:val="en-GB" w:eastAsia="en-US"/>
        </w:rPr>
        <w:t xml:space="preserve">a </w:t>
      </w:r>
      <w:r w:rsidR="002D16BC">
        <w:rPr>
          <w:lang w:val="en-GB" w:eastAsia="en-US"/>
        </w:rPr>
        <w:t>GNSS signal</w:t>
      </w:r>
      <w:r w:rsidR="00A36EB1">
        <w:rPr>
          <w:lang w:val="en-GB" w:eastAsia="en-US"/>
        </w:rPr>
        <w:t xml:space="preserve"> at the time of initiating a PRACH preamble by </w:t>
      </w:r>
      <w:r w:rsidR="00CE52C7">
        <w:rPr>
          <w:lang w:val="en-GB" w:eastAsia="en-US"/>
        </w:rPr>
        <w:t>an NTN</w:t>
      </w:r>
      <w:r w:rsidR="00A36EB1">
        <w:rPr>
          <w:lang w:val="en-GB" w:eastAsia="en-US"/>
        </w:rPr>
        <w:t xml:space="preserve"> UE</w:t>
      </w:r>
      <w:r w:rsidR="002D16BC">
        <w:rPr>
          <w:lang w:val="en-GB" w:eastAsia="en-US"/>
        </w:rPr>
        <w:t xml:space="preserve"> was temporarily unavailable or </w:t>
      </w:r>
      <w:r w:rsidR="00800EFD">
        <w:rPr>
          <w:lang w:val="en-GB" w:eastAsia="en-US"/>
        </w:rPr>
        <w:t>performance degraded</w:t>
      </w:r>
      <w:r w:rsidR="002D16BC">
        <w:rPr>
          <w:lang w:val="en-GB" w:eastAsia="en-US"/>
        </w:rPr>
        <w:t xml:space="preserve">, </w:t>
      </w:r>
      <w:r w:rsidR="006E6F05">
        <w:rPr>
          <w:lang w:val="en-GB" w:eastAsia="en-US"/>
        </w:rPr>
        <w:t>an NTN</w:t>
      </w:r>
      <w:r w:rsidR="002D16BC">
        <w:rPr>
          <w:lang w:val="en-GB" w:eastAsia="en-US"/>
        </w:rPr>
        <w:t xml:space="preserve"> UE may not be able to </w:t>
      </w:r>
      <w:r w:rsidR="009B0D0C">
        <w:rPr>
          <w:lang w:val="en-GB" w:eastAsia="en-US"/>
        </w:rPr>
        <w:t xml:space="preserve">fully </w:t>
      </w:r>
      <w:r w:rsidR="002D16BC">
        <w:rPr>
          <w:lang w:val="en-GB" w:eastAsia="en-US"/>
        </w:rPr>
        <w:t xml:space="preserve">pre-compensate the frequency </w:t>
      </w:r>
      <w:r w:rsidR="00800EFD">
        <w:rPr>
          <w:lang w:val="en-GB" w:eastAsia="en-US"/>
        </w:rPr>
        <w:t>offset</w:t>
      </w:r>
      <w:r>
        <w:rPr>
          <w:lang w:val="en-GB" w:eastAsia="en-US"/>
        </w:rPr>
        <w:t xml:space="preserve"> </w:t>
      </w:r>
      <w:r w:rsidR="006F391A">
        <w:rPr>
          <w:lang w:val="en-GB" w:eastAsia="en-US"/>
        </w:rPr>
        <w:t>before a</w:t>
      </w:r>
      <w:r>
        <w:rPr>
          <w:lang w:val="en-GB" w:eastAsia="en-US"/>
        </w:rPr>
        <w:t xml:space="preserve"> PRACH transmission</w:t>
      </w:r>
      <w:r w:rsidR="002D16BC">
        <w:rPr>
          <w:lang w:val="en-GB" w:eastAsia="en-US"/>
        </w:rPr>
        <w:t xml:space="preserve">, which depends on the location of the UE within the coverage of the satellite’s </w:t>
      </w:r>
      <w:r w:rsidR="009030B3">
        <w:rPr>
          <w:lang w:val="en-GB" w:eastAsia="en-US"/>
        </w:rPr>
        <w:t>uncertainty area</w:t>
      </w:r>
      <w:r w:rsidR="000619E1">
        <w:rPr>
          <w:lang w:val="en-GB" w:eastAsia="en-US"/>
        </w:rPr>
        <w:t xml:space="preserve"> as well as the ephemeris data</w:t>
      </w:r>
      <w:r w:rsidR="002D16BC">
        <w:rPr>
          <w:lang w:val="en-GB" w:eastAsia="en-US"/>
        </w:rPr>
        <w:t>.</w:t>
      </w:r>
      <w:r w:rsidR="00A36EB1">
        <w:rPr>
          <w:lang w:val="en-GB" w:eastAsia="en-US"/>
        </w:rPr>
        <w:t xml:space="preserve"> </w:t>
      </w:r>
      <w:r w:rsidR="00BE2E97">
        <w:rPr>
          <w:lang w:val="en-GB" w:eastAsia="en-US"/>
        </w:rPr>
        <w:t>A frequency closed loop mechanism needs to be specified in order to support frequency pre-compensation in an NTN operation</w:t>
      </w:r>
      <w:r w:rsidR="009030B3">
        <w:rPr>
          <w:lang w:val="en-GB" w:eastAsia="en-US"/>
        </w:rPr>
        <w:t>,</w:t>
      </w:r>
      <w:r w:rsidR="00BE2E97">
        <w:rPr>
          <w:lang w:val="en-GB" w:eastAsia="en-US"/>
        </w:rPr>
        <w:t xml:space="preserve"> </w:t>
      </w:r>
      <w:r w:rsidR="009030B3">
        <w:rPr>
          <w:lang w:val="en-GB" w:eastAsia="en-US"/>
        </w:rPr>
        <w:t>wherein a</w:t>
      </w:r>
      <w:r w:rsidR="00BE2E97">
        <w:rPr>
          <w:lang w:val="en-GB" w:eastAsia="en-US"/>
        </w:rPr>
        <w:t xml:space="preserve"> GNSS signal is temporarily unavailable or degraded.</w:t>
      </w:r>
    </w:p>
    <w:p w14:paraId="3751E1DB" w14:textId="77777777" w:rsidR="00CE52C7" w:rsidRDefault="00CE52C7" w:rsidP="00CB4269">
      <w:pPr>
        <w:rPr>
          <w:lang w:val="en-GB" w:eastAsia="en-US"/>
        </w:rPr>
      </w:pPr>
    </w:p>
    <w:p w14:paraId="27C9F18F" w14:textId="2354299D" w:rsidR="00A302E6" w:rsidRPr="008B1A11" w:rsidRDefault="00A302E6" w:rsidP="00CB4269">
      <w:pPr>
        <w:rPr>
          <w:b/>
          <w:bCs/>
          <w:lang w:val="en-GB" w:eastAsia="en-US"/>
        </w:rPr>
      </w:pPr>
      <w:r w:rsidRPr="008B1A11">
        <w:rPr>
          <w:b/>
          <w:bCs/>
          <w:lang w:val="en-GB" w:eastAsia="en-US"/>
        </w:rPr>
        <w:t xml:space="preserve">Observation </w:t>
      </w:r>
      <w:r w:rsidR="009030B3">
        <w:rPr>
          <w:b/>
          <w:bCs/>
          <w:lang w:val="en-GB" w:eastAsia="en-US"/>
        </w:rPr>
        <w:t>5</w:t>
      </w:r>
      <w:r w:rsidRPr="008B1A11">
        <w:rPr>
          <w:b/>
          <w:bCs/>
          <w:lang w:val="en-GB" w:eastAsia="en-US"/>
        </w:rPr>
        <w:t>: An NTN UE, and in case GNSS was temporarily unavailable or degraded at the time of initiating a PRACH preamble, may not be able to</w:t>
      </w:r>
      <w:r w:rsidR="009B0EE4">
        <w:rPr>
          <w:b/>
          <w:bCs/>
          <w:lang w:val="en-GB" w:eastAsia="en-US"/>
        </w:rPr>
        <w:t xml:space="preserve"> fully</w:t>
      </w:r>
      <w:r w:rsidRPr="008B1A11">
        <w:rPr>
          <w:b/>
          <w:bCs/>
          <w:lang w:val="en-GB" w:eastAsia="en-US"/>
        </w:rPr>
        <w:t xml:space="preserve"> pre-compensate </w:t>
      </w:r>
      <w:r w:rsidR="000619E1">
        <w:rPr>
          <w:b/>
          <w:bCs/>
          <w:lang w:val="en-GB" w:eastAsia="en-US"/>
        </w:rPr>
        <w:t>the</w:t>
      </w:r>
      <w:r w:rsidRPr="008B1A11">
        <w:rPr>
          <w:b/>
          <w:bCs/>
          <w:lang w:val="en-GB" w:eastAsia="en-US"/>
        </w:rPr>
        <w:t xml:space="preserve"> frequency offset</w:t>
      </w:r>
      <w:r w:rsidR="009B0EE4">
        <w:rPr>
          <w:b/>
          <w:bCs/>
          <w:lang w:val="en-GB" w:eastAsia="en-US"/>
        </w:rPr>
        <w:t xml:space="preserve">, which should be corrected by the network in a frequency </w:t>
      </w:r>
      <w:r w:rsidR="002C5C96">
        <w:rPr>
          <w:b/>
          <w:bCs/>
          <w:lang w:val="en-GB" w:eastAsia="en-US"/>
        </w:rPr>
        <w:t xml:space="preserve">correction </w:t>
      </w:r>
      <w:r w:rsidR="009B0EE4">
        <w:rPr>
          <w:b/>
          <w:bCs/>
          <w:lang w:val="en-GB" w:eastAsia="en-US"/>
        </w:rPr>
        <w:t>closed loop mechanism.</w:t>
      </w:r>
    </w:p>
    <w:p w14:paraId="77F19814" w14:textId="77777777" w:rsidR="00A302E6" w:rsidRPr="008B1A11" w:rsidRDefault="00A302E6" w:rsidP="00CB4269">
      <w:pPr>
        <w:rPr>
          <w:b/>
          <w:bCs/>
          <w:lang w:val="en-GB" w:eastAsia="en-US"/>
        </w:rPr>
      </w:pPr>
    </w:p>
    <w:p w14:paraId="3DC5958D" w14:textId="529FDAD4" w:rsidR="00A302E6" w:rsidRPr="008B1A11" w:rsidRDefault="00A302E6" w:rsidP="00CB4269">
      <w:pPr>
        <w:rPr>
          <w:b/>
          <w:bCs/>
          <w:lang w:val="en-GB" w:eastAsia="en-US"/>
        </w:rPr>
      </w:pPr>
      <w:r w:rsidRPr="008B1A11">
        <w:rPr>
          <w:b/>
          <w:bCs/>
          <w:lang w:val="en-GB" w:eastAsia="en-US"/>
        </w:rPr>
        <w:t xml:space="preserve">Observation </w:t>
      </w:r>
      <w:r w:rsidR="009030B3">
        <w:rPr>
          <w:b/>
          <w:bCs/>
          <w:lang w:val="en-GB" w:eastAsia="en-US"/>
        </w:rPr>
        <w:t>6</w:t>
      </w:r>
      <w:r w:rsidRPr="008B1A11">
        <w:rPr>
          <w:b/>
          <w:bCs/>
          <w:lang w:val="en-GB" w:eastAsia="en-US"/>
        </w:rPr>
        <w:t>: There is no frequency closed-loop mechanism that may allow the network to</w:t>
      </w:r>
      <w:r w:rsidR="00391153">
        <w:rPr>
          <w:b/>
          <w:bCs/>
          <w:lang w:val="en-GB" w:eastAsia="en-US"/>
        </w:rPr>
        <w:t xml:space="preserve"> track and</w:t>
      </w:r>
      <w:r w:rsidRPr="008B1A11">
        <w:rPr>
          <w:b/>
          <w:bCs/>
          <w:lang w:val="en-GB" w:eastAsia="en-US"/>
        </w:rPr>
        <w:t xml:space="preserve"> adjust the frequency offset of </w:t>
      </w:r>
      <w:r w:rsidR="00CE52C7" w:rsidRPr="008B1A11">
        <w:rPr>
          <w:b/>
          <w:bCs/>
          <w:lang w:val="en-GB" w:eastAsia="en-US"/>
        </w:rPr>
        <w:t>an NTN</w:t>
      </w:r>
      <w:r w:rsidRPr="008B1A11">
        <w:rPr>
          <w:b/>
          <w:bCs/>
          <w:lang w:val="en-GB" w:eastAsia="en-US"/>
        </w:rPr>
        <w:t xml:space="preserve"> UE during </w:t>
      </w:r>
      <w:r w:rsidR="00CD0C17">
        <w:rPr>
          <w:b/>
          <w:bCs/>
          <w:lang w:val="en-GB" w:eastAsia="en-US"/>
        </w:rPr>
        <w:t>i</w:t>
      </w:r>
      <w:r w:rsidR="00722719">
        <w:rPr>
          <w:b/>
          <w:bCs/>
          <w:lang w:val="en-GB" w:eastAsia="en-US"/>
        </w:rPr>
        <w:t xml:space="preserve">nitial access </w:t>
      </w:r>
      <w:r w:rsidR="009C556C" w:rsidRPr="008B1A11">
        <w:rPr>
          <w:b/>
          <w:bCs/>
          <w:lang w:val="en-GB" w:eastAsia="en-US"/>
        </w:rPr>
        <w:t xml:space="preserve">and </w:t>
      </w:r>
      <w:r w:rsidR="00800EFD">
        <w:rPr>
          <w:b/>
          <w:bCs/>
          <w:lang w:val="en-GB" w:eastAsia="en-US"/>
        </w:rPr>
        <w:t>c</w:t>
      </w:r>
      <w:r w:rsidR="009C556C" w:rsidRPr="008B1A11">
        <w:rPr>
          <w:b/>
          <w:bCs/>
          <w:lang w:val="en-GB" w:eastAsia="en-US"/>
        </w:rPr>
        <w:t>onnected</w:t>
      </w:r>
      <w:r w:rsidR="00CD0C17">
        <w:rPr>
          <w:b/>
          <w:bCs/>
          <w:lang w:val="en-GB" w:eastAsia="en-US"/>
        </w:rPr>
        <w:t xml:space="preserve"> mode</w:t>
      </w:r>
      <w:r w:rsidRPr="008B1A11">
        <w:rPr>
          <w:b/>
          <w:bCs/>
          <w:lang w:val="en-GB" w:eastAsia="en-US"/>
        </w:rPr>
        <w:t>.</w:t>
      </w:r>
    </w:p>
    <w:p w14:paraId="0F463ACE" w14:textId="77777777" w:rsidR="009C556C" w:rsidRPr="008B1A11" w:rsidRDefault="009C556C" w:rsidP="00CB4269">
      <w:pPr>
        <w:rPr>
          <w:b/>
          <w:bCs/>
          <w:lang w:val="en-GB" w:eastAsia="en-US"/>
        </w:rPr>
      </w:pPr>
    </w:p>
    <w:p w14:paraId="0B1F5840" w14:textId="62CDC078" w:rsidR="00A302E6" w:rsidRDefault="00A302E6" w:rsidP="009C556C">
      <w:pPr>
        <w:rPr>
          <w:b/>
          <w:bCs/>
          <w:lang w:val="en-GB" w:eastAsia="en-US"/>
        </w:rPr>
      </w:pPr>
      <w:r w:rsidRPr="008B1A11">
        <w:rPr>
          <w:b/>
          <w:bCs/>
          <w:lang w:val="en-GB" w:eastAsia="en-US"/>
        </w:rPr>
        <w:t xml:space="preserve">Proposal </w:t>
      </w:r>
      <w:r w:rsidR="00C406D2">
        <w:rPr>
          <w:b/>
          <w:bCs/>
          <w:lang w:val="en-GB" w:eastAsia="en-US"/>
        </w:rPr>
        <w:t>6</w:t>
      </w:r>
      <w:r w:rsidRPr="008B1A11">
        <w:rPr>
          <w:b/>
          <w:bCs/>
          <w:lang w:val="en-GB" w:eastAsia="en-US"/>
        </w:rPr>
        <w:t xml:space="preserve">: RAN1 to study specifying a frequency </w:t>
      </w:r>
      <w:r w:rsidR="009030B3">
        <w:rPr>
          <w:b/>
          <w:bCs/>
          <w:lang w:val="en-GB" w:eastAsia="en-US"/>
        </w:rPr>
        <w:t xml:space="preserve">correction </w:t>
      </w:r>
      <w:r w:rsidRPr="008B1A11">
        <w:rPr>
          <w:b/>
          <w:bCs/>
          <w:lang w:val="en-GB" w:eastAsia="en-US"/>
        </w:rPr>
        <w:t xml:space="preserve">closed-loop mechanism during </w:t>
      </w:r>
      <w:r w:rsidR="008562DD">
        <w:rPr>
          <w:b/>
          <w:bCs/>
          <w:lang w:val="en-GB" w:eastAsia="en-US"/>
        </w:rPr>
        <w:t>RACH procedure</w:t>
      </w:r>
      <w:r w:rsidRPr="008B1A11">
        <w:rPr>
          <w:b/>
          <w:bCs/>
          <w:lang w:val="en-GB" w:eastAsia="en-US"/>
        </w:rPr>
        <w:t>.</w:t>
      </w:r>
    </w:p>
    <w:p w14:paraId="395F5FAF" w14:textId="77777777" w:rsidR="008A6D38" w:rsidRDefault="008A6D38" w:rsidP="009C556C">
      <w:pPr>
        <w:rPr>
          <w:lang w:val="en-GB" w:eastAsia="en-US"/>
        </w:rPr>
      </w:pPr>
    </w:p>
    <w:p w14:paraId="06EE10A5" w14:textId="3ADE0DEC" w:rsidR="00C03294" w:rsidRDefault="008A6D38" w:rsidP="009C556C">
      <w:pPr>
        <w:rPr>
          <w:lang w:val="en-GB" w:eastAsia="en-US"/>
        </w:rPr>
      </w:pPr>
      <w:r>
        <w:rPr>
          <w:lang w:val="en-GB" w:eastAsia="en-US"/>
        </w:rPr>
        <w:t xml:space="preserve">The </w:t>
      </w:r>
      <w:r w:rsidR="00C03294" w:rsidRPr="00C03294">
        <w:rPr>
          <w:lang w:val="en-GB" w:eastAsia="en-US"/>
        </w:rPr>
        <w:t>network</w:t>
      </w:r>
      <w:r>
        <w:rPr>
          <w:lang w:val="en-GB" w:eastAsia="en-US"/>
        </w:rPr>
        <w:t>, and as part of a frequency correction closed loop mechanism, may need</w:t>
      </w:r>
      <w:r w:rsidR="00C03294" w:rsidRPr="00C03294">
        <w:rPr>
          <w:lang w:val="en-GB" w:eastAsia="en-US"/>
        </w:rPr>
        <w:t xml:space="preserve"> to</w:t>
      </w:r>
      <w:r>
        <w:rPr>
          <w:lang w:val="en-GB" w:eastAsia="en-US"/>
        </w:rPr>
        <w:t xml:space="preserve"> track and</w:t>
      </w:r>
      <w:r w:rsidR="00C03294" w:rsidRPr="00C03294">
        <w:rPr>
          <w:lang w:val="en-GB" w:eastAsia="en-US"/>
        </w:rPr>
        <w:t xml:space="preserve"> adjust the frequency offset of </w:t>
      </w:r>
      <w:r>
        <w:rPr>
          <w:lang w:val="en-GB" w:eastAsia="en-US"/>
        </w:rPr>
        <w:t>an NTN</w:t>
      </w:r>
      <w:r w:rsidR="00C03294" w:rsidRPr="00C03294">
        <w:rPr>
          <w:lang w:val="en-GB" w:eastAsia="en-US"/>
        </w:rPr>
        <w:t xml:space="preserve"> UE </w:t>
      </w:r>
      <w:r w:rsidR="004C5143">
        <w:rPr>
          <w:lang w:val="en-GB" w:eastAsia="en-US"/>
        </w:rPr>
        <w:t>using</w:t>
      </w:r>
      <w:r w:rsidR="00C03294" w:rsidRPr="00C03294">
        <w:rPr>
          <w:lang w:val="en-GB" w:eastAsia="en-US"/>
        </w:rPr>
        <w:t xml:space="preserve"> frequency offset correction command</w:t>
      </w:r>
      <w:r w:rsidR="004C5143">
        <w:rPr>
          <w:lang w:val="en-GB" w:eastAsia="en-US"/>
        </w:rPr>
        <w:t xml:space="preserve">s </w:t>
      </w:r>
      <w:r w:rsidR="00C03294" w:rsidRPr="00C03294">
        <w:rPr>
          <w:lang w:val="en-GB" w:eastAsia="en-US"/>
        </w:rPr>
        <w:t>similar to the timing advance command</w:t>
      </w:r>
      <w:r w:rsidR="004C5143">
        <w:rPr>
          <w:lang w:val="en-GB" w:eastAsia="en-US"/>
        </w:rPr>
        <w:t>s</w:t>
      </w:r>
      <w:r w:rsidR="00C03294" w:rsidRPr="00C03294">
        <w:rPr>
          <w:lang w:val="en-GB" w:eastAsia="en-US"/>
        </w:rPr>
        <w:t xml:space="preserve">. </w:t>
      </w:r>
      <w:r>
        <w:rPr>
          <w:lang w:val="en-GB" w:eastAsia="en-US"/>
        </w:rPr>
        <w:t>The network may use a RAR message</w:t>
      </w:r>
      <w:r w:rsidR="006F391A">
        <w:rPr>
          <w:lang w:val="en-GB" w:eastAsia="en-US"/>
        </w:rPr>
        <w:t>/msg2</w:t>
      </w:r>
      <w:r w:rsidR="006E6D3D">
        <w:rPr>
          <w:lang w:val="en-GB" w:eastAsia="en-US"/>
        </w:rPr>
        <w:t xml:space="preserve"> to </w:t>
      </w:r>
      <w:r>
        <w:rPr>
          <w:lang w:val="en-GB" w:eastAsia="en-US"/>
        </w:rPr>
        <w:t xml:space="preserve">send the frequency corrections to the UE. Since the current frame structure of RAR message doesn’t have available bits to indicate the frequency correction commands by the </w:t>
      </w:r>
      <w:r w:rsidR="006F391A">
        <w:rPr>
          <w:lang w:val="en-GB" w:eastAsia="en-US"/>
        </w:rPr>
        <w:t>network</w:t>
      </w:r>
      <w:r>
        <w:rPr>
          <w:lang w:val="en-GB" w:eastAsia="en-US"/>
        </w:rPr>
        <w:t xml:space="preserve">, </w:t>
      </w:r>
      <w:r w:rsidR="00CF64D9">
        <w:rPr>
          <w:lang w:val="en-GB" w:eastAsia="en-US"/>
        </w:rPr>
        <w:t>the</w:t>
      </w:r>
      <w:r>
        <w:rPr>
          <w:lang w:val="en-GB" w:eastAsia="en-US"/>
        </w:rPr>
        <w:t xml:space="preserve"> RAR message needs to be extended to contain the frequency offset command</w:t>
      </w:r>
      <w:r w:rsidR="00CF64D9">
        <w:rPr>
          <w:lang w:val="en-GB" w:eastAsia="en-US"/>
        </w:rPr>
        <w:t xml:space="preserve"> [FOC]</w:t>
      </w:r>
      <w:r>
        <w:rPr>
          <w:lang w:val="en-GB" w:eastAsia="en-US"/>
        </w:rPr>
        <w:t xml:space="preserve">. </w:t>
      </w:r>
    </w:p>
    <w:p w14:paraId="27F3929B" w14:textId="77777777" w:rsidR="008A6D38" w:rsidRDefault="008A6D38" w:rsidP="009C556C">
      <w:pPr>
        <w:rPr>
          <w:lang w:val="en-GB" w:eastAsia="en-US"/>
        </w:rPr>
      </w:pPr>
    </w:p>
    <w:p w14:paraId="6F1101CA" w14:textId="07274E8A" w:rsidR="008A6D38" w:rsidRDefault="008A6D38" w:rsidP="009C556C">
      <w:pPr>
        <w:rPr>
          <w:b/>
          <w:bCs/>
          <w:lang w:val="en-GB" w:eastAsia="en-US"/>
        </w:rPr>
      </w:pPr>
      <w:r w:rsidRPr="008A6D38">
        <w:rPr>
          <w:b/>
          <w:bCs/>
          <w:lang w:val="en-GB" w:eastAsia="en-US"/>
        </w:rPr>
        <w:lastRenderedPageBreak/>
        <w:t>Observation</w:t>
      </w:r>
      <w:r>
        <w:rPr>
          <w:b/>
          <w:bCs/>
          <w:lang w:val="en-GB" w:eastAsia="en-US"/>
        </w:rPr>
        <w:t xml:space="preserve"> </w:t>
      </w:r>
      <w:r w:rsidR="006E6D3D">
        <w:rPr>
          <w:b/>
          <w:bCs/>
          <w:lang w:val="en-GB" w:eastAsia="en-US"/>
        </w:rPr>
        <w:t>7</w:t>
      </w:r>
      <w:r w:rsidRPr="008A6D38">
        <w:rPr>
          <w:b/>
          <w:bCs/>
          <w:lang w:val="en-GB" w:eastAsia="en-US"/>
        </w:rPr>
        <w:t>: RAR message doesn’t have available bits to indicate the frequency offset command as part of a frequency correction closed-loop mechanism.</w:t>
      </w:r>
    </w:p>
    <w:p w14:paraId="66AB2EF0" w14:textId="77777777" w:rsidR="007B1834" w:rsidRDefault="007B1834" w:rsidP="009C556C">
      <w:pPr>
        <w:rPr>
          <w:b/>
          <w:bCs/>
          <w:lang w:val="en-GB" w:eastAsia="en-US"/>
        </w:rPr>
      </w:pPr>
    </w:p>
    <w:p w14:paraId="542B56BE" w14:textId="6C51C689" w:rsidR="008A6D38" w:rsidRDefault="008A6D38" w:rsidP="009C556C">
      <w:pPr>
        <w:rPr>
          <w:lang w:val="en-GB" w:eastAsia="en-US"/>
        </w:rPr>
      </w:pPr>
      <w:r w:rsidRPr="008A6D38">
        <w:rPr>
          <w:lang w:val="en-GB" w:eastAsia="en-US"/>
        </w:rPr>
        <w:t>The extension of RAR message may cause backward compatibility issues, as a pre rel-20 NTN UE may not be able to read the</w:t>
      </w:r>
      <w:r>
        <w:rPr>
          <w:lang w:val="en-GB" w:eastAsia="en-US"/>
        </w:rPr>
        <w:t xml:space="preserve"> </w:t>
      </w:r>
      <w:r w:rsidRPr="008A6D38">
        <w:rPr>
          <w:lang w:val="en-GB" w:eastAsia="en-US"/>
        </w:rPr>
        <w:t>extended</w:t>
      </w:r>
      <w:r w:rsidR="00413716">
        <w:rPr>
          <w:lang w:val="en-GB" w:eastAsia="en-US"/>
        </w:rPr>
        <w:t>/modified</w:t>
      </w:r>
      <w:r w:rsidRPr="008A6D38">
        <w:rPr>
          <w:lang w:val="en-GB" w:eastAsia="en-US"/>
        </w:rPr>
        <w:t xml:space="preserve"> RAR message</w:t>
      </w:r>
      <w:r w:rsidR="008E7A5B">
        <w:rPr>
          <w:lang w:val="en-GB" w:eastAsia="en-US"/>
        </w:rPr>
        <w:t>, and other solutions may be needed to ensure backward compatibility.</w:t>
      </w:r>
    </w:p>
    <w:p w14:paraId="270805F6" w14:textId="77777777" w:rsidR="008A6D38" w:rsidRDefault="008A6D38" w:rsidP="009C556C">
      <w:pPr>
        <w:rPr>
          <w:lang w:val="en-GB" w:eastAsia="en-US"/>
        </w:rPr>
      </w:pPr>
    </w:p>
    <w:p w14:paraId="2961CDEB" w14:textId="2433A51B" w:rsidR="008A6D38" w:rsidRDefault="008A6D38" w:rsidP="009C556C">
      <w:pPr>
        <w:rPr>
          <w:b/>
          <w:bCs/>
          <w:lang w:val="en-GB" w:eastAsia="en-US"/>
        </w:rPr>
      </w:pPr>
      <w:r w:rsidRPr="008A6D38">
        <w:rPr>
          <w:b/>
          <w:bCs/>
          <w:lang w:val="en-GB" w:eastAsia="en-US"/>
        </w:rPr>
        <w:t xml:space="preserve">Observation </w:t>
      </w:r>
      <w:r w:rsidR="0098633A">
        <w:rPr>
          <w:b/>
          <w:bCs/>
          <w:lang w:val="en-GB" w:eastAsia="en-US"/>
        </w:rPr>
        <w:t>8</w:t>
      </w:r>
      <w:r w:rsidRPr="008A6D38">
        <w:rPr>
          <w:b/>
          <w:bCs/>
          <w:lang w:val="en-GB" w:eastAsia="en-US"/>
        </w:rPr>
        <w:t>: The extension of RAR message to indicate the frequency offset corrections as part of a frequency correction closed-loop mechanism may cause backward compatibility issues with pre rel-20 NTN UEs.</w:t>
      </w:r>
    </w:p>
    <w:p w14:paraId="579749DF" w14:textId="4A870AEB" w:rsidR="0098633A" w:rsidRPr="003B794B" w:rsidRDefault="0098633A" w:rsidP="009C556C">
      <w:pPr>
        <w:rPr>
          <w:lang w:val="en-GB" w:eastAsia="en-US"/>
        </w:rPr>
      </w:pPr>
    </w:p>
    <w:p w14:paraId="4852091F" w14:textId="40BA406F" w:rsidR="003B794B" w:rsidRPr="003B794B" w:rsidRDefault="003B794B" w:rsidP="009C556C">
      <w:pPr>
        <w:rPr>
          <w:lang w:val="en-GB" w:eastAsia="en-US"/>
        </w:rPr>
      </w:pPr>
      <w:r w:rsidRPr="003B794B">
        <w:rPr>
          <w:lang w:val="en-GB" w:eastAsia="en-US"/>
        </w:rPr>
        <w:t>Similar to timing offset indication within TAC, the current RAR frame structure may be utilized to indicate the frequency corrections, where different options may be considered:</w:t>
      </w:r>
    </w:p>
    <w:p w14:paraId="68378E3B" w14:textId="77777777" w:rsidR="003B794B" w:rsidRDefault="003B794B" w:rsidP="009C556C">
      <w:pPr>
        <w:rPr>
          <w:b/>
          <w:bCs/>
          <w:lang w:val="en-GB" w:eastAsia="en-US"/>
        </w:rPr>
      </w:pPr>
    </w:p>
    <w:p w14:paraId="3B43017A" w14:textId="32763F0E" w:rsidR="003B794B" w:rsidRDefault="003B794B" w:rsidP="003B794B">
      <w:pPr>
        <w:pStyle w:val="Listenabsatz"/>
        <w:numPr>
          <w:ilvl w:val="0"/>
          <w:numId w:val="20"/>
        </w:numPr>
        <w:rPr>
          <w:rFonts w:eastAsia="Times New Roman"/>
          <w:sz w:val="24"/>
          <w:szCs w:val="24"/>
          <w:lang w:eastAsia="en-US"/>
        </w:rPr>
      </w:pPr>
      <w:r w:rsidRPr="003B794B">
        <w:rPr>
          <w:rFonts w:eastAsia="Times New Roman"/>
          <w:sz w:val="24"/>
          <w:szCs w:val="24"/>
          <w:lang w:eastAsia="en-US"/>
        </w:rPr>
        <w:t xml:space="preserve">The TAC field [12 bits] may be used to indicate both the timing corrections as well as the frequency corrections, where different associations may </w:t>
      </w:r>
      <w:r>
        <w:rPr>
          <w:rFonts w:eastAsia="Times New Roman"/>
          <w:sz w:val="24"/>
          <w:szCs w:val="24"/>
          <w:lang w:eastAsia="en-US"/>
        </w:rPr>
        <w:t xml:space="preserve">be </w:t>
      </w:r>
      <w:r w:rsidRPr="003B794B">
        <w:rPr>
          <w:rFonts w:eastAsia="Times New Roman"/>
          <w:sz w:val="24"/>
          <w:szCs w:val="24"/>
          <w:lang w:eastAsia="en-US"/>
        </w:rPr>
        <w:t>defined between the TAC and other fields within the RAR message [e.g., TC-RNTI, or msg3 PUSCH Freq resources], in such a way, that TC-RNTI or msg3 PUSCH Freq</w:t>
      </w:r>
      <w:r>
        <w:rPr>
          <w:rFonts w:eastAsia="Times New Roman"/>
          <w:sz w:val="24"/>
          <w:szCs w:val="24"/>
          <w:lang w:eastAsia="en-US"/>
        </w:rPr>
        <w:t xml:space="preserve">uency </w:t>
      </w:r>
      <w:r w:rsidRPr="003B794B">
        <w:rPr>
          <w:rFonts w:eastAsia="Times New Roman"/>
          <w:sz w:val="24"/>
          <w:szCs w:val="24"/>
          <w:lang w:eastAsia="en-US"/>
        </w:rPr>
        <w:t>resources may be grouped</w:t>
      </w:r>
      <w:r>
        <w:rPr>
          <w:rFonts w:eastAsia="Times New Roman"/>
          <w:sz w:val="24"/>
          <w:szCs w:val="24"/>
          <w:lang w:eastAsia="en-US"/>
        </w:rPr>
        <w:t xml:space="preserve"> into different groups</w:t>
      </w:r>
      <w:r w:rsidRPr="003B794B">
        <w:rPr>
          <w:rFonts w:eastAsia="Times New Roman"/>
          <w:sz w:val="24"/>
          <w:szCs w:val="24"/>
          <w:lang w:eastAsia="en-US"/>
        </w:rPr>
        <w:t>, whereby each group of TC-RNTIs or msg3 PUSCH freq</w:t>
      </w:r>
      <w:r>
        <w:rPr>
          <w:rFonts w:eastAsia="Times New Roman"/>
          <w:sz w:val="24"/>
          <w:szCs w:val="24"/>
          <w:lang w:eastAsia="en-US"/>
        </w:rPr>
        <w:t>uency</w:t>
      </w:r>
      <w:r w:rsidRPr="003B794B">
        <w:rPr>
          <w:rFonts w:eastAsia="Times New Roman"/>
          <w:sz w:val="24"/>
          <w:szCs w:val="24"/>
          <w:lang w:eastAsia="en-US"/>
        </w:rPr>
        <w:t xml:space="preserve"> resources may be associated with a certain offset/scaling factor to be applied on the TAC to derive the frequency offset correction. An NTN UE may apply the offset/scaling factor associated with the </w:t>
      </w:r>
      <w:r w:rsidR="00972DB4">
        <w:rPr>
          <w:rFonts w:eastAsia="Times New Roman"/>
          <w:sz w:val="24"/>
          <w:szCs w:val="24"/>
          <w:lang w:eastAsia="en-US"/>
        </w:rPr>
        <w:t>assigned</w:t>
      </w:r>
      <w:r w:rsidRPr="003B794B">
        <w:rPr>
          <w:rFonts w:eastAsia="Times New Roman"/>
          <w:sz w:val="24"/>
          <w:szCs w:val="24"/>
          <w:lang w:eastAsia="en-US"/>
        </w:rPr>
        <w:t xml:space="preserve"> TC-RNTI/msg3 PUSCH frequency resources on the indicated TAC to derive the FOC [Frequency offset command].</w:t>
      </w:r>
    </w:p>
    <w:p w14:paraId="1C37E123" w14:textId="77777777" w:rsidR="00146C15" w:rsidRPr="00972DB4" w:rsidRDefault="00146C15" w:rsidP="00146C15">
      <w:pPr>
        <w:rPr>
          <w:lang w:val="en-US" w:eastAsia="en-US"/>
        </w:rPr>
      </w:pPr>
    </w:p>
    <w:p w14:paraId="1B32A376" w14:textId="77777777" w:rsidR="00972DB4" w:rsidRDefault="00146C15" w:rsidP="00972DB4">
      <w:pPr>
        <w:keepNext/>
        <w:jc w:val="center"/>
      </w:pPr>
      <w:r w:rsidRPr="00E63573">
        <w:rPr>
          <w:noProof/>
        </w:rPr>
        <w:drawing>
          <wp:inline distT="0" distB="0" distL="0" distR="0" wp14:anchorId="42B38258" wp14:editId="70ED1EFA">
            <wp:extent cx="3645215" cy="2064070"/>
            <wp:effectExtent l="0" t="0" r="0" b="0"/>
            <wp:docPr id="1906515049" name="Grafik 1" descr="Ein Bild, das Text, Diagramm, Schrift,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15049" name="Grafik 1" descr="Ein Bild, das Text, Diagramm, Schrift, Screenshot enthält.&#10;&#10;KI-generierte Inhalte können fehlerhaft sein."/>
                    <pic:cNvPicPr/>
                  </pic:nvPicPr>
                  <pic:blipFill>
                    <a:blip r:embed="rId13"/>
                    <a:stretch>
                      <a:fillRect/>
                    </a:stretch>
                  </pic:blipFill>
                  <pic:spPr>
                    <a:xfrm>
                      <a:off x="0" y="0"/>
                      <a:ext cx="3667735" cy="2076822"/>
                    </a:xfrm>
                    <a:prstGeom prst="rect">
                      <a:avLst/>
                    </a:prstGeom>
                  </pic:spPr>
                </pic:pic>
              </a:graphicData>
            </a:graphic>
          </wp:inline>
        </w:drawing>
      </w:r>
    </w:p>
    <w:p w14:paraId="3E69F2E5" w14:textId="6D2EFF1F" w:rsidR="00146C15" w:rsidRPr="00972DB4" w:rsidRDefault="00972DB4" w:rsidP="00972DB4">
      <w:pPr>
        <w:pStyle w:val="Beschriftung"/>
        <w:jc w:val="center"/>
        <w:rPr>
          <w:rFonts w:eastAsia="Times New Roman"/>
          <w:sz w:val="24"/>
          <w:szCs w:val="24"/>
          <w:lang w:val="en-US" w:eastAsia="en-US"/>
        </w:rPr>
      </w:pPr>
      <w:r w:rsidRPr="00972DB4">
        <w:rPr>
          <w:lang w:val="en-US"/>
        </w:rPr>
        <w:t xml:space="preserve">Figure </w:t>
      </w:r>
      <w:r>
        <w:fldChar w:fldCharType="begin"/>
      </w:r>
      <w:r w:rsidRPr="00972DB4">
        <w:rPr>
          <w:lang w:val="en-US"/>
        </w:rPr>
        <w:instrText xml:space="preserve"> SEQ Figure \* ARABIC </w:instrText>
      </w:r>
      <w:r>
        <w:fldChar w:fldCharType="separate"/>
      </w:r>
      <w:r w:rsidR="00D04CF5">
        <w:rPr>
          <w:noProof/>
          <w:lang w:val="en-US"/>
        </w:rPr>
        <w:t>3</w:t>
      </w:r>
      <w:r>
        <w:fldChar w:fldCharType="end"/>
      </w:r>
      <w:r w:rsidRPr="00972DB4">
        <w:rPr>
          <w:lang w:val="en-US"/>
        </w:rPr>
        <w:t xml:space="preserve"> FOC Derivation Based on the Indicated TAC</w:t>
      </w:r>
    </w:p>
    <w:p w14:paraId="2E2FF6AC" w14:textId="052F4235" w:rsidR="00944FD7" w:rsidRDefault="00944FD7" w:rsidP="003B794B">
      <w:pPr>
        <w:pStyle w:val="Listenabsatz"/>
        <w:numPr>
          <w:ilvl w:val="0"/>
          <w:numId w:val="20"/>
        </w:numPr>
        <w:rPr>
          <w:rFonts w:eastAsia="Times New Roman"/>
          <w:sz w:val="24"/>
          <w:szCs w:val="24"/>
          <w:lang w:eastAsia="en-US"/>
        </w:rPr>
      </w:pPr>
      <w:r>
        <w:rPr>
          <w:rFonts w:eastAsia="Times New Roman"/>
          <w:sz w:val="24"/>
          <w:szCs w:val="24"/>
          <w:lang w:eastAsia="en-US"/>
        </w:rPr>
        <w:t>A new RAR frame structure may be specified, wherein, a pre rel-20 NTN UEs may still be able to receive the actual RAR message</w:t>
      </w:r>
      <w:r w:rsidR="002C14E1">
        <w:rPr>
          <w:rFonts w:eastAsia="Times New Roman"/>
          <w:sz w:val="24"/>
          <w:szCs w:val="24"/>
          <w:lang w:eastAsia="en-US"/>
        </w:rPr>
        <w:t xml:space="preserve"> [type 1]</w:t>
      </w:r>
      <w:r>
        <w:rPr>
          <w:rFonts w:eastAsia="Times New Roman"/>
          <w:sz w:val="24"/>
          <w:szCs w:val="24"/>
          <w:lang w:eastAsia="en-US"/>
        </w:rPr>
        <w:t xml:space="preserve">, while rel-20 NTN </w:t>
      </w:r>
      <w:r w:rsidR="002C14E1">
        <w:rPr>
          <w:rFonts w:eastAsia="Times New Roman"/>
          <w:sz w:val="24"/>
          <w:szCs w:val="24"/>
          <w:lang w:eastAsia="en-US"/>
        </w:rPr>
        <w:t xml:space="preserve">and onwards </w:t>
      </w:r>
      <w:r>
        <w:rPr>
          <w:rFonts w:eastAsia="Times New Roman"/>
          <w:sz w:val="24"/>
          <w:szCs w:val="24"/>
          <w:lang w:eastAsia="en-US"/>
        </w:rPr>
        <w:t>UEs may be able to receive the new RAR message</w:t>
      </w:r>
      <w:r w:rsidR="002C14E1">
        <w:rPr>
          <w:rFonts w:eastAsia="Times New Roman"/>
          <w:sz w:val="24"/>
          <w:szCs w:val="24"/>
          <w:lang w:eastAsia="en-US"/>
        </w:rPr>
        <w:t xml:space="preserve"> [type 2]</w:t>
      </w:r>
      <w:r>
        <w:rPr>
          <w:rFonts w:eastAsia="Times New Roman"/>
          <w:sz w:val="24"/>
          <w:szCs w:val="24"/>
          <w:lang w:eastAsia="en-US"/>
        </w:rPr>
        <w:t xml:space="preserve">. The new RAR message may have a frequency offset command as part of a frequency correction closed loop. </w:t>
      </w:r>
      <w:r w:rsidR="002005E6">
        <w:rPr>
          <w:rFonts w:eastAsia="Times New Roman"/>
          <w:sz w:val="24"/>
          <w:szCs w:val="24"/>
          <w:lang w:eastAsia="en-US"/>
        </w:rPr>
        <w:t xml:space="preserve">In such an approach, both the UE and the network should be able to negotiate the supported RAR type, and </w:t>
      </w:r>
      <w:r w:rsidR="002134A9">
        <w:rPr>
          <w:rFonts w:eastAsia="Times New Roman"/>
          <w:sz w:val="24"/>
          <w:szCs w:val="24"/>
          <w:lang w:eastAsia="en-US"/>
        </w:rPr>
        <w:t>to indicate which</w:t>
      </w:r>
      <w:r w:rsidR="002005E6">
        <w:rPr>
          <w:rFonts w:eastAsia="Times New Roman"/>
          <w:sz w:val="24"/>
          <w:szCs w:val="24"/>
          <w:lang w:eastAsia="en-US"/>
        </w:rPr>
        <w:t xml:space="preserve"> RAR type is going to be sent by the network in the next RACH procedure. </w:t>
      </w:r>
    </w:p>
    <w:p w14:paraId="4DB542E0" w14:textId="77777777" w:rsidR="00146C15" w:rsidRDefault="00146C15" w:rsidP="00146C15">
      <w:pPr>
        <w:keepNext/>
        <w:jc w:val="center"/>
      </w:pPr>
      <w:r w:rsidRPr="001C2EB3">
        <w:rPr>
          <w:noProof/>
        </w:rPr>
        <w:lastRenderedPageBreak/>
        <w:drawing>
          <wp:inline distT="0" distB="0" distL="0" distR="0" wp14:anchorId="2FEFE58B" wp14:editId="2145C27D">
            <wp:extent cx="2125442" cy="1669511"/>
            <wp:effectExtent l="0" t="0" r="8255" b="6985"/>
            <wp:docPr id="1642794613" name="Grafik 1" descr="Ein Bild, das Text, Screenshot, Schrif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794613" name="Grafik 1" descr="Ein Bild, das Text, Screenshot, Schrift, Zahl enthält.&#10;&#10;Automatisch generierte Beschreibung"/>
                    <pic:cNvPicPr/>
                  </pic:nvPicPr>
                  <pic:blipFill>
                    <a:blip r:embed="rId14"/>
                    <a:stretch>
                      <a:fillRect/>
                    </a:stretch>
                  </pic:blipFill>
                  <pic:spPr>
                    <a:xfrm>
                      <a:off x="0" y="0"/>
                      <a:ext cx="2148290" cy="1687458"/>
                    </a:xfrm>
                    <a:prstGeom prst="rect">
                      <a:avLst/>
                    </a:prstGeom>
                  </pic:spPr>
                </pic:pic>
              </a:graphicData>
            </a:graphic>
          </wp:inline>
        </w:drawing>
      </w:r>
    </w:p>
    <w:p w14:paraId="1193ECA4" w14:textId="1B2FEA9F" w:rsidR="00146C15" w:rsidRPr="00BA47B5" w:rsidRDefault="00146C15" w:rsidP="00146C15">
      <w:pPr>
        <w:pStyle w:val="Beschriftung"/>
        <w:jc w:val="center"/>
        <w:rPr>
          <w:lang w:val="en-US" w:eastAsia="en-US"/>
        </w:rPr>
      </w:pPr>
      <w:r w:rsidRPr="00BA47B5">
        <w:rPr>
          <w:lang w:val="en-US"/>
        </w:rPr>
        <w:t xml:space="preserve">Figure </w:t>
      </w:r>
      <w:r>
        <w:fldChar w:fldCharType="begin"/>
      </w:r>
      <w:r w:rsidRPr="00BA47B5">
        <w:rPr>
          <w:lang w:val="en-US"/>
        </w:rPr>
        <w:instrText xml:space="preserve"> SEQ Figure \* ARABIC </w:instrText>
      </w:r>
      <w:r>
        <w:fldChar w:fldCharType="separate"/>
      </w:r>
      <w:r w:rsidR="00D04CF5">
        <w:rPr>
          <w:noProof/>
          <w:lang w:val="en-US"/>
        </w:rPr>
        <w:t>4</w:t>
      </w:r>
      <w:r>
        <w:fldChar w:fldCharType="end"/>
      </w:r>
      <w:r w:rsidRPr="00BA47B5">
        <w:rPr>
          <w:lang w:val="en-US"/>
        </w:rPr>
        <w:t xml:space="preserve"> Modified RAR structure with FOC</w:t>
      </w:r>
    </w:p>
    <w:p w14:paraId="348405A8" w14:textId="77777777" w:rsidR="00146C15" w:rsidRPr="00BA47B5" w:rsidRDefault="00146C15" w:rsidP="00146C15">
      <w:pPr>
        <w:jc w:val="center"/>
        <w:rPr>
          <w:lang w:val="en-US" w:eastAsia="en-US"/>
        </w:rPr>
      </w:pPr>
    </w:p>
    <w:p w14:paraId="66567374" w14:textId="038305D5" w:rsidR="002C14E1" w:rsidRDefault="002C14E1" w:rsidP="002C14E1">
      <w:pPr>
        <w:rPr>
          <w:b/>
          <w:bCs/>
          <w:lang w:val="en-GB" w:eastAsia="en-US"/>
        </w:rPr>
      </w:pPr>
      <w:r w:rsidRPr="002C14E1">
        <w:rPr>
          <w:b/>
          <w:bCs/>
          <w:lang w:val="en-GB" w:eastAsia="en-US"/>
        </w:rPr>
        <w:t xml:space="preserve">Proposal </w:t>
      </w:r>
      <w:r w:rsidR="00C406D2">
        <w:rPr>
          <w:b/>
          <w:bCs/>
          <w:lang w:val="en-GB" w:eastAsia="en-US"/>
        </w:rPr>
        <w:t>7</w:t>
      </w:r>
      <w:r w:rsidRPr="002C14E1">
        <w:rPr>
          <w:b/>
          <w:bCs/>
          <w:lang w:val="en-GB" w:eastAsia="en-US"/>
        </w:rPr>
        <w:t>: RAN1 to study different solutions to indicate the frequency offset corrections as part of a frequency correction closed loop, while ensuring backward compatibility with pre rel-20 NTN UEs</w:t>
      </w:r>
      <w:r>
        <w:rPr>
          <w:b/>
          <w:bCs/>
          <w:lang w:val="en-GB" w:eastAsia="en-US"/>
        </w:rPr>
        <w:t xml:space="preserve">, and may consider the following </w:t>
      </w:r>
      <w:r w:rsidR="00760324">
        <w:rPr>
          <w:b/>
          <w:bCs/>
          <w:lang w:val="en-GB" w:eastAsia="en-US"/>
        </w:rPr>
        <w:t>solutions</w:t>
      </w:r>
      <w:r>
        <w:rPr>
          <w:b/>
          <w:bCs/>
          <w:lang w:val="en-GB" w:eastAsia="en-US"/>
        </w:rPr>
        <w:t>:</w:t>
      </w:r>
    </w:p>
    <w:p w14:paraId="0AEEB808" w14:textId="72FA8628" w:rsidR="002C14E1" w:rsidRDefault="002C14E1" w:rsidP="002C14E1">
      <w:pPr>
        <w:pStyle w:val="Listenabsatz"/>
        <w:numPr>
          <w:ilvl w:val="0"/>
          <w:numId w:val="21"/>
        </w:numPr>
        <w:rPr>
          <w:b/>
          <w:bCs/>
          <w:lang w:eastAsia="en-US"/>
        </w:rPr>
      </w:pPr>
      <w:r>
        <w:rPr>
          <w:b/>
          <w:bCs/>
          <w:lang w:eastAsia="en-US"/>
        </w:rPr>
        <w:t>The same field within RAR message may be used to indicate both the timing advance correction [TAC] as well as the frequency offset correction [FOC] by specifying different associations between TAC and other fields within RAR message [e.g., TC-RNTI, msg3 PUSCH frequency resource], where each association corresponds to a particular offset/scaling factor to be applied on the TAC to derive the FOC.</w:t>
      </w:r>
    </w:p>
    <w:p w14:paraId="79365086" w14:textId="14D582AC" w:rsidR="002C14E1" w:rsidRDefault="002C14E1" w:rsidP="002C14E1">
      <w:pPr>
        <w:pStyle w:val="Listenabsatz"/>
        <w:numPr>
          <w:ilvl w:val="0"/>
          <w:numId w:val="21"/>
        </w:numPr>
        <w:rPr>
          <w:b/>
          <w:bCs/>
          <w:lang w:eastAsia="en-US"/>
        </w:rPr>
      </w:pPr>
      <w:r>
        <w:rPr>
          <w:b/>
          <w:bCs/>
          <w:lang w:eastAsia="en-US"/>
        </w:rPr>
        <w:t>A new RAR message for rel-20 and onwards UEs, which contains FOC.</w:t>
      </w:r>
    </w:p>
    <w:p w14:paraId="27828444" w14:textId="77777777" w:rsidR="002C14E1" w:rsidRPr="004008C0" w:rsidRDefault="002C14E1" w:rsidP="002C14E1">
      <w:pPr>
        <w:rPr>
          <w:b/>
          <w:bCs/>
          <w:lang w:val="en-US" w:eastAsia="en-US"/>
        </w:rPr>
      </w:pPr>
    </w:p>
    <w:p w14:paraId="41EA6780" w14:textId="3BBAC85D" w:rsidR="002C14E1" w:rsidRDefault="002C14E1" w:rsidP="002C14E1">
      <w:pPr>
        <w:rPr>
          <w:lang w:val="en-GB" w:eastAsia="en-US"/>
        </w:rPr>
      </w:pPr>
      <w:r w:rsidRPr="00146C15">
        <w:rPr>
          <w:lang w:val="en-GB" w:eastAsia="en-US"/>
        </w:rPr>
        <w:t>The new RAR structure may indicate an extended TAC in cases, where the differential delay within the satellite’s uncertainty area</w:t>
      </w:r>
      <w:r w:rsidR="00146C15" w:rsidRPr="00146C15">
        <w:rPr>
          <w:lang w:val="en-GB" w:eastAsia="en-US"/>
        </w:rPr>
        <w:t xml:space="preserve"> is larger than maximum value that could be indicated by the current TAC. </w:t>
      </w:r>
    </w:p>
    <w:p w14:paraId="27866B65" w14:textId="77777777" w:rsidR="00BA47B5" w:rsidRPr="00146C15" w:rsidRDefault="00BA47B5" w:rsidP="002C14E1">
      <w:pPr>
        <w:rPr>
          <w:lang w:val="en-GB" w:eastAsia="en-US"/>
        </w:rPr>
      </w:pPr>
    </w:p>
    <w:p w14:paraId="319C6CB0" w14:textId="5E8E6C5A" w:rsidR="00146C15" w:rsidRDefault="00146C15" w:rsidP="000A304B">
      <w:pPr>
        <w:rPr>
          <w:b/>
          <w:bCs/>
          <w:lang w:val="en-US" w:eastAsia="en-US"/>
        </w:rPr>
      </w:pPr>
      <w:r>
        <w:rPr>
          <w:b/>
          <w:bCs/>
          <w:lang w:val="en-US" w:eastAsia="en-US"/>
        </w:rPr>
        <w:t xml:space="preserve">Proposal </w:t>
      </w:r>
      <w:r w:rsidR="00C406D2">
        <w:rPr>
          <w:b/>
          <w:bCs/>
          <w:lang w:val="en-US" w:eastAsia="en-US"/>
        </w:rPr>
        <w:t>8</w:t>
      </w:r>
      <w:r>
        <w:rPr>
          <w:b/>
          <w:bCs/>
          <w:lang w:val="en-US" w:eastAsia="en-US"/>
        </w:rPr>
        <w:t>: RAN1 to study specifying a new RAR message with an extended TAC for rel-20 and onwards UEs.</w:t>
      </w:r>
    </w:p>
    <w:p w14:paraId="6B724CA6" w14:textId="77777777" w:rsidR="000A304B" w:rsidRDefault="000A304B" w:rsidP="008E7A5B">
      <w:pPr>
        <w:rPr>
          <w:b/>
          <w:bCs/>
          <w:lang w:val="en-GB" w:eastAsia="en-US"/>
        </w:rPr>
      </w:pPr>
    </w:p>
    <w:p w14:paraId="51BF7B35" w14:textId="75822E92" w:rsidR="000D1B28" w:rsidRPr="000D1B28" w:rsidRDefault="000D1B28" w:rsidP="000D1B28">
      <w:pPr>
        <w:pStyle w:val="berschrift1"/>
        <w:numPr>
          <w:ilvl w:val="0"/>
          <w:numId w:val="2"/>
        </w:numPr>
        <w:rPr>
          <w:rFonts w:asciiTheme="majorBidi" w:hAnsiTheme="majorBidi" w:cstheme="majorBidi"/>
        </w:rPr>
      </w:pPr>
      <w:r w:rsidRPr="000D1B28">
        <w:rPr>
          <w:rFonts w:asciiTheme="majorBidi" w:hAnsiTheme="majorBidi" w:cstheme="majorBidi"/>
        </w:rPr>
        <w:t>GNSS</w:t>
      </w:r>
      <w:r>
        <w:rPr>
          <w:rFonts w:asciiTheme="majorBidi" w:hAnsiTheme="majorBidi" w:cstheme="majorBidi"/>
        </w:rPr>
        <w:t xml:space="preserve"> Signal</w:t>
      </w:r>
      <w:r w:rsidRPr="000D1B28">
        <w:rPr>
          <w:rFonts w:asciiTheme="majorBidi" w:hAnsiTheme="majorBidi" w:cstheme="majorBidi"/>
        </w:rPr>
        <w:t xml:space="preserve"> Quality</w:t>
      </w:r>
    </w:p>
    <w:p w14:paraId="16BBB3AC" w14:textId="519776EB" w:rsidR="00725AFF" w:rsidRPr="000D1B28" w:rsidRDefault="000D1B28" w:rsidP="009C556C">
      <w:pPr>
        <w:rPr>
          <w:lang w:val="en-GB" w:eastAsia="en-US"/>
        </w:rPr>
      </w:pPr>
      <w:r w:rsidRPr="000D1B28">
        <w:rPr>
          <w:lang w:val="en-GB" w:eastAsia="en-US"/>
        </w:rPr>
        <w:t xml:space="preserve">An NTN UE, and in case GNSS signal was available but spoofed, may be able to evaluate the quality </w:t>
      </w:r>
      <w:r w:rsidR="00467718">
        <w:rPr>
          <w:lang w:val="en-GB" w:eastAsia="en-US"/>
        </w:rPr>
        <w:t xml:space="preserve">and reliability </w:t>
      </w:r>
      <w:r w:rsidRPr="000D1B28">
        <w:rPr>
          <w:lang w:val="en-GB" w:eastAsia="en-US"/>
        </w:rPr>
        <w:t>of GNSS signal by comparing the accuracy of location information provided by GNSS with other assistance information provided by the network. An NTN UE may consider a</w:t>
      </w:r>
      <w:r w:rsidR="008E7A5B">
        <w:rPr>
          <w:lang w:val="en-GB" w:eastAsia="en-US"/>
        </w:rPr>
        <w:t xml:space="preserve"> </w:t>
      </w:r>
      <w:r w:rsidRPr="000D1B28">
        <w:rPr>
          <w:lang w:val="en-GB" w:eastAsia="en-US"/>
        </w:rPr>
        <w:t xml:space="preserve">GNSS signal as not reliable in case the location information provided by GNSS deviates by a predefined </w:t>
      </w:r>
      <w:r w:rsidR="008E7A5B">
        <w:rPr>
          <w:lang w:val="en-GB" w:eastAsia="en-US"/>
        </w:rPr>
        <w:t>value</w:t>
      </w:r>
      <w:r w:rsidRPr="000D1B28">
        <w:rPr>
          <w:lang w:val="en-GB" w:eastAsia="en-US"/>
        </w:rPr>
        <w:t xml:space="preserve"> from the assistance information provided by the network. Alternatively, the network, and in case a GNSS signal was considered spoofed or unreliable, may be able to indicate this to </w:t>
      </w:r>
      <w:r w:rsidR="00467718">
        <w:rPr>
          <w:lang w:val="en-GB" w:eastAsia="en-US"/>
        </w:rPr>
        <w:t>the</w:t>
      </w:r>
      <w:r w:rsidRPr="000D1B28">
        <w:rPr>
          <w:lang w:val="en-GB" w:eastAsia="en-US"/>
        </w:rPr>
        <w:t xml:space="preserve"> UE in order not to consider the position information provided by GNSS.</w:t>
      </w:r>
    </w:p>
    <w:p w14:paraId="0FD291F9" w14:textId="77777777" w:rsidR="000D1B28" w:rsidRDefault="000D1B28" w:rsidP="009C556C">
      <w:pPr>
        <w:rPr>
          <w:b/>
          <w:bCs/>
          <w:lang w:val="en-GB" w:eastAsia="en-US"/>
        </w:rPr>
      </w:pPr>
    </w:p>
    <w:p w14:paraId="780F1F6D" w14:textId="7137EDB2" w:rsidR="000D1B28" w:rsidRDefault="000D1B28" w:rsidP="009C556C">
      <w:pPr>
        <w:rPr>
          <w:b/>
          <w:bCs/>
          <w:lang w:val="en-GB" w:eastAsia="en-US"/>
        </w:rPr>
      </w:pPr>
      <w:bookmarkStart w:id="2" w:name="_Hlk210317140"/>
      <w:r>
        <w:rPr>
          <w:b/>
          <w:bCs/>
          <w:lang w:val="en-GB" w:eastAsia="en-US"/>
        </w:rPr>
        <w:t xml:space="preserve">Observation </w:t>
      </w:r>
      <w:r w:rsidR="00BA47B5">
        <w:rPr>
          <w:b/>
          <w:bCs/>
          <w:lang w:val="en-GB" w:eastAsia="en-US"/>
        </w:rPr>
        <w:t>9</w:t>
      </w:r>
      <w:r>
        <w:rPr>
          <w:b/>
          <w:bCs/>
          <w:lang w:val="en-GB" w:eastAsia="en-US"/>
        </w:rPr>
        <w:t xml:space="preserve">: An NTN UE may be provided by the network with assistance information that may indicate implicitly or explicitly whether GNSS signal was spoofed or unreliable. </w:t>
      </w:r>
    </w:p>
    <w:p w14:paraId="670811AF" w14:textId="77777777" w:rsidR="000D1B28" w:rsidRDefault="000D1B28" w:rsidP="009C556C">
      <w:pPr>
        <w:rPr>
          <w:b/>
          <w:bCs/>
          <w:lang w:val="en-GB" w:eastAsia="en-US"/>
        </w:rPr>
      </w:pPr>
    </w:p>
    <w:p w14:paraId="27DE2BD2" w14:textId="54308180" w:rsidR="008C3D68" w:rsidRPr="008B1A11" w:rsidRDefault="000D1B28" w:rsidP="000A304B">
      <w:pPr>
        <w:rPr>
          <w:b/>
          <w:bCs/>
          <w:lang w:val="en-GB" w:eastAsia="en-US"/>
        </w:rPr>
      </w:pPr>
      <w:r>
        <w:rPr>
          <w:b/>
          <w:bCs/>
          <w:lang w:val="en-GB" w:eastAsia="en-US"/>
        </w:rPr>
        <w:t xml:space="preserve">Proposal </w:t>
      </w:r>
      <w:r w:rsidR="00C406D2">
        <w:rPr>
          <w:b/>
          <w:bCs/>
          <w:lang w:val="en-GB" w:eastAsia="en-US"/>
        </w:rPr>
        <w:t>9</w:t>
      </w:r>
      <w:r>
        <w:rPr>
          <w:b/>
          <w:bCs/>
          <w:lang w:val="en-GB" w:eastAsia="en-US"/>
        </w:rPr>
        <w:t>: RAN 1 to study mechanisms to assist an NTN UE evaluating the reliability of</w:t>
      </w:r>
      <w:r w:rsidR="00467718">
        <w:rPr>
          <w:b/>
          <w:bCs/>
          <w:lang w:val="en-GB" w:eastAsia="en-US"/>
        </w:rPr>
        <w:t xml:space="preserve"> an available</w:t>
      </w:r>
      <w:r>
        <w:rPr>
          <w:b/>
          <w:bCs/>
          <w:lang w:val="en-GB" w:eastAsia="en-US"/>
        </w:rPr>
        <w:t xml:space="preserve"> GNSS signal.</w:t>
      </w:r>
      <w:bookmarkEnd w:id="2"/>
    </w:p>
    <w:p w14:paraId="02D6983D" w14:textId="0F4060DC" w:rsidR="00A302E6" w:rsidRPr="00A302E6" w:rsidRDefault="00A302E6" w:rsidP="00A302E6">
      <w:pPr>
        <w:pStyle w:val="berschrift1"/>
        <w:numPr>
          <w:ilvl w:val="0"/>
          <w:numId w:val="2"/>
        </w:numPr>
        <w:rPr>
          <w:rFonts w:asciiTheme="majorBidi" w:hAnsiTheme="majorBidi" w:cstheme="majorBidi"/>
        </w:rPr>
      </w:pPr>
      <w:r w:rsidRPr="00A302E6">
        <w:rPr>
          <w:rFonts w:asciiTheme="majorBidi" w:hAnsiTheme="majorBidi" w:cstheme="majorBidi"/>
        </w:rPr>
        <w:t>Summary</w:t>
      </w:r>
    </w:p>
    <w:p w14:paraId="63D98A35" w14:textId="77777777" w:rsidR="00A302E6" w:rsidRDefault="00A302E6" w:rsidP="00CB4269">
      <w:pPr>
        <w:rPr>
          <w:lang w:val="en-GB" w:eastAsia="en-US"/>
        </w:rPr>
      </w:pPr>
    </w:p>
    <w:p w14:paraId="3BEB9672" w14:textId="77777777" w:rsidR="007B1834" w:rsidRDefault="007B1834" w:rsidP="007B1834">
      <w:pPr>
        <w:rPr>
          <w:b/>
          <w:bCs/>
          <w:lang w:val="en-US" w:eastAsia="en-US"/>
        </w:rPr>
      </w:pPr>
      <w:r w:rsidRPr="006A06C6">
        <w:rPr>
          <w:b/>
          <w:bCs/>
          <w:lang w:val="en-US" w:eastAsia="en-US"/>
        </w:rPr>
        <w:t>Proposal</w:t>
      </w:r>
      <w:r>
        <w:rPr>
          <w:b/>
          <w:bCs/>
          <w:lang w:val="en-US" w:eastAsia="en-US"/>
        </w:rPr>
        <w:t xml:space="preserve"> 1</w:t>
      </w:r>
      <w:r w:rsidRPr="006A06C6">
        <w:rPr>
          <w:b/>
          <w:bCs/>
          <w:lang w:val="en-US" w:eastAsia="en-US"/>
        </w:rPr>
        <w:t xml:space="preserve">: RAN1 to consider </w:t>
      </w:r>
      <w:r>
        <w:rPr>
          <w:b/>
          <w:bCs/>
          <w:lang w:val="en-US" w:eastAsia="en-US"/>
        </w:rPr>
        <w:t xml:space="preserve">the center of the satellite’s uncertainty area to be used as a </w:t>
      </w:r>
      <w:r w:rsidRPr="006A06C6">
        <w:rPr>
          <w:b/>
          <w:bCs/>
          <w:lang w:val="en-US" w:eastAsia="en-US"/>
        </w:rPr>
        <w:t>reference point</w:t>
      </w:r>
      <w:r>
        <w:rPr>
          <w:b/>
          <w:bCs/>
          <w:lang w:val="en-US" w:eastAsia="en-US"/>
        </w:rPr>
        <w:t xml:space="preserve">, which is </w:t>
      </w:r>
      <w:r w:rsidRPr="006A06C6">
        <w:rPr>
          <w:b/>
          <w:bCs/>
          <w:lang w:val="en-US" w:eastAsia="en-US"/>
        </w:rPr>
        <w:t xml:space="preserve">used by an NTN UE to pre-compensate UL time and frequency </w:t>
      </w:r>
      <w:r>
        <w:rPr>
          <w:b/>
          <w:bCs/>
          <w:lang w:val="en-US" w:eastAsia="en-US"/>
        </w:rPr>
        <w:t xml:space="preserve">in </w:t>
      </w:r>
      <w:r>
        <w:rPr>
          <w:b/>
          <w:bCs/>
          <w:lang w:val="en-US" w:eastAsia="en-US"/>
        </w:rPr>
        <w:lastRenderedPageBreak/>
        <w:t>case of a resilient GNSS operation, which</w:t>
      </w:r>
      <w:r w:rsidRPr="006A06C6">
        <w:rPr>
          <w:b/>
          <w:bCs/>
          <w:lang w:val="en-US" w:eastAsia="en-US"/>
        </w:rPr>
        <w:t xml:space="preserve"> </w:t>
      </w:r>
      <w:r>
        <w:rPr>
          <w:b/>
          <w:bCs/>
          <w:lang w:val="en-US" w:eastAsia="en-US"/>
        </w:rPr>
        <w:t>helps minimizing the residual differential delay/doppler with respect to the reference point.</w:t>
      </w:r>
    </w:p>
    <w:p w14:paraId="3164684B" w14:textId="77777777" w:rsidR="007B1834" w:rsidRPr="008B1A11" w:rsidRDefault="007B1834" w:rsidP="007B1834">
      <w:pPr>
        <w:rPr>
          <w:b/>
          <w:bCs/>
          <w:lang w:val="en-US" w:eastAsia="en-US"/>
        </w:rPr>
      </w:pPr>
      <w:r w:rsidRPr="008B1A11">
        <w:rPr>
          <w:b/>
          <w:bCs/>
          <w:lang w:val="en-US" w:eastAsia="en-US"/>
        </w:rPr>
        <w:t xml:space="preserve">Observation 1: An NTN UE, and in case GNSS signal was temporarily unavailable or degraded at the time of initiating a PRACH preamble, may not be able to </w:t>
      </w:r>
      <w:r>
        <w:rPr>
          <w:b/>
          <w:bCs/>
          <w:lang w:val="en-US" w:eastAsia="en-US"/>
        </w:rPr>
        <w:t xml:space="preserve">fully </w:t>
      </w:r>
      <w:r w:rsidRPr="008B1A11">
        <w:rPr>
          <w:b/>
          <w:bCs/>
          <w:lang w:val="en-US" w:eastAsia="en-US"/>
        </w:rPr>
        <w:t xml:space="preserve">pre-compensate the </w:t>
      </w:r>
      <w:r>
        <w:rPr>
          <w:b/>
          <w:bCs/>
          <w:lang w:val="en-US" w:eastAsia="en-US"/>
        </w:rPr>
        <w:t>time offset.</w:t>
      </w:r>
    </w:p>
    <w:p w14:paraId="078D3885" w14:textId="77777777" w:rsidR="007B1834" w:rsidRDefault="007B1834" w:rsidP="007B1834">
      <w:pPr>
        <w:rPr>
          <w:b/>
          <w:bCs/>
          <w:lang w:val="en-US" w:eastAsia="en-US"/>
        </w:rPr>
      </w:pPr>
      <w:r w:rsidRPr="008B1A11">
        <w:rPr>
          <w:b/>
          <w:bCs/>
          <w:lang w:val="en-US" w:eastAsia="en-US"/>
        </w:rPr>
        <w:t xml:space="preserve">Proposal </w:t>
      </w:r>
      <w:r>
        <w:rPr>
          <w:b/>
          <w:bCs/>
          <w:lang w:val="en-US" w:eastAsia="en-US"/>
        </w:rPr>
        <w:t>2</w:t>
      </w:r>
      <w:r w:rsidRPr="008B1A11">
        <w:rPr>
          <w:b/>
          <w:bCs/>
          <w:lang w:val="en-US" w:eastAsia="en-US"/>
        </w:rPr>
        <w:t xml:space="preserve">: RAN1 to study enhancements to timing </w:t>
      </w:r>
      <w:r>
        <w:rPr>
          <w:b/>
          <w:bCs/>
          <w:lang w:val="en-US" w:eastAsia="en-US"/>
        </w:rPr>
        <w:t xml:space="preserve">correction </w:t>
      </w:r>
      <w:r w:rsidRPr="008B1A11">
        <w:rPr>
          <w:b/>
          <w:bCs/>
          <w:lang w:val="en-US" w:eastAsia="en-US"/>
        </w:rPr>
        <w:t xml:space="preserve">closed loop mechanism to support an NTN operation in which GNSS signal is temporarily unavailable or </w:t>
      </w:r>
      <w:r>
        <w:rPr>
          <w:b/>
          <w:bCs/>
          <w:lang w:val="en-US" w:eastAsia="en-US"/>
        </w:rPr>
        <w:t xml:space="preserve">performance </w:t>
      </w:r>
      <w:r w:rsidRPr="008B1A11">
        <w:rPr>
          <w:b/>
          <w:bCs/>
          <w:lang w:val="en-US" w:eastAsia="en-US"/>
        </w:rPr>
        <w:t xml:space="preserve">degraded. </w:t>
      </w:r>
    </w:p>
    <w:p w14:paraId="44311546" w14:textId="77777777" w:rsidR="007B1834" w:rsidRPr="00DD6C0A" w:rsidRDefault="007B1834" w:rsidP="007B1834">
      <w:pPr>
        <w:rPr>
          <w:b/>
          <w:bCs/>
          <w:lang w:val="en-US" w:eastAsia="en-US"/>
        </w:rPr>
      </w:pPr>
      <w:r w:rsidRPr="00DD6C0A">
        <w:rPr>
          <w:b/>
          <w:bCs/>
          <w:lang w:val="en-US" w:eastAsia="en-US"/>
        </w:rPr>
        <w:t>Observation 2: TAC within RAR message may not be enough to adjust the timing offsets in some NTN scenarios.</w:t>
      </w:r>
    </w:p>
    <w:p w14:paraId="5A16514A" w14:textId="77777777" w:rsidR="007B1834" w:rsidRDefault="007B1834" w:rsidP="007B1834">
      <w:pPr>
        <w:rPr>
          <w:b/>
          <w:bCs/>
          <w:lang w:val="en-US" w:eastAsia="en-US"/>
        </w:rPr>
      </w:pPr>
      <w:r w:rsidRPr="00DD6C0A">
        <w:rPr>
          <w:b/>
          <w:bCs/>
          <w:lang w:val="en-US" w:eastAsia="en-US"/>
        </w:rPr>
        <w:t>Observation 3: An extension of TAC within RAR message may be needed to cover different NTN scenarios, wherein the residual timing offset within the satellite’s uncertainty area with respect to a reference point is larger than the maximum value that may be indicated by a TAC.</w:t>
      </w:r>
    </w:p>
    <w:p w14:paraId="290BE2FF" w14:textId="77777777" w:rsidR="007B1834" w:rsidRDefault="007B1834" w:rsidP="007B1834">
      <w:pPr>
        <w:rPr>
          <w:b/>
          <w:bCs/>
          <w:lang w:val="en-US" w:eastAsia="en-US"/>
        </w:rPr>
      </w:pPr>
      <w:r>
        <w:rPr>
          <w:b/>
          <w:bCs/>
          <w:lang w:val="en-US" w:eastAsia="en-US"/>
        </w:rPr>
        <w:t>Proposal 3: RAN1 to consider extending TAC within RAR to indicate larger timing offsets in case an NTN UE might not be able to rely on GNSS when pre-compensating timing offsets.</w:t>
      </w:r>
    </w:p>
    <w:p w14:paraId="445439B2" w14:textId="77777777" w:rsidR="007B1834" w:rsidRDefault="007B1834" w:rsidP="007B1834">
      <w:pPr>
        <w:rPr>
          <w:b/>
          <w:bCs/>
          <w:lang w:val="en-US" w:eastAsia="en-US"/>
        </w:rPr>
      </w:pPr>
      <w:r>
        <w:rPr>
          <w:b/>
          <w:bCs/>
          <w:lang w:val="en-US" w:eastAsia="en-US"/>
        </w:rPr>
        <w:t>Observation 4: The current RAR frame structure doesn’t have available bits to extend TAC.</w:t>
      </w:r>
    </w:p>
    <w:p w14:paraId="33AF1D5A" w14:textId="77777777" w:rsidR="007B1834" w:rsidRDefault="007B1834" w:rsidP="007B1834">
      <w:pPr>
        <w:rPr>
          <w:b/>
          <w:bCs/>
          <w:lang w:val="en-US" w:eastAsia="en-US"/>
        </w:rPr>
      </w:pPr>
      <w:r>
        <w:rPr>
          <w:b/>
          <w:bCs/>
          <w:lang w:val="en-US" w:eastAsia="en-US"/>
        </w:rPr>
        <w:t>Proposal 4: RAN1 to study solutions to extend TAC/ increase the range of timing offset values that may be indicated by a TAC, while ensuring backward compatibility with pre rel-20 NTN UEs.</w:t>
      </w:r>
    </w:p>
    <w:p w14:paraId="7AEF85E7" w14:textId="77777777" w:rsidR="007B1834" w:rsidRDefault="007B1834" w:rsidP="007B1834">
      <w:pPr>
        <w:rPr>
          <w:b/>
          <w:bCs/>
          <w:lang w:val="en-US" w:eastAsia="en-US"/>
        </w:rPr>
      </w:pPr>
      <w:r>
        <w:rPr>
          <w:b/>
          <w:bCs/>
          <w:lang w:val="en-US" w:eastAsia="en-US"/>
        </w:rPr>
        <w:t>Proposal 5: RAN1 to consider utilizing the current RAR frame structure to extend the range of indicated timing offset values [e.g., TC-RNTI or msg3 PUSCH Frequency Resources associations].</w:t>
      </w:r>
    </w:p>
    <w:p w14:paraId="5F15BE6E" w14:textId="77777777" w:rsidR="007B1834" w:rsidRPr="008B1A11" w:rsidRDefault="007B1834" w:rsidP="007B1834">
      <w:pPr>
        <w:rPr>
          <w:b/>
          <w:bCs/>
          <w:lang w:val="en-GB" w:eastAsia="en-US"/>
        </w:rPr>
      </w:pPr>
      <w:r w:rsidRPr="008B1A11">
        <w:rPr>
          <w:b/>
          <w:bCs/>
          <w:lang w:val="en-GB" w:eastAsia="en-US"/>
        </w:rPr>
        <w:t xml:space="preserve">Observation </w:t>
      </w:r>
      <w:r>
        <w:rPr>
          <w:b/>
          <w:bCs/>
          <w:lang w:val="en-GB" w:eastAsia="en-US"/>
        </w:rPr>
        <w:t>5</w:t>
      </w:r>
      <w:r w:rsidRPr="008B1A11">
        <w:rPr>
          <w:b/>
          <w:bCs/>
          <w:lang w:val="en-GB" w:eastAsia="en-US"/>
        </w:rPr>
        <w:t>: An NTN UE, and in case GNSS was temporarily unavailable or degraded at the time of initiating a PRACH preamble, may not be able to</w:t>
      </w:r>
      <w:r>
        <w:rPr>
          <w:b/>
          <w:bCs/>
          <w:lang w:val="en-GB" w:eastAsia="en-US"/>
        </w:rPr>
        <w:t xml:space="preserve"> fully</w:t>
      </w:r>
      <w:r w:rsidRPr="008B1A11">
        <w:rPr>
          <w:b/>
          <w:bCs/>
          <w:lang w:val="en-GB" w:eastAsia="en-US"/>
        </w:rPr>
        <w:t xml:space="preserve"> pre-compensate </w:t>
      </w:r>
      <w:r>
        <w:rPr>
          <w:b/>
          <w:bCs/>
          <w:lang w:val="en-GB" w:eastAsia="en-US"/>
        </w:rPr>
        <w:t>the</w:t>
      </w:r>
      <w:r w:rsidRPr="008B1A11">
        <w:rPr>
          <w:b/>
          <w:bCs/>
          <w:lang w:val="en-GB" w:eastAsia="en-US"/>
        </w:rPr>
        <w:t xml:space="preserve"> frequency offset</w:t>
      </w:r>
      <w:r>
        <w:rPr>
          <w:b/>
          <w:bCs/>
          <w:lang w:val="en-GB" w:eastAsia="en-US"/>
        </w:rPr>
        <w:t>, which should be corrected by the network in a frequency correction closed loop mechanism.</w:t>
      </w:r>
    </w:p>
    <w:p w14:paraId="48B52308" w14:textId="77777777" w:rsidR="007B1834" w:rsidRPr="008B1A11" w:rsidRDefault="007B1834" w:rsidP="007B1834">
      <w:pPr>
        <w:rPr>
          <w:b/>
          <w:bCs/>
          <w:lang w:val="en-GB" w:eastAsia="en-US"/>
        </w:rPr>
      </w:pPr>
      <w:r w:rsidRPr="008B1A11">
        <w:rPr>
          <w:b/>
          <w:bCs/>
          <w:lang w:val="en-GB" w:eastAsia="en-US"/>
        </w:rPr>
        <w:t xml:space="preserve">Observation </w:t>
      </w:r>
      <w:r>
        <w:rPr>
          <w:b/>
          <w:bCs/>
          <w:lang w:val="en-GB" w:eastAsia="en-US"/>
        </w:rPr>
        <w:t>6</w:t>
      </w:r>
      <w:r w:rsidRPr="008B1A11">
        <w:rPr>
          <w:b/>
          <w:bCs/>
          <w:lang w:val="en-GB" w:eastAsia="en-US"/>
        </w:rPr>
        <w:t>: There is no frequency closed-loop mechanism that may allow the network to</w:t>
      </w:r>
      <w:r>
        <w:rPr>
          <w:b/>
          <w:bCs/>
          <w:lang w:val="en-GB" w:eastAsia="en-US"/>
        </w:rPr>
        <w:t xml:space="preserve"> track and</w:t>
      </w:r>
      <w:r w:rsidRPr="008B1A11">
        <w:rPr>
          <w:b/>
          <w:bCs/>
          <w:lang w:val="en-GB" w:eastAsia="en-US"/>
        </w:rPr>
        <w:t xml:space="preserve"> adjust the frequency offset of an NTN UE during </w:t>
      </w:r>
      <w:r>
        <w:rPr>
          <w:b/>
          <w:bCs/>
          <w:lang w:val="en-GB" w:eastAsia="en-US"/>
        </w:rPr>
        <w:t xml:space="preserve">initial access </w:t>
      </w:r>
      <w:r w:rsidRPr="008B1A11">
        <w:rPr>
          <w:b/>
          <w:bCs/>
          <w:lang w:val="en-GB" w:eastAsia="en-US"/>
        </w:rPr>
        <w:t xml:space="preserve">and </w:t>
      </w:r>
      <w:r>
        <w:rPr>
          <w:b/>
          <w:bCs/>
          <w:lang w:val="en-GB" w:eastAsia="en-US"/>
        </w:rPr>
        <w:t>c</w:t>
      </w:r>
      <w:r w:rsidRPr="008B1A11">
        <w:rPr>
          <w:b/>
          <w:bCs/>
          <w:lang w:val="en-GB" w:eastAsia="en-US"/>
        </w:rPr>
        <w:t>onnected</w:t>
      </w:r>
      <w:r>
        <w:rPr>
          <w:b/>
          <w:bCs/>
          <w:lang w:val="en-GB" w:eastAsia="en-US"/>
        </w:rPr>
        <w:t xml:space="preserve"> mode</w:t>
      </w:r>
      <w:r w:rsidRPr="008B1A11">
        <w:rPr>
          <w:b/>
          <w:bCs/>
          <w:lang w:val="en-GB" w:eastAsia="en-US"/>
        </w:rPr>
        <w:t>.</w:t>
      </w:r>
    </w:p>
    <w:p w14:paraId="70EAC146" w14:textId="77777777" w:rsidR="007B1834" w:rsidRDefault="007B1834" w:rsidP="007B1834">
      <w:pPr>
        <w:rPr>
          <w:b/>
          <w:bCs/>
          <w:lang w:val="en-GB" w:eastAsia="en-US"/>
        </w:rPr>
      </w:pPr>
      <w:r w:rsidRPr="008B1A11">
        <w:rPr>
          <w:b/>
          <w:bCs/>
          <w:lang w:val="en-GB" w:eastAsia="en-US"/>
        </w:rPr>
        <w:t xml:space="preserve">Proposal </w:t>
      </w:r>
      <w:r>
        <w:rPr>
          <w:b/>
          <w:bCs/>
          <w:lang w:val="en-GB" w:eastAsia="en-US"/>
        </w:rPr>
        <w:t>6</w:t>
      </w:r>
      <w:r w:rsidRPr="008B1A11">
        <w:rPr>
          <w:b/>
          <w:bCs/>
          <w:lang w:val="en-GB" w:eastAsia="en-US"/>
        </w:rPr>
        <w:t xml:space="preserve">: RAN1 to study specifying a frequency </w:t>
      </w:r>
      <w:r>
        <w:rPr>
          <w:b/>
          <w:bCs/>
          <w:lang w:val="en-GB" w:eastAsia="en-US"/>
        </w:rPr>
        <w:t xml:space="preserve">correction </w:t>
      </w:r>
      <w:r w:rsidRPr="008B1A11">
        <w:rPr>
          <w:b/>
          <w:bCs/>
          <w:lang w:val="en-GB" w:eastAsia="en-US"/>
        </w:rPr>
        <w:t xml:space="preserve">closed-loop mechanism during </w:t>
      </w:r>
      <w:r>
        <w:rPr>
          <w:b/>
          <w:bCs/>
          <w:lang w:val="en-GB" w:eastAsia="en-US"/>
        </w:rPr>
        <w:t>RACH procedure</w:t>
      </w:r>
      <w:r w:rsidRPr="008B1A11">
        <w:rPr>
          <w:b/>
          <w:bCs/>
          <w:lang w:val="en-GB" w:eastAsia="en-US"/>
        </w:rPr>
        <w:t>.</w:t>
      </w:r>
    </w:p>
    <w:p w14:paraId="0F572DBA" w14:textId="77777777" w:rsidR="007B1834" w:rsidRDefault="007B1834" w:rsidP="007B1834">
      <w:pPr>
        <w:rPr>
          <w:b/>
          <w:bCs/>
          <w:lang w:val="en-GB" w:eastAsia="en-US"/>
        </w:rPr>
      </w:pPr>
      <w:r w:rsidRPr="008A6D38">
        <w:rPr>
          <w:b/>
          <w:bCs/>
          <w:lang w:val="en-GB" w:eastAsia="en-US"/>
        </w:rPr>
        <w:t>Observation</w:t>
      </w:r>
      <w:r>
        <w:rPr>
          <w:b/>
          <w:bCs/>
          <w:lang w:val="en-GB" w:eastAsia="en-US"/>
        </w:rPr>
        <w:t xml:space="preserve"> 7</w:t>
      </w:r>
      <w:r w:rsidRPr="008A6D38">
        <w:rPr>
          <w:b/>
          <w:bCs/>
          <w:lang w:val="en-GB" w:eastAsia="en-US"/>
        </w:rPr>
        <w:t>: RAR message doesn’t have available bits to indicate the frequency offset command as part of a frequency correction closed-loop mechanism.</w:t>
      </w:r>
    </w:p>
    <w:p w14:paraId="56A85386" w14:textId="77777777" w:rsidR="007B1834" w:rsidRDefault="007B1834" w:rsidP="007B1834">
      <w:pPr>
        <w:rPr>
          <w:b/>
          <w:bCs/>
          <w:lang w:val="en-GB" w:eastAsia="en-US"/>
        </w:rPr>
      </w:pPr>
      <w:r w:rsidRPr="008A6D38">
        <w:rPr>
          <w:b/>
          <w:bCs/>
          <w:lang w:val="en-GB" w:eastAsia="en-US"/>
        </w:rPr>
        <w:t xml:space="preserve">Observation </w:t>
      </w:r>
      <w:r>
        <w:rPr>
          <w:b/>
          <w:bCs/>
          <w:lang w:val="en-GB" w:eastAsia="en-US"/>
        </w:rPr>
        <w:t>8</w:t>
      </w:r>
      <w:r w:rsidRPr="008A6D38">
        <w:rPr>
          <w:b/>
          <w:bCs/>
          <w:lang w:val="en-GB" w:eastAsia="en-US"/>
        </w:rPr>
        <w:t>: The extension of RAR message to indicate the frequency offset corrections as part of a frequency correction closed-loop mechanism may cause backward compatibility issues with pre rel-20 NTN UEs.</w:t>
      </w:r>
    </w:p>
    <w:p w14:paraId="1F11AD27" w14:textId="77777777" w:rsidR="007B1834" w:rsidRDefault="007B1834" w:rsidP="007B1834">
      <w:pPr>
        <w:rPr>
          <w:b/>
          <w:bCs/>
          <w:lang w:val="en-GB" w:eastAsia="en-US"/>
        </w:rPr>
      </w:pPr>
      <w:r w:rsidRPr="002C14E1">
        <w:rPr>
          <w:b/>
          <w:bCs/>
          <w:lang w:val="en-GB" w:eastAsia="en-US"/>
        </w:rPr>
        <w:t xml:space="preserve">Proposal </w:t>
      </w:r>
      <w:r>
        <w:rPr>
          <w:b/>
          <w:bCs/>
          <w:lang w:val="en-GB" w:eastAsia="en-US"/>
        </w:rPr>
        <w:t>7</w:t>
      </w:r>
      <w:r w:rsidRPr="002C14E1">
        <w:rPr>
          <w:b/>
          <w:bCs/>
          <w:lang w:val="en-GB" w:eastAsia="en-US"/>
        </w:rPr>
        <w:t>: RAN1 to study different solutions to indicate the frequency offset corrections as part of a frequency correction closed loop, while ensuring backward compatibility with pre rel-20 NTN UEs</w:t>
      </w:r>
      <w:r>
        <w:rPr>
          <w:b/>
          <w:bCs/>
          <w:lang w:val="en-GB" w:eastAsia="en-US"/>
        </w:rPr>
        <w:t>, and may consider the following solutions:</w:t>
      </w:r>
    </w:p>
    <w:p w14:paraId="042C8371" w14:textId="77777777" w:rsidR="007B1834" w:rsidRDefault="007B1834" w:rsidP="007B1834">
      <w:pPr>
        <w:pStyle w:val="Listenabsatz"/>
        <w:numPr>
          <w:ilvl w:val="0"/>
          <w:numId w:val="21"/>
        </w:numPr>
        <w:rPr>
          <w:b/>
          <w:bCs/>
          <w:lang w:eastAsia="en-US"/>
        </w:rPr>
      </w:pPr>
      <w:r>
        <w:rPr>
          <w:b/>
          <w:bCs/>
          <w:lang w:eastAsia="en-US"/>
        </w:rPr>
        <w:t>The same field within RAR message may be used to indicate both the timing advance correction [TAC] as well as the frequency offset correction [FOC] by specifying different associations between TAC and other fields within RAR message [e.g., TC-RNTI, msg3 PUSCH frequency resource], where each association corresponds to a particular offset/scaling factor to be applied on the TAC to derive the FOC.</w:t>
      </w:r>
    </w:p>
    <w:p w14:paraId="14AF79CD" w14:textId="77777777" w:rsidR="007B1834" w:rsidRDefault="007B1834" w:rsidP="007B1834">
      <w:pPr>
        <w:pStyle w:val="Listenabsatz"/>
        <w:numPr>
          <w:ilvl w:val="0"/>
          <w:numId w:val="21"/>
        </w:numPr>
        <w:rPr>
          <w:b/>
          <w:bCs/>
          <w:lang w:eastAsia="en-US"/>
        </w:rPr>
      </w:pPr>
      <w:r>
        <w:rPr>
          <w:b/>
          <w:bCs/>
          <w:lang w:eastAsia="en-US"/>
        </w:rPr>
        <w:t>A new RAR message for rel-20 and onwards UEs, which contains FOC.</w:t>
      </w:r>
    </w:p>
    <w:p w14:paraId="152FDE2A" w14:textId="2351D044" w:rsidR="007B1834" w:rsidRPr="007B1834" w:rsidRDefault="007B1834" w:rsidP="007B1834">
      <w:pPr>
        <w:rPr>
          <w:b/>
          <w:bCs/>
          <w:lang w:val="en-GB" w:eastAsia="en-US"/>
        </w:rPr>
      </w:pPr>
      <w:r w:rsidRPr="007B1834">
        <w:rPr>
          <w:b/>
          <w:bCs/>
          <w:lang w:val="en-US" w:eastAsia="en-US"/>
        </w:rPr>
        <w:t>Proposal 8: RAN1 to study specifying a new RAR message with an extended TAC for rel-20 and onwards UEs.</w:t>
      </w:r>
    </w:p>
    <w:p w14:paraId="04E5C84E" w14:textId="77777777" w:rsidR="00730DC7" w:rsidRDefault="00730DC7" w:rsidP="00730DC7">
      <w:pPr>
        <w:rPr>
          <w:b/>
          <w:bCs/>
          <w:lang w:val="en-GB" w:eastAsia="en-US"/>
        </w:rPr>
      </w:pPr>
      <w:r>
        <w:rPr>
          <w:b/>
          <w:bCs/>
          <w:lang w:val="en-GB" w:eastAsia="en-US"/>
        </w:rPr>
        <w:t xml:space="preserve">Observation 9: An NTN UE may be provided by the network with assistance information that may indicate implicitly or explicitly whether GNSS signal was spoofed or unreliable. </w:t>
      </w:r>
    </w:p>
    <w:p w14:paraId="7E420DE8" w14:textId="77777777" w:rsidR="00730DC7" w:rsidRDefault="00730DC7" w:rsidP="00730DC7">
      <w:pPr>
        <w:rPr>
          <w:b/>
          <w:bCs/>
          <w:lang w:val="en-GB" w:eastAsia="en-US"/>
        </w:rPr>
      </w:pPr>
    </w:p>
    <w:p w14:paraId="6C9E2438" w14:textId="68B03A8E" w:rsidR="00A46C05" w:rsidRPr="008C0715" w:rsidRDefault="00730DC7" w:rsidP="00EB23D6">
      <w:pPr>
        <w:rPr>
          <w:b/>
          <w:bCs/>
          <w:lang w:val="en-GB" w:eastAsia="en-US"/>
        </w:rPr>
      </w:pPr>
      <w:r>
        <w:rPr>
          <w:b/>
          <w:bCs/>
          <w:lang w:val="en-GB" w:eastAsia="en-US"/>
        </w:rPr>
        <w:t>Proposal 9: RAN 1 to study mechanisms to assist an NTN UE evaluating the reliability of an available GNSS signal.</w:t>
      </w:r>
    </w:p>
    <w:p w14:paraId="3A1C704A" w14:textId="58A59882" w:rsidR="00D26317" w:rsidRPr="00751ED3" w:rsidRDefault="00D26317">
      <w:pPr>
        <w:pStyle w:val="berschrift1"/>
        <w:numPr>
          <w:ilvl w:val="0"/>
          <w:numId w:val="2"/>
        </w:numPr>
        <w:rPr>
          <w:rFonts w:asciiTheme="majorBidi" w:hAnsiTheme="majorBidi" w:cstheme="majorBidi"/>
        </w:rPr>
      </w:pPr>
      <w:r w:rsidRPr="00751ED3">
        <w:rPr>
          <w:rFonts w:asciiTheme="majorBidi" w:hAnsiTheme="majorBidi" w:cstheme="majorBidi"/>
        </w:rPr>
        <w:lastRenderedPageBreak/>
        <w:t>References</w:t>
      </w:r>
    </w:p>
    <w:p w14:paraId="1F329E31" w14:textId="77777777" w:rsidR="006D4814" w:rsidRPr="006D4814" w:rsidRDefault="002B7E8D" w:rsidP="006D4814">
      <w:pPr>
        <w:rPr>
          <w:lang w:val="en-GB" w:eastAsia="en-US"/>
        </w:rPr>
      </w:pPr>
      <w:r w:rsidRPr="00E74083">
        <w:rPr>
          <w:lang w:val="en-US" w:eastAsia="en-US"/>
        </w:rPr>
        <w:t xml:space="preserve">[1] </w:t>
      </w:r>
      <w:r w:rsidR="006D4814" w:rsidRPr="006D4814">
        <w:rPr>
          <w:lang w:val="en-GB" w:eastAsia="en-US"/>
        </w:rPr>
        <w:t>RP-251863, New SID: Study GNSS resilient NR-NTN operation, June 9-13th, 2025.</w:t>
      </w:r>
    </w:p>
    <w:p w14:paraId="7027AABD" w14:textId="25AA0E0D" w:rsidR="007A77DF" w:rsidRDefault="00A31570" w:rsidP="00E74083">
      <w:pPr>
        <w:rPr>
          <w:lang w:val="en-US"/>
        </w:rPr>
      </w:pPr>
      <w:r>
        <w:rPr>
          <w:lang w:val="en-GB" w:eastAsia="en-US"/>
        </w:rPr>
        <w:t xml:space="preserve">[2] </w:t>
      </w:r>
      <w:r w:rsidRPr="00A31570">
        <w:rPr>
          <w:bCs/>
          <w:lang w:val="en-US"/>
        </w:rPr>
        <w:t xml:space="preserve">TS38.321, </w:t>
      </w:r>
      <w:r w:rsidRPr="00A31570">
        <w:rPr>
          <w:lang w:val="en-US"/>
        </w:rPr>
        <w:t>5G; NR; Medium Access Control (MAC) protocol specification</w:t>
      </w:r>
      <w:r>
        <w:rPr>
          <w:lang w:val="en-US"/>
        </w:rPr>
        <w:t>.</w:t>
      </w:r>
    </w:p>
    <w:p w14:paraId="76CCA357" w14:textId="30CA1C82" w:rsidR="007B1834" w:rsidRPr="00A31570" w:rsidRDefault="007B1834" w:rsidP="00E74083">
      <w:pPr>
        <w:rPr>
          <w:lang w:val="en-US" w:eastAsia="en-US"/>
        </w:rPr>
      </w:pPr>
      <w:r>
        <w:rPr>
          <w:lang w:val="en-US"/>
        </w:rPr>
        <w:t xml:space="preserve">[3] </w:t>
      </w:r>
      <w:r w:rsidR="00BC7CAC" w:rsidRPr="00BC7CAC">
        <w:rPr>
          <w:lang w:val="en-US"/>
        </w:rPr>
        <w:t>R1-2507541</w:t>
      </w:r>
      <w:r w:rsidR="00BC7CAC">
        <w:rPr>
          <w:lang w:val="en-US"/>
        </w:rPr>
        <w:t xml:space="preserve">, </w:t>
      </w:r>
      <w:r w:rsidR="00BC7CAC" w:rsidRPr="00BC7CAC">
        <w:rPr>
          <w:lang w:val="en-US"/>
        </w:rPr>
        <w:t>Discussion</w:t>
      </w:r>
      <w:r w:rsidR="00BC7CAC">
        <w:rPr>
          <w:lang w:val="en-US"/>
        </w:rPr>
        <w:t xml:space="preserve"> </w:t>
      </w:r>
      <w:r w:rsidR="00BC7CAC" w:rsidRPr="00BC7CAC">
        <w:rPr>
          <w:lang w:val="en-US"/>
        </w:rPr>
        <w:t>on</w:t>
      </w:r>
      <w:r w:rsidR="00BC7CAC">
        <w:rPr>
          <w:lang w:val="en-US"/>
        </w:rPr>
        <w:t xml:space="preserve"> </w:t>
      </w:r>
      <w:r w:rsidR="00BC7CAC" w:rsidRPr="00BC7CAC">
        <w:rPr>
          <w:lang w:val="en-US"/>
        </w:rPr>
        <w:t>NR-NTN</w:t>
      </w:r>
      <w:r w:rsidR="00BC7CAC">
        <w:rPr>
          <w:lang w:val="en-US"/>
        </w:rPr>
        <w:t xml:space="preserve"> </w:t>
      </w:r>
      <w:r w:rsidR="00BC7CAC" w:rsidRPr="00BC7CAC">
        <w:rPr>
          <w:lang w:val="en-US"/>
        </w:rPr>
        <w:t>GNSS</w:t>
      </w:r>
      <w:r w:rsidR="00BC7CAC">
        <w:rPr>
          <w:lang w:val="en-US"/>
        </w:rPr>
        <w:t xml:space="preserve"> </w:t>
      </w:r>
      <w:r w:rsidR="00BC7CAC" w:rsidRPr="00BC7CAC">
        <w:rPr>
          <w:lang w:val="en-US"/>
        </w:rPr>
        <w:t>resilience</w:t>
      </w:r>
      <w:r w:rsidR="00BC7CAC">
        <w:rPr>
          <w:lang w:val="en-US"/>
        </w:rPr>
        <w:t xml:space="preserve">, </w:t>
      </w:r>
      <w:r w:rsidR="00BC7CAC" w:rsidRPr="00BC7CAC">
        <w:rPr>
          <w:lang w:val="en-US"/>
        </w:rPr>
        <w:t>Fraunhofer</w:t>
      </w:r>
    </w:p>
    <w:p w14:paraId="5DFCF993" w14:textId="0462E517" w:rsidR="00D652C7" w:rsidRPr="009A64AC" w:rsidRDefault="00D652C7" w:rsidP="00D26317">
      <w:pPr>
        <w:rPr>
          <w:rFonts w:asciiTheme="majorBidi" w:hAnsiTheme="majorBidi" w:cstheme="majorBidi"/>
          <w:lang w:val="en-US"/>
        </w:rPr>
      </w:pPr>
    </w:p>
    <w:sectPr w:rsidR="00D652C7" w:rsidRPr="009A64AC" w:rsidSect="00021412">
      <w:headerReference w:type="even" r:id="rId15"/>
      <w:footerReference w:type="even" r:id="rId16"/>
      <w:footerReference w:type="default" r:id="rId1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52D7E" w14:textId="77777777" w:rsidR="000F0167" w:rsidRDefault="000F0167">
      <w:r>
        <w:separator/>
      </w:r>
    </w:p>
  </w:endnote>
  <w:endnote w:type="continuationSeparator" w:id="0">
    <w:p w14:paraId="63FEE732" w14:textId="77777777" w:rsidR="000F0167" w:rsidRDefault="000F0167">
      <w:r>
        <w:continuationSeparator/>
      </w:r>
    </w:p>
  </w:endnote>
  <w:endnote w:type="continuationNotice" w:id="1">
    <w:p w14:paraId="0825D5E0" w14:textId="77777777" w:rsidR="000F0167" w:rsidRDefault="000F0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1"/>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4177EE" w:rsidRDefault="004177EE"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4177EE" w:rsidRDefault="004177EE"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672D59D9" w:rsidR="004177EE" w:rsidRDefault="004177EE"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sidR="001E626E">
      <w:rPr>
        <w:rStyle w:val="Seitenzahl"/>
      </w:rPr>
      <w:t>9</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626E">
      <w:rPr>
        <w:rStyle w:val="Seitenzahl"/>
      </w:rPr>
      <w:t>9</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4A71B" w14:textId="77777777" w:rsidR="000F0167" w:rsidRDefault="000F0167">
      <w:r>
        <w:separator/>
      </w:r>
    </w:p>
  </w:footnote>
  <w:footnote w:type="continuationSeparator" w:id="0">
    <w:p w14:paraId="7A7B64B4" w14:textId="77777777" w:rsidR="000F0167" w:rsidRDefault="000F0167">
      <w:r>
        <w:continuationSeparator/>
      </w:r>
    </w:p>
  </w:footnote>
  <w:footnote w:type="continuationNotice" w:id="1">
    <w:p w14:paraId="445AD450" w14:textId="77777777" w:rsidR="000F0167" w:rsidRDefault="000F01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B2E1062"/>
    <w:multiLevelType w:val="multilevel"/>
    <w:tmpl w:val="4480632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4"/>
        <w:szCs w:val="24"/>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49145FF"/>
    <w:multiLevelType w:val="hybridMultilevel"/>
    <w:tmpl w:val="2AE60C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449D6FA0"/>
    <w:multiLevelType w:val="hybridMultilevel"/>
    <w:tmpl w:val="1DF23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9CB4798"/>
    <w:multiLevelType w:val="hybridMultilevel"/>
    <w:tmpl w:val="41FE1F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6FB197D"/>
    <w:multiLevelType w:val="hybridMultilevel"/>
    <w:tmpl w:val="EC5E86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66F509C4"/>
    <w:multiLevelType w:val="hybridMultilevel"/>
    <w:tmpl w:val="A5CE43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49B346D"/>
    <w:multiLevelType w:val="hybridMultilevel"/>
    <w:tmpl w:val="EA2EA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660042527">
    <w:abstractNumId w:val="18"/>
  </w:num>
  <w:num w:numId="2" w16cid:durableId="1591697254">
    <w:abstractNumId w:val="3"/>
  </w:num>
  <w:num w:numId="3" w16cid:durableId="889343793">
    <w:abstractNumId w:val="7"/>
  </w:num>
  <w:num w:numId="4" w16cid:durableId="671032153">
    <w:abstractNumId w:val="9"/>
  </w:num>
  <w:num w:numId="5" w16cid:durableId="1155802439">
    <w:abstractNumId w:val="11"/>
  </w:num>
  <w:num w:numId="6" w16cid:durableId="1486895497">
    <w:abstractNumId w:val="15"/>
  </w:num>
  <w:num w:numId="7" w16cid:durableId="933366735">
    <w:abstractNumId w:val="10"/>
  </w:num>
  <w:num w:numId="8" w16cid:durableId="652173565">
    <w:abstractNumId w:val="0"/>
  </w:num>
  <w:num w:numId="9" w16cid:durableId="1670910239">
    <w:abstractNumId w:val="17"/>
  </w:num>
  <w:num w:numId="10" w16cid:durableId="983703697">
    <w:abstractNumId w:val="1"/>
  </w:num>
  <w:num w:numId="11" w16cid:durableId="783303372">
    <w:abstractNumId w:val="2"/>
  </w:num>
  <w:num w:numId="12" w16cid:durableId="1405489457">
    <w:abstractNumId w:val="16"/>
  </w:num>
  <w:num w:numId="13" w16cid:durableId="710302674">
    <w:abstractNumId w:val="14"/>
  </w:num>
  <w:num w:numId="14" w16cid:durableId="1716807014">
    <w:abstractNumId w:val="12"/>
  </w:num>
  <w:num w:numId="15" w16cid:durableId="791368464">
    <w:abstractNumId w:val="8"/>
  </w:num>
  <w:num w:numId="16" w16cid:durableId="595750386">
    <w:abstractNumId w:val="12"/>
  </w:num>
  <w:num w:numId="17" w16cid:durableId="2012685321">
    <w:abstractNumId w:val="8"/>
  </w:num>
  <w:num w:numId="18" w16cid:durableId="17059100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1342009">
    <w:abstractNumId w:val="6"/>
  </w:num>
  <w:num w:numId="20" w16cid:durableId="1013801263">
    <w:abstractNumId w:val="4"/>
  </w:num>
  <w:num w:numId="21" w16cid:durableId="144507298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9E9"/>
    <w:rsid w:val="00001F83"/>
    <w:rsid w:val="00003521"/>
    <w:rsid w:val="00003D45"/>
    <w:rsid w:val="00003E39"/>
    <w:rsid w:val="00005895"/>
    <w:rsid w:val="00005AD5"/>
    <w:rsid w:val="00005C95"/>
    <w:rsid w:val="000067D8"/>
    <w:rsid w:val="00007430"/>
    <w:rsid w:val="0000789C"/>
    <w:rsid w:val="00012684"/>
    <w:rsid w:val="00013519"/>
    <w:rsid w:val="0001382A"/>
    <w:rsid w:val="00013AC4"/>
    <w:rsid w:val="00013E7C"/>
    <w:rsid w:val="00014F85"/>
    <w:rsid w:val="00015ADE"/>
    <w:rsid w:val="00016124"/>
    <w:rsid w:val="000162E1"/>
    <w:rsid w:val="00017C6B"/>
    <w:rsid w:val="0002016E"/>
    <w:rsid w:val="000205A8"/>
    <w:rsid w:val="00020760"/>
    <w:rsid w:val="00021412"/>
    <w:rsid w:val="00021F58"/>
    <w:rsid w:val="00022216"/>
    <w:rsid w:val="00022611"/>
    <w:rsid w:val="00022E30"/>
    <w:rsid w:val="000234BD"/>
    <w:rsid w:val="000236C6"/>
    <w:rsid w:val="000239F3"/>
    <w:rsid w:val="00024968"/>
    <w:rsid w:val="000263FF"/>
    <w:rsid w:val="00026991"/>
    <w:rsid w:val="00026A85"/>
    <w:rsid w:val="0003157A"/>
    <w:rsid w:val="000342F3"/>
    <w:rsid w:val="000350B2"/>
    <w:rsid w:val="00036772"/>
    <w:rsid w:val="000369AA"/>
    <w:rsid w:val="000369C3"/>
    <w:rsid w:val="00037582"/>
    <w:rsid w:val="00037919"/>
    <w:rsid w:val="0004041F"/>
    <w:rsid w:val="00040749"/>
    <w:rsid w:val="00041246"/>
    <w:rsid w:val="00042869"/>
    <w:rsid w:val="00042BED"/>
    <w:rsid w:val="00042EA4"/>
    <w:rsid w:val="00043E01"/>
    <w:rsid w:val="00044E73"/>
    <w:rsid w:val="00045BDF"/>
    <w:rsid w:val="00046020"/>
    <w:rsid w:val="00046554"/>
    <w:rsid w:val="000466EB"/>
    <w:rsid w:val="00047265"/>
    <w:rsid w:val="000500F7"/>
    <w:rsid w:val="00050719"/>
    <w:rsid w:val="00052F0F"/>
    <w:rsid w:val="000543D1"/>
    <w:rsid w:val="00054E5C"/>
    <w:rsid w:val="000567F0"/>
    <w:rsid w:val="00056FD2"/>
    <w:rsid w:val="0005729B"/>
    <w:rsid w:val="00057947"/>
    <w:rsid w:val="000619E1"/>
    <w:rsid w:val="00063DAE"/>
    <w:rsid w:val="000650B3"/>
    <w:rsid w:val="00065550"/>
    <w:rsid w:val="00065566"/>
    <w:rsid w:val="00067B28"/>
    <w:rsid w:val="00070459"/>
    <w:rsid w:val="000707F2"/>
    <w:rsid w:val="00071AA9"/>
    <w:rsid w:val="00071F0A"/>
    <w:rsid w:val="000734CA"/>
    <w:rsid w:val="00073B18"/>
    <w:rsid w:val="000756E1"/>
    <w:rsid w:val="00076505"/>
    <w:rsid w:val="00077A25"/>
    <w:rsid w:val="0008013E"/>
    <w:rsid w:val="00081CDD"/>
    <w:rsid w:val="0008215D"/>
    <w:rsid w:val="0008230A"/>
    <w:rsid w:val="00082A76"/>
    <w:rsid w:val="0008415C"/>
    <w:rsid w:val="000843C9"/>
    <w:rsid w:val="00085CDB"/>
    <w:rsid w:val="00086EC3"/>
    <w:rsid w:val="00087564"/>
    <w:rsid w:val="0008766C"/>
    <w:rsid w:val="00087DAE"/>
    <w:rsid w:val="000902F3"/>
    <w:rsid w:val="0009078F"/>
    <w:rsid w:val="000915B9"/>
    <w:rsid w:val="00095D03"/>
    <w:rsid w:val="00096010"/>
    <w:rsid w:val="00096267"/>
    <w:rsid w:val="00096E84"/>
    <w:rsid w:val="000975BD"/>
    <w:rsid w:val="00097E6B"/>
    <w:rsid w:val="000A10B3"/>
    <w:rsid w:val="000A21A9"/>
    <w:rsid w:val="000A304B"/>
    <w:rsid w:val="000A35E3"/>
    <w:rsid w:val="000A531B"/>
    <w:rsid w:val="000A61E3"/>
    <w:rsid w:val="000A6432"/>
    <w:rsid w:val="000A659F"/>
    <w:rsid w:val="000A716F"/>
    <w:rsid w:val="000B052A"/>
    <w:rsid w:val="000B118C"/>
    <w:rsid w:val="000B1990"/>
    <w:rsid w:val="000B1B70"/>
    <w:rsid w:val="000B1F4B"/>
    <w:rsid w:val="000B213C"/>
    <w:rsid w:val="000B240E"/>
    <w:rsid w:val="000B3E7A"/>
    <w:rsid w:val="000B5C1B"/>
    <w:rsid w:val="000B5F64"/>
    <w:rsid w:val="000C075D"/>
    <w:rsid w:val="000C2CAF"/>
    <w:rsid w:val="000C30A8"/>
    <w:rsid w:val="000C3880"/>
    <w:rsid w:val="000C3C61"/>
    <w:rsid w:val="000C4D41"/>
    <w:rsid w:val="000C5BD9"/>
    <w:rsid w:val="000C5D30"/>
    <w:rsid w:val="000C6FD1"/>
    <w:rsid w:val="000C7D28"/>
    <w:rsid w:val="000D0C22"/>
    <w:rsid w:val="000D1B28"/>
    <w:rsid w:val="000D1C42"/>
    <w:rsid w:val="000D2CBB"/>
    <w:rsid w:val="000D3095"/>
    <w:rsid w:val="000D334F"/>
    <w:rsid w:val="000D4151"/>
    <w:rsid w:val="000D516F"/>
    <w:rsid w:val="000D5647"/>
    <w:rsid w:val="000D6EF8"/>
    <w:rsid w:val="000D756E"/>
    <w:rsid w:val="000D78E3"/>
    <w:rsid w:val="000E0526"/>
    <w:rsid w:val="000E08DA"/>
    <w:rsid w:val="000E1342"/>
    <w:rsid w:val="000E176A"/>
    <w:rsid w:val="000E2352"/>
    <w:rsid w:val="000E330D"/>
    <w:rsid w:val="000E3477"/>
    <w:rsid w:val="000E362B"/>
    <w:rsid w:val="000E370F"/>
    <w:rsid w:val="000E3D75"/>
    <w:rsid w:val="000E3E9C"/>
    <w:rsid w:val="000E3FCD"/>
    <w:rsid w:val="000E4DC1"/>
    <w:rsid w:val="000E5A3E"/>
    <w:rsid w:val="000E6042"/>
    <w:rsid w:val="000F0167"/>
    <w:rsid w:val="000F0CF7"/>
    <w:rsid w:val="000F17C1"/>
    <w:rsid w:val="000F243A"/>
    <w:rsid w:val="000F2A2F"/>
    <w:rsid w:val="000F3A7F"/>
    <w:rsid w:val="000F50DD"/>
    <w:rsid w:val="000F70C7"/>
    <w:rsid w:val="000F734B"/>
    <w:rsid w:val="001000FD"/>
    <w:rsid w:val="0010027A"/>
    <w:rsid w:val="00100D50"/>
    <w:rsid w:val="0010118A"/>
    <w:rsid w:val="00101C4B"/>
    <w:rsid w:val="0010253A"/>
    <w:rsid w:val="001030EF"/>
    <w:rsid w:val="00103726"/>
    <w:rsid w:val="00103E51"/>
    <w:rsid w:val="001044B8"/>
    <w:rsid w:val="00110B69"/>
    <w:rsid w:val="00111629"/>
    <w:rsid w:val="001119A6"/>
    <w:rsid w:val="0011272F"/>
    <w:rsid w:val="0011427A"/>
    <w:rsid w:val="00114286"/>
    <w:rsid w:val="001146F8"/>
    <w:rsid w:val="00114D8E"/>
    <w:rsid w:val="001162F1"/>
    <w:rsid w:val="0012019A"/>
    <w:rsid w:val="001204F1"/>
    <w:rsid w:val="00120A81"/>
    <w:rsid w:val="001218E1"/>
    <w:rsid w:val="00122D19"/>
    <w:rsid w:val="001232EC"/>
    <w:rsid w:val="00124E25"/>
    <w:rsid w:val="00124E5D"/>
    <w:rsid w:val="00125229"/>
    <w:rsid w:val="00125558"/>
    <w:rsid w:val="00125AEA"/>
    <w:rsid w:val="00125DAC"/>
    <w:rsid w:val="001266A1"/>
    <w:rsid w:val="001300A9"/>
    <w:rsid w:val="001318A6"/>
    <w:rsid w:val="00131DF2"/>
    <w:rsid w:val="00132BDB"/>
    <w:rsid w:val="001332BE"/>
    <w:rsid w:val="00134BEE"/>
    <w:rsid w:val="00135CFD"/>
    <w:rsid w:val="00135D79"/>
    <w:rsid w:val="0013602A"/>
    <w:rsid w:val="00136738"/>
    <w:rsid w:val="001369AD"/>
    <w:rsid w:val="00141499"/>
    <w:rsid w:val="001427E2"/>
    <w:rsid w:val="00142C57"/>
    <w:rsid w:val="0014319E"/>
    <w:rsid w:val="0014492A"/>
    <w:rsid w:val="00144F61"/>
    <w:rsid w:val="00146352"/>
    <w:rsid w:val="0014659F"/>
    <w:rsid w:val="00146C15"/>
    <w:rsid w:val="00146E52"/>
    <w:rsid w:val="001473D4"/>
    <w:rsid w:val="00147964"/>
    <w:rsid w:val="00147D57"/>
    <w:rsid w:val="001508AF"/>
    <w:rsid w:val="00151E4B"/>
    <w:rsid w:val="001526B8"/>
    <w:rsid w:val="001536B5"/>
    <w:rsid w:val="001536E8"/>
    <w:rsid w:val="00154C05"/>
    <w:rsid w:val="0015563F"/>
    <w:rsid w:val="00155CC5"/>
    <w:rsid w:val="00156063"/>
    <w:rsid w:val="0015697F"/>
    <w:rsid w:val="0015779E"/>
    <w:rsid w:val="00157858"/>
    <w:rsid w:val="0015790E"/>
    <w:rsid w:val="00160710"/>
    <w:rsid w:val="001617A5"/>
    <w:rsid w:val="00162A33"/>
    <w:rsid w:val="001636D6"/>
    <w:rsid w:val="001650C3"/>
    <w:rsid w:val="001653B4"/>
    <w:rsid w:val="00165F33"/>
    <w:rsid w:val="00166438"/>
    <w:rsid w:val="00166645"/>
    <w:rsid w:val="00167E97"/>
    <w:rsid w:val="00170977"/>
    <w:rsid w:val="001711B6"/>
    <w:rsid w:val="00173143"/>
    <w:rsid w:val="00173346"/>
    <w:rsid w:val="00173833"/>
    <w:rsid w:val="00176399"/>
    <w:rsid w:val="00176A4C"/>
    <w:rsid w:val="001802C6"/>
    <w:rsid w:val="00180417"/>
    <w:rsid w:val="001827C2"/>
    <w:rsid w:val="001839D7"/>
    <w:rsid w:val="00184BF6"/>
    <w:rsid w:val="00184E59"/>
    <w:rsid w:val="001853AB"/>
    <w:rsid w:val="0018629F"/>
    <w:rsid w:val="001869C5"/>
    <w:rsid w:val="001905A1"/>
    <w:rsid w:val="001905F2"/>
    <w:rsid w:val="00190E24"/>
    <w:rsid w:val="00191400"/>
    <w:rsid w:val="00192935"/>
    <w:rsid w:val="00193D8B"/>
    <w:rsid w:val="00194F81"/>
    <w:rsid w:val="001952B4"/>
    <w:rsid w:val="00196A41"/>
    <w:rsid w:val="001978DA"/>
    <w:rsid w:val="001A0106"/>
    <w:rsid w:val="001A010B"/>
    <w:rsid w:val="001A0708"/>
    <w:rsid w:val="001A1128"/>
    <w:rsid w:val="001A1B4E"/>
    <w:rsid w:val="001A1E09"/>
    <w:rsid w:val="001A2145"/>
    <w:rsid w:val="001A268A"/>
    <w:rsid w:val="001A2BF9"/>
    <w:rsid w:val="001A39CB"/>
    <w:rsid w:val="001A3BBF"/>
    <w:rsid w:val="001A452F"/>
    <w:rsid w:val="001A53DE"/>
    <w:rsid w:val="001A5B60"/>
    <w:rsid w:val="001A5F61"/>
    <w:rsid w:val="001A65AE"/>
    <w:rsid w:val="001A6775"/>
    <w:rsid w:val="001A73FC"/>
    <w:rsid w:val="001B0B8A"/>
    <w:rsid w:val="001B159B"/>
    <w:rsid w:val="001B1620"/>
    <w:rsid w:val="001B18A7"/>
    <w:rsid w:val="001B1B3A"/>
    <w:rsid w:val="001B1EC7"/>
    <w:rsid w:val="001B1F0E"/>
    <w:rsid w:val="001B27CF"/>
    <w:rsid w:val="001B29BE"/>
    <w:rsid w:val="001B2E20"/>
    <w:rsid w:val="001B3634"/>
    <w:rsid w:val="001B36F8"/>
    <w:rsid w:val="001B414F"/>
    <w:rsid w:val="001B56E8"/>
    <w:rsid w:val="001B5976"/>
    <w:rsid w:val="001B5B36"/>
    <w:rsid w:val="001B7051"/>
    <w:rsid w:val="001B71F9"/>
    <w:rsid w:val="001B7AF9"/>
    <w:rsid w:val="001C099B"/>
    <w:rsid w:val="001C12D5"/>
    <w:rsid w:val="001C1577"/>
    <w:rsid w:val="001C3EEA"/>
    <w:rsid w:val="001C51D2"/>
    <w:rsid w:val="001C578B"/>
    <w:rsid w:val="001C5DD9"/>
    <w:rsid w:val="001C6F21"/>
    <w:rsid w:val="001C781B"/>
    <w:rsid w:val="001D0240"/>
    <w:rsid w:val="001D05E9"/>
    <w:rsid w:val="001D0B60"/>
    <w:rsid w:val="001D1019"/>
    <w:rsid w:val="001D119A"/>
    <w:rsid w:val="001D30C1"/>
    <w:rsid w:val="001D3DB8"/>
    <w:rsid w:val="001D42ED"/>
    <w:rsid w:val="001D4635"/>
    <w:rsid w:val="001D5149"/>
    <w:rsid w:val="001D52EB"/>
    <w:rsid w:val="001E008E"/>
    <w:rsid w:val="001E0B5B"/>
    <w:rsid w:val="001E1134"/>
    <w:rsid w:val="001E2158"/>
    <w:rsid w:val="001E3751"/>
    <w:rsid w:val="001E3BA7"/>
    <w:rsid w:val="001E45C9"/>
    <w:rsid w:val="001E626E"/>
    <w:rsid w:val="001E796D"/>
    <w:rsid w:val="001E7EFE"/>
    <w:rsid w:val="001F0AA4"/>
    <w:rsid w:val="001F0F79"/>
    <w:rsid w:val="001F2484"/>
    <w:rsid w:val="001F2694"/>
    <w:rsid w:val="001F2C5F"/>
    <w:rsid w:val="001F513B"/>
    <w:rsid w:val="001F57B7"/>
    <w:rsid w:val="001F5AE9"/>
    <w:rsid w:val="001F5D84"/>
    <w:rsid w:val="001F70E2"/>
    <w:rsid w:val="001F7EC8"/>
    <w:rsid w:val="002005E6"/>
    <w:rsid w:val="00201FA3"/>
    <w:rsid w:val="00202B5E"/>
    <w:rsid w:val="00204625"/>
    <w:rsid w:val="0020566E"/>
    <w:rsid w:val="00205ABE"/>
    <w:rsid w:val="00205ED3"/>
    <w:rsid w:val="002063E8"/>
    <w:rsid w:val="0020703C"/>
    <w:rsid w:val="002078A3"/>
    <w:rsid w:val="00207DD8"/>
    <w:rsid w:val="0021012D"/>
    <w:rsid w:val="00210BBD"/>
    <w:rsid w:val="00210D65"/>
    <w:rsid w:val="0021101B"/>
    <w:rsid w:val="00212CB8"/>
    <w:rsid w:val="002134A9"/>
    <w:rsid w:val="00213B7B"/>
    <w:rsid w:val="002152D5"/>
    <w:rsid w:val="002162F8"/>
    <w:rsid w:val="00216639"/>
    <w:rsid w:val="00216F87"/>
    <w:rsid w:val="00217C09"/>
    <w:rsid w:val="00220AAF"/>
    <w:rsid w:val="00221A18"/>
    <w:rsid w:val="002222CC"/>
    <w:rsid w:val="0022286A"/>
    <w:rsid w:val="00223C05"/>
    <w:rsid w:val="00224645"/>
    <w:rsid w:val="0022619C"/>
    <w:rsid w:val="002261C8"/>
    <w:rsid w:val="00226DFF"/>
    <w:rsid w:val="00226F97"/>
    <w:rsid w:val="00230057"/>
    <w:rsid w:val="002311CE"/>
    <w:rsid w:val="00232A53"/>
    <w:rsid w:val="00232A56"/>
    <w:rsid w:val="00232FA1"/>
    <w:rsid w:val="002331A3"/>
    <w:rsid w:val="00233DFF"/>
    <w:rsid w:val="0023444A"/>
    <w:rsid w:val="00234B9A"/>
    <w:rsid w:val="00234E07"/>
    <w:rsid w:val="00234F05"/>
    <w:rsid w:val="0023506C"/>
    <w:rsid w:val="00236846"/>
    <w:rsid w:val="002407DF"/>
    <w:rsid w:val="00240F6F"/>
    <w:rsid w:val="00241466"/>
    <w:rsid w:val="002424FF"/>
    <w:rsid w:val="00242ACD"/>
    <w:rsid w:val="00242B6A"/>
    <w:rsid w:val="002445DF"/>
    <w:rsid w:val="0024462C"/>
    <w:rsid w:val="002448FB"/>
    <w:rsid w:val="00244F6A"/>
    <w:rsid w:val="00244FFA"/>
    <w:rsid w:val="00245257"/>
    <w:rsid w:val="00245AFD"/>
    <w:rsid w:val="00245D5E"/>
    <w:rsid w:val="00245F3F"/>
    <w:rsid w:val="00247081"/>
    <w:rsid w:val="002500D0"/>
    <w:rsid w:val="00250197"/>
    <w:rsid w:val="002506F2"/>
    <w:rsid w:val="00252106"/>
    <w:rsid w:val="0025313B"/>
    <w:rsid w:val="00253577"/>
    <w:rsid w:val="00254B59"/>
    <w:rsid w:val="00254F67"/>
    <w:rsid w:val="00255121"/>
    <w:rsid w:val="00255ACE"/>
    <w:rsid w:val="00255F0A"/>
    <w:rsid w:val="002569FC"/>
    <w:rsid w:val="00256BFC"/>
    <w:rsid w:val="00256CB9"/>
    <w:rsid w:val="00260501"/>
    <w:rsid w:val="00260902"/>
    <w:rsid w:val="00262295"/>
    <w:rsid w:val="0026264B"/>
    <w:rsid w:val="00262FFA"/>
    <w:rsid w:val="0026381F"/>
    <w:rsid w:val="00264BDF"/>
    <w:rsid w:val="0026502D"/>
    <w:rsid w:val="00267D9C"/>
    <w:rsid w:val="00267DB7"/>
    <w:rsid w:val="00270AAD"/>
    <w:rsid w:val="002742EE"/>
    <w:rsid w:val="00274D8B"/>
    <w:rsid w:val="00275989"/>
    <w:rsid w:val="0027623E"/>
    <w:rsid w:val="00276556"/>
    <w:rsid w:val="00276E88"/>
    <w:rsid w:val="00277DA5"/>
    <w:rsid w:val="00277DE8"/>
    <w:rsid w:val="002804CE"/>
    <w:rsid w:val="00280A84"/>
    <w:rsid w:val="00280AE7"/>
    <w:rsid w:val="002825F3"/>
    <w:rsid w:val="002833C2"/>
    <w:rsid w:val="00284E08"/>
    <w:rsid w:val="0028552C"/>
    <w:rsid w:val="00285E74"/>
    <w:rsid w:val="002863A8"/>
    <w:rsid w:val="0028697C"/>
    <w:rsid w:val="00287AD9"/>
    <w:rsid w:val="00287B8D"/>
    <w:rsid w:val="00290CCC"/>
    <w:rsid w:val="00291786"/>
    <w:rsid w:val="00291A65"/>
    <w:rsid w:val="00292507"/>
    <w:rsid w:val="00292A1A"/>
    <w:rsid w:val="00292F3C"/>
    <w:rsid w:val="0029388D"/>
    <w:rsid w:val="002942C1"/>
    <w:rsid w:val="00294D80"/>
    <w:rsid w:val="00295564"/>
    <w:rsid w:val="00296955"/>
    <w:rsid w:val="00297CBF"/>
    <w:rsid w:val="002A141C"/>
    <w:rsid w:val="002A1A2D"/>
    <w:rsid w:val="002A1C8B"/>
    <w:rsid w:val="002A30DB"/>
    <w:rsid w:val="002A353F"/>
    <w:rsid w:val="002A3F7C"/>
    <w:rsid w:val="002A436E"/>
    <w:rsid w:val="002A51AF"/>
    <w:rsid w:val="002B0A60"/>
    <w:rsid w:val="002B0F6D"/>
    <w:rsid w:val="002B13C8"/>
    <w:rsid w:val="002B2028"/>
    <w:rsid w:val="002B21BD"/>
    <w:rsid w:val="002B2239"/>
    <w:rsid w:val="002B2E5B"/>
    <w:rsid w:val="002B2E77"/>
    <w:rsid w:val="002B302D"/>
    <w:rsid w:val="002B329E"/>
    <w:rsid w:val="002B57F0"/>
    <w:rsid w:val="002B64C6"/>
    <w:rsid w:val="002B7E8D"/>
    <w:rsid w:val="002C0090"/>
    <w:rsid w:val="002C0837"/>
    <w:rsid w:val="002C14E1"/>
    <w:rsid w:val="002C1AA9"/>
    <w:rsid w:val="002C233E"/>
    <w:rsid w:val="002C293D"/>
    <w:rsid w:val="002C343D"/>
    <w:rsid w:val="002C3D2F"/>
    <w:rsid w:val="002C44B4"/>
    <w:rsid w:val="002C467F"/>
    <w:rsid w:val="002C481C"/>
    <w:rsid w:val="002C4DBD"/>
    <w:rsid w:val="002C55F8"/>
    <w:rsid w:val="002C5C96"/>
    <w:rsid w:val="002C68D0"/>
    <w:rsid w:val="002C693B"/>
    <w:rsid w:val="002D0EA8"/>
    <w:rsid w:val="002D0EEA"/>
    <w:rsid w:val="002D1114"/>
    <w:rsid w:val="002D16BC"/>
    <w:rsid w:val="002D20C0"/>
    <w:rsid w:val="002D215F"/>
    <w:rsid w:val="002D2749"/>
    <w:rsid w:val="002D43BB"/>
    <w:rsid w:val="002D43C9"/>
    <w:rsid w:val="002D456D"/>
    <w:rsid w:val="002D7182"/>
    <w:rsid w:val="002D79FA"/>
    <w:rsid w:val="002E0ABA"/>
    <w:rsid w:val="002E179B"/>
    <w:rsid w:val="002E213A"/>
    <w:rsid w:val="002E27C8"/>
    <w:rsid w:val="002E2C16"/>
    <w:rsid w:val="002E3345"/>
    <w:rsid w:val="002E35D3"/>
    <w:rsid w:val="002E391F"/>
    <w:rsid w:val="002E4B5C"/>
    <w:rsid w:val="002E7202"/>
    <w:rsid w:val="002F10FD"/>
    <w:rsid w:val="002F141A"/>
    <w:rsid w:val="002F14BA"/>
    <w:rsid w:val="002F1A2E"/>
    <w:rsid w:val="002F2204"/>
    <w:rsid w:val="002F2DF3"/>
    <w:rsid w:val="002F3BE3"/>
    <w:rsid w:val="002F43B2"/>
    <w:rsid w:val="002F7941"/>
    <w:rsid w:val="002F7B54"/>
    <w:rsid w:val="00300CD1"/>
    <w:rsid w:val="0030325C"/>
    <w:rsid w:val="00304E94"/>
    <w:rsid w:val="003075EA"/>
    <w:rsid w:val="00307C3F"/>
    <w:rsid w:val="00310C18"/>
    <w:rsid w:val="00313BFB"/>
    <w:rsid w:val="00314925"/>
    <w:rsid w:val="00314B41"/>
    <w:rsid w:val="00314F3B"/>
    <w:rsid w:val="00315A40"/>
    <w:rsid w:val="00316C77"/>
    <w:rsid w:val="003175FA"/>
    <w:rsid w:val="003179A5"/>
    <w:rsid w:val="00317D2B"/>
    <w:rsid w:val="00320A33"/>
    <w:rsid w:val="00320EF9"/>
    <w:rsid w:val="0032136D"/>
    <w:rsid w:val="003214D1"/>
    <w:rsid w:val="003216E0"/>
    <w:rsid w:val="00321A27"/>
    <w:rsid w:val="00321A89"/>
    <w:rsid w:val="003225F3"/>
    <w:rsid w:val="00323D61"/>
    <w:rsid w:val="003242AA"/>
    <w:rsid w:val="00324AFF"/>
    <w:rsid w:val="00325AAE"/>
    <w:rsid w:val="0032639E"/>
    <w:rsid w:val="003267A3"/>
    <w:rsid w:val="003268C2"/>
    <w:rsid w:val="00326D6A"/>
    <w:rsid w:val="003309D7"/>
    <w:rsid w:val="00331E5B"/>
    <w:rsid w:val="00332B69"/>
    <w:rsid w:val="003333C2"/>
    <w:rsid w:val="00333CDE"/>
    <w:rsid w:val="00333E25"/>
    <w:rsid w:val="00334AA9"/>
    <w:rsid w:val="0033504E"/>
    <w:rsid w:val="003359D4"/>
    <w:rsid w:val="00335C4B"/>
    <w:rsid w:val="00335CDD"/>
    <w:rsid w:val="003362EB"/>
    <w:rsid w:val="0033638B"/>
    <w:rsid w:val="00336DA5"/>
    <w:rsid w:val="0033704C"/>
    <w:rsid w:val="00337D4F"/>
    <w:rsid w:val="003404DE"/>
    <w:rsid w:val="00340D26"/>
    <w:rsid w:val="003415ED"/>
    <w:rsid w:val="00342046"/>
    <w:rsid w:val="0034283B"/>
    <w:rsid w:val="003435F7"/>
    <w:rsid w:val="00343629"/>
    <w:rsid w:val="00345317"/>
    <w:rsid w:val="00347892"/>
    <w:rsid w:val="00350008"/>
    <w:rsid w:val="00350D2C"/>
    <w:rsid w:val="003516D7"/>
    <w:rsid w:val="00352816"/>
    <w:rsid w:val="00353676"/>
    <w:rsid w:val="0035424A"/>
    <w:rsid w:val="003543EE"/>
    <w:rsid w:val="003546DD"/>
    <w:rsid w:val="00354A62"/>
    <w:rsid w:val="00355044"/>
    <w:rsid w:val="00355ABE"/>
    <w:rsid w:val="00355C8E"/>
    <w:rsid w:val="00356B8B"/>
    <w:rsid w:val="00356D65"/>
    <w:rsid w:val="00356E99"/>
    <w:rsid w:val="0036183A"/>
    <w:rsid w:val="003619D0"/>
    <w:rsid w:val="00362F3B"/>
    <w:rsid w:val="003646A0"/>
    <w:rsid w:val="0036496B"/>
    <w:rsid w:val="0036523E"/>
    <w:rsid w:val="00370D4F"/>
    <w:rsid w:val="0037212D"/>
    <w:rsid w:val="00374FC9"/>
    <w:rsid w:val="0037613E"/>
    <w:rsid w:val="00380B18"/>
    <w:rsid w:val="00382105"/>
    <w:rsid w:val="0038271F"/>
    <w:rsid w:val="00382C3B"/>
    <w:rsid w:val="0038329C"/>
    <w:rsid w:val="0038341C"/>
    <w:rsid w:val="0038354F"/>
    <w:rsid w:val="00383A19"/>
    <w:rsid w:val="00383DDE"/>
    <w:rsid w:val="00386F50"/>
    <w:rsid w:val="00387099"/>
    <w:rsid w:val="003907A8"/>
    <w:rsid w:val="00391153"/>
    <w:rsid w:val="00391566"/>
    <w:rsid w:val="00391D88"/>
    <w:rsid w:val="00392322"/>
    <w:rsid w:val="00392819"/>
    <w:rsid w:val="00395FED"/>
    <w:rsid w:val="003964A4"/>
    <w:rsid w:val="003966BA"/>
    <w:rsid w:val="00396A25"/>
    <w:rsid w:val="00396D35"/>
    <w:rsid w:val="003A012C"/>
    <w:rsid w:val="003A03C8"/>
    <w:rsid w:val="003A1810"/>
    <w:rsid w:val="003A2884"/>
    <w:rsid w:val="003A35BB"/>
    <w:rsid w:val="003A4D9D"/>
    <w:rsid w:val="003B0086"/>
    <w:rsid w:val="003B0A9A"/>
    <w:rsid w:val="003B0F05"/>
    <w:rsid w:val="003B1145"/>
    <w:rsid w:val="003B1F3F"/>
    <w:rsid w:val="003B2922"/>
    <w:rsid w:val="003B2A73"/>
    <w:rsid w:val="003B2AA9"/>
    <w:rsid w:val="003B3682"/>
    <w:rsid w:val="003B4098"/>
    <w:rsid w:val="003B50CF"/>
    <w:rsid w:val="003B5465"/>
    <w:rsid w:val="003B54DC"/>
    <w:rsid w:val="003B581A"/>
    <w:rsid w:val="003B794B"/>
    <w:rsid w:val="003C0419"/>
    <w:rsid w:val="003C05E4"/>
    <w:rsid w:val="003C07D7"/>
    <w:rsid w:val="003C0B13"/>
    <w:rsid w:val="003C1A82"/>
    <w:rsid w:val="003C4344"/>
    <w:rsid w:val="003C494F"/>
    <w:rsid w:val="003C4962"/>
    <w:rsid w:val="003C5465"/>
    <w:rsid w:val="003C5BD8"/>
    <w:rsid w:val="003C6977"/>
    <w:rsid w:val="003C7BF5"/>
    <w:rsid w:val="003C7DA0"/>
    <w:rsid w:val="003D03D5"/>
    <w:rsid w:val="003D0550"/>
    <w:rsid w:val="003D0CB1"/>
    <w:rsid w:val="003D11EB"/>
    <w:rsid w:val="003D2DBF"/>
    <w:rsid w:val="003D4A5D"/>
    <w:rsid w:val="003D51EC"/>
    <w:rsid w:val="003D66A5"/>
    <w:rsid w:val="003D78FD"/>
    <w:rsid w:val="003D7FC5"/>
    <w:rsid w:val="003E0BD5"/>
    <w:rsid w:val="003E14C5"/>
    <w:rsid w:val="003E14E1"/>
    <w:rsid w:val="003E2925"/>
    <w:rsid w:val="003E300B"/>
    <w:rsid w:val="003E4EB7"/>
    <w:rsid w:val="003E5411"/>
    <w:rsid w:val="003E6325"/>
    <w:rsid w:val="003E69CA"/>
    <w:rsid w:val="003E70DF"/>
    <w:rsid w:val="003F1061"/>
    <w:rsid w:val="003F14E0"/>
    <w:rsid w:val="003F1F44"/>
    <w:rsid w:val="003F3AE4"/>
    <w:rsid w:val="003F444C"/>
    <w:rsid w:val="003F4A16"/>
    <w:rsid w:val="003F5B8B"/>
    <w:rsid w:val="003F60AF"/>
    <w:rsid w:val="003F6366"/>
    <w:rsid w:val="003F6565"/>
    <w:rsid w:val="00400611"/>
    <w:rsid w:val="004008C0"/>
    <w:rsid w:val="00400A2E"/>
    <w:rsid w:val="00401451"/>
    <w:rsid w:val="00402F35"/>
    <w:rsid w:val="00403BCF"/>
    <w:rsid w:val="0040494C"/>
    <w:rsid w:val="00404FFC"/>
    <w:rsid w:val="004054D3"/>
    <w:rsid w:val="0040552F"/>
    <w:rsid w:val="004061D5"/>
    <w:rsid w:val="00407784"/>
    <w:rsid w:val="00407AA7"/>
    <w:rsid w:val="00410A8D"/>
    <w:rsid w:val="00410EAA"/>
    <w:rsid w:val="004114FE"/>
    <w:rsid w:val="00411D06"/>
    <w:rsid w:val="00412D50"/>
    <w:rsid w:val="00412E27"/>
    <w:rsid w:val="00412F02"/>
    <w:rsid w:val="00413716"/>
    <w:rsid w:val="00413FD8"/>
    <w:rsid w:val="0041454F"/>
    <w:rsid w:val="0041506D"/>
    <w:rsid w:val="00415B73"/>
    <w:rsid w:val="00416B8A"/>
    <w:rsid w:val="004177EE"/>
    <w:rsid w:val="00417DEE"/>
    <w:rsid w:val="00421381"/>
    <w:rsid w:val="00421B57"/>
    <w:rsid w:val="00421EF8"/>
    <w:rsid w:val="004221D4"/>
    <w:rsid w:val="00422453"/>
    <w:rsid w:val="00423CEA"/>
    <w:rsid w:val="00425C37"/>
    <w:rsid w:val="00426325"/>
    <w:rsid w:val="004265F4"/>
    <w:rsid w:val="00426733"/>
    <w:rsid w:val="00426EA5"/>
    <w:rsid w:val="00427989"/>
    <w:rsid w:val="00427E2F"/>
    <w:rsid w:val="0043047E"/>
    <w:rsid w:val="00430B18"/>
    <w:rsid w:val="00430CC5"/>
    <w:rsid w:val="00431380"/>
    <w:rsid w:val="0043146A"/>
    <w:rsid w:val="00434D8F"/>
    <w:rsid w:val="00435813"/>
    <w:rsid w:val="00436176"/>
    <w:rsid w:val="00436185"/>
    <w:rsid w:val="004367EA"/>
    <w:rsid w:val="00436E93"/>
    <w:rsid w:val="004401BE"/>
    <w:rsid w:val="00440303"/>
    <w:rsid w:val="0044125E"/>
    <w:rsid w:val="0044213B"/>
    <w:rsid w:val="00443496"/>
    <w:rsid w:val="00443AD7"/>
    <w:rsid w:val="00443F9F"/>
    <w:rsid w:val="0044411D"/>
    <w:rsid w:val="0044530B"/>
    <w:rsid w:val="004456A9"/>
    <w:rsid w:val="00446569"/>
    <w:rsid w:val="004466BF"/>
    <w:rsid w:val="00446702"/>
    <w:rsid w:val="00447294"/>
    <w:rsid w:val="0044786E"/>
    <w:rsid w:val="0045103D"/>
    <w:rsid w:val="004510DA"/>
    <w:rsid w:val="00451FD8"/>
    <w:rsid w:val="004523F4"/>
    <w:rsid w:val="00454140"/>
    <w:rsid w:val="004566ED"/>
    <w:rsid w:val="00456A24"/>
    <w:rsid w:val="00456BD4"/>
    <w:rsid w:val="00457041"/>
    <w:rsid w:val="00461019"/>
    <w:rsid w:val="0046275D"/>
    <w:rsid w:val="00462938"/>
    <w:rsid w:val="00462BE6"/>
    <w:rsid w:val="00463A5B"/>
    <w:rsid w:val="00464CA3"/>
    <w:rsid w:val="0046551E"/>
    <w:rsid w:val="00465580"/>
    <w:rsid w:val="00465E30"/>
    <w:rsid w:val="00465E7B"/>
    <w:rsid w:val="00467718"/>
    <w:rsid w:val="00470106"/>
    <w:rsid w:val="004705D7"/>
    <w:rsid w:val="00470734"/>
    <w:rsid w:val="00470981"/>
    <w:rsid w:val="00470B8F"/>
    <w:rsid w:val="00472D68"/>
    <w:rsid w:val="00476823"/>
    <w:rsid w:val="00476C2A"/>
    <w:rsid w:val="00477208"/>
    <w:rsid w:val="00477A58"/>
    <w:rsid w:val="00480C00"/>
    <w:rsid w:val="00480C10"/>
    <w:rsid w:val="00482BA8"/>
    <w:rsid w:val="00483468"/>
    <w:rsid w:val="00483DE7"/>
    <w:rsid w:val="004849EF"/>
    <w:rsid w:val="004854C6"/>
    <w:rsid w:val="0048606B"/>
    <w:rsid w:val="00486581"/>
    <w:rsid w:val="00486BCA"/>
    <w:rsid w:val="00486CFD"/>
    <w:rsid w:val="00486F78"/>
    <w:rsid w:val="0049177D"/>
    <w:rsid w:val="00491CD0"/>
    <w:rsid w:val="0049213F"/>
    <w:rsid w:val="0049278F"/>
    <w:rsid w:val="004929CF"/>
    <w:rsid w:val="00493794"/>
    <w:rsid w:val="0049414B"/>
    <w:rsid w:val="00494BD5"/>
    <w:rsid w:val="0049613A"/>
    <w:rsid w:val="004961A1"/>
    <w:rsid w:val="00496D8F"/>
    <w:rsid w:val="00497C69"/>
    <w:rsid w:val="004A062D"/>
    <w:rsid w:val="004A155B"/>
    <w:rsid w:val="004A19EC"/>
    <w:rsid w:val="004A28BE"/>
    <w:rsid w:val="004A2F97"/>
    <w:rsid w:val="004A35EB"/>
    <w:rsid w:val="004A3AAA"/>
    <w:rsid w:val="004A5788"/>
    <w:rsid w:val="004A5FDE"/>
    <w:rsid w:val="004A772F"/>
    <w:rsid w:val="004B0810"/>
    <w:rsid w:val="004B1B75"/>
    <w:rsid w:val="004B1EF2"/>
    <w:rsid w:val="004B2956"/>
    <w:rsid w:val="004B3839"/>
    <w:rsid w:val="004B3AF1"/>
    <w:rsid w:val="004B4549"/>
    <w:rsid w:val="004B49AA"/>
    <w:rsid w:val="004B5005"/>
    <w:rsid w:val="004B5245"/>
    <w:rsid w:val="004B546B"/>
    <w:rsid w:val="004B5629"/>
    <w:rsid w:val="004C0ECA"/>
    <w:rsid w:val="004C2978"/>
    <w:rsid w:val="004C3364"/>
    <w:rsid w:val="004C3C15"/>
    <w:rsid w:val="004C4776"/>
    <w:rsid w:val="004C489D"/>
    <w:rsid w:val="004C4902"/>
    <w:rsid w:val="004C5143"/>
    <w:rsid w:val="004C528F"/>
    <w:rsid w:val="004C58B1"/>
    <w:rsid w:val="004C5F77"/>
    <w:rsid w:val="004C7CDC"/>
    <w:rsid w:val="004C7EDB"/>
    <w:rsid w:val="004D0A65"/>
    <w:rsid w:val="004D2913"/>
    <w:rsid w:val="004D33E9"/>
    <w:rsid w:val="004D3F76"/>
    <w:rsid w:val="004D442C"/>
    <w:rsid w:val="004D5290"/>
    <w:rsid w:val="004D5383"/>
    <w:rsid w:val="004D58A2"/>
    <w:rsid w:val="004D634E"/>
    <w:rsid w:val="004D675A"/>
    <w:rsid w:val="004D6CD6"/>
    <w:rsid w:val="004D70D1"/>
    <w:rsid w:val="004E1B16"/>
    <w:rsid w:val="004E26B2"/>
    <w:rsid w:val="004E29B7"/>
    <w:rsid w:val="004E2CC4"/>
    <w:rsid w:val="004E40C4"/>
    <w:rsid w:val="004E4120"/>
    <w:rsid w:val="004E5012"/>
    <w:rsid w:val="004E597A"/>
    <w:rsid w:val="004E62E2"/>
    <w:rsid w:val="004E6F59"/>
    <w:rsid w:val="004F0A84"/>
    <w:rsid w:val="004F158D"/>
    <w:rsid w:val="004F1AB6"/>
    <w:rsid w:val="004F1DD7"/>
    <w:rsid w:val="004F25FD"/>
    <w:rsid w:val="004F418F"/>
    <w:rsid w:val="004F4756"/>
    <w:rsid w:val="004F493F"/>
    <w:rsid w:val="004F53B6"/>
    <w:rsid w:val="004F6819"/>
    <w:rsid w:val="004F6DE5"/>
    <w:rsid w:val="005000AD"/>
    <w:rsid w:val="0050012E"/>
    <w:rsid w:val="0050041C"/>
    <w:rsid w:val="00500B75"/>
    <w:rsid w:val="005016CD"/>
    <w:rsid w:val="00502969"/>
    <w:rsid w:val="0050355D"/>
    <w:rsid w:val="005035D9"/>
    <w:rsid w:val="005048CD"/>
    <w:rsid w:val="00505979"/>
    <w:rsid w:val="00506171"/>
    <w:rsid w:val="00507957"/>
    <w:rsid w:val="00507E7B"/>
    <w:rsid w:val="0051062E"/>
    <w:rsid w:val="00511945"/>
    <w:rsid w:val="00512212"/>
    <w:rsid w:val="0051252A"/>
    <w:rsid w:val="00513B4B"/>
    <w:rsid w:val="0051448E"/>
    <w:rsid w:val="00517F9D"/>
    <w:rsid w:val="00520C40"/>
    <w:rsid w:val="00520E7B"/>
    <w:rsid w:val="00520F4B"/>
    <w:rsid w:val="00521237"/>
    <w:rsid w:val="00523692"/>
    <w:rsid w:val="00524FF3"/>
    <w:rsid w:val="0052544B"/>
    <w:rsid w:val="0052585C"/>
    <w:rsid w:val="005268BA"/>
    <w:rsid w:val="005276B2"/>
    <w:rsid w:val="00527F03"/>
    <w:rsid w:val="00527F8A"/>
    <w:rsid w:val="0053163A"/>
    <w:rsid w:val="005328B5"/>
    <w:rsid w:val="00532ACF"/>
    <w:rsid w:val="00533272"/>
    <w:rsid w:val="00534905"/>
    <w:rsid w:val="00535BED"/>
    <w:rsid w:val="00536770"/>
    <w:rsid w:val="00537332"/>
    <w:rsid w:val="00540E6C"/>
    <w:rsid w:val="005417E0"/>
    <w:rsid w:val="005419EC"/>
    <w:rsid w:val="00541BCC"/>
    <w:rsid w:val="00543758"/>
    <w:rsid w:val="005446A1"/>
    <w:rsid w:val="00546633"/>
    <w:rsid w:val="005466F8"/>
    <w:rsid w:val="00546731"/>
    <w:rsid w:val="0054719B"/>
    <w:rsid w:val="00547460"/>
    <w:rsid w:val="005527DB"/>
    <w:rsid w:val="00552A1E"/>
    <w:rsid w:val="005571B6"/>
    <w:rsid w:val="0055738F"/>
    <w:rsid w:val="00557A50"/>
    <w:rsid w:val="00557BD7"/>
    <w:rsid w:val="00557D4B"/>
    <w:rsid w:val="00560F08"/>
    <w:rsid w:val="00561607"/>
    <w:rsid w:val="00562029"/>
    <w:rsid w:val="00562C80"/>
    <w:rsid w:val="00563704"/>
    <w:rsid w:val="00563C40"/>
    <w:rsid w:val="00563FBF"/>
    <w:rsid w:val="0056568B"/>
    <w:rsid w:val="00565DF4"/>
    <w:rsid w:val="0056646A"/>
    <w:rsid w:val="00567889"/>
    <w:rsid w:val="00570B24"/>
    <w:rsid w:val="0057199B"/>
    <w:rsid w:val="0057307D"/>
    <w:rsid w:val="00575520"/>
    <w:rsid w:val="0057572F"/>
    <w:rsid w:val="00576110"/>
    <w:rsid w:val="00576F7A"/>
    <w:rsid w:val="00580B52"/>
    <w:rsid w:val="0058121F"/>
    <w:rsid w:val="005819D8"/>
    <w:rsid w:val="0058211D"/>
    <w:rsid w:val="00582CAB"/>
    <w:rsid w:val="00584B2F"/>
    <w:rsid w:val="00585650"/>
    <w:rsid w:val="00585EDF"/>
    <w:rsid w:val="00586156"/>
    <w:rsid w:val="00586567"/>
    <w:rsid w:val="005865C0"/>
    <w:rsid w:val="00587DD7"/>
    <w:rsid w:val="00590A37"/>
    <w:rsid w:val="0059205F"/>
    <w:rsid w:val="005920E2"/>
    <w:rsid w:val="00592355"/>
    <w:rsid w:val="00592596"/>
    <w:rsid w:val="00592F1B"/>
    <w:rsid w:val="00593C94"/>
    <w:rsid w:val="005941EE"/>
    <w:rsid w:val="0059466F"/>
    <w:rsid w:val="0059568A"/>
    <w:rsid w:val="00595973"/>
    <w:rsid w:val="00597070"/>
    <w:rsid w:val="005972A6"/>
    <w:rsid w:val="00597697"/>
    <w:rsid w:val="005A036D"/>
    <w:rsid w:val="005A1019"/>
    <w:rsid w:val="005A215E"/>
    <w:rsid w:val="005A312F"/>
    <w:rsid w:val="005A3F3E"/>
    <w:rsid w:val="005A4768"/>
    <w:rsid w:val="005A541F"/>
    <w:rsid w:val="005A5D84"/>
    <w:rsid w:val="005A6DE2"/>
    <w:rsid w:val="005A74CD"/>
    <w:rsid w:val="005A7AA1"/>
    <w:rsid w:val="005B0A3D"/>
    <w:rsid w:val="005B5583"/>
    <w:rsid w:val="005B57A9"/>
    <w:rsid w:val="005B6775"/>
    <w:rsid w:val="005B7AE6"/>
    <w:rsid w:val="005C0297"/>
    <w:rsid w:val="005C11E1"/>
    <w:rsid w:val="005C1276"/>
    <w:rsid w:val="005C2DE1"/>
    <w:rsid w:val="005C419B"/>
    <w:rsid w:val="005C4924"/>
    <w:rsid w:val="005C4C86"/>
    <w:rsid w:val="005C5ED7"/>
    <w:rsid w:val="005C7057"/>
    <w:rsid w:val="005D201C"/>
    <w:rsid w:val="005D3FCC"/>
    <w:rsid w:val="005D43E3"/>
    <w:rsid w:val="005D4CEE"/>
    <w:rsid w:val="005D5502"/>
    <w:rsid w:val="005D5A87"/>
    <w:rsid w:val="005D681F"/>
    <w:rsid w:val="005D6B6E"/>
    <w:rsid w:val="005D706F"/>
    <w:rsid w:val="005D776C"/>
    <w:rsid w:val="005D77E0"/>
    <w:rsid w:val="005D7B4E"/>
    <w:rsid w:val="005E0079"/>
    <w:rsid w:val="005E2AFA"/>
    <w:rsid w:val="005E3B3C"/>
    <w:rsid w:val="005E55F7"/>
    <w:rsid w:val="005E6325"/>
    <w:rsid w:val="005E6514"/>
    <w:rsid w:val="005E667C"/>
    <w:rsid w:val="005F0EE7"/>
    <w:rsid w:val="005F1605"/>
    <w:rsid w:val="005F3A25"/>
    <w:rsid w:val="005F570C"/>
    <w:rsid w:val="005F604D"/>
    <w:rsid w:val="00600B37"/>
    <w:rsid w:val="00601F79"/>
    <w:rsid w:val="006029A8"/>
    <w:rsid w:val="0060301B"/>
    <w:rsid w:val="006039A2"/>
    <w:rsid w:val="006057E0"/>
    <w:rsid w:val="00606978"/>
    <w:rsid w:val="00610521"/>
    <w:rsid w:val="0061079C"/>
    <w:rsid w:val="00610B6E"/>
    <w:rsid w:val="00610DC9"/>
    <w:rsid w:val="006120B7"/>
    <w:rsid w:val="00612769"/>
    <w:rsid w:val="006130D9"/>
    <w:rsid w:val="00614C79"/>
    <w:rsid w:val="00615C45"/>
    <w:rsid w:val="00616B50"/>
    <w:rsid w:val="006172A4"/>
    <w:rsid w:val="006175A2"/>
    <w:rsid w:val="00620296"/>
    <w:rsid w:val="006204D2"/>
    <w:rsid w:val="00620E46"/>
    <w:rsid w:val="00621041"/>
    <w:rsid w:val="00621280"/>
    <w:rsid w:val="00621B09"/>
    <w:rsid w:val="00623263"/>
    <w:rsid w:val="006233F8"/>
    <w:rsid w:val="00626BFD"/>
    <w:rsid w:val="006278B1"/>
    <w:rsid w:val="006300EC"/>
    <w:rsid w:val="00632162"/>
    <w:rsid w:val="00633EE1"/>
    <w:rsid w:val="00634A07"/>
    <w:rsid w:val="0063536F"/>
    <w:rsid w:val="00635D0F"/>
    <w:rsid w:val="006362AA"/>
    <w:rsid w:val="00636D1E"/>
    <w:rsid w:val="00636DE5"/>
    <w:rsid w:val="00637882"/>
    <w:rsid w:val="00637E49"/>
    <w:rsid w:val="00640363"/>
    <w:rsid w:val="00641CBA"/>
    <w:rsid w:val="0064384F"/>
    <w:rsid w:val="006439D4"/>
    <w:rsid w:val="00643F4E"/>
    <w:rsid w:val="00644B01"/>
    <w:rsid w:val="00644C95"/>
    <w:rsid w:val="00644CB8"/>
    <w:rsid w:val="00645661"/>
    <w:rsid w:val="00646794"/>
    <w:rsid w:val="00646979"/>
    <w:rsid w:val="006479B6"/>
    <w:rsid w:val="00647D8A"/>
    <w:rsid w:val="00650C54"/>
    <w:rsid w:val="00651767"/>
    <w:rsid w:val="00651E33"/>
    <w:rsid w:val="0065270A"/>
    <w:rsid w:val="006530FE"/>
    <w:rsid w:val="006534F3"/>
    <w:rsid w:val="006577C7"/>
    <w:rsid w:val="006617E3"/>
    <w:rsid w:val="00662A01"/>
    <w:rsid w:val="00662BF0"/>
    <w:rsid w:val="00663377"/>
    <w:rsid w:val="006634DF"/>
    <w:rsid w:val="0066430A"/>
    <w:rsid w:val="00665061"/>
    <w:rsid w:val="00665C59"/>
    <w:rsid w:val="006667EA"/>
    <w:rsid w:val="00667988"/>
    <w:rsid w:val="00667A31"/>
    <w:rsid w:val="00671081"/>
    <w:rsid w:val="006723D9"/>
    <w:rsid w:val="00672CE3"/>
    <w:rsid w:val="006739DF"/>
    <w:rsid w:val="00673FC5"/>
    <w:rsid w:val="00674A20"/>
    <w:rsid w:val="00675282"/>
    <w:rsid w:val="0067682C"/>
    <w:rsid w:val="00676AA4"/>
    <w:rsid w:val="006805FD"/>
    <w:rsid w:val="00680713"/>
    <w:rsid w:val="006807E3"/>
    <w:rsid w:val="00681052"/>
    <w:rsid w:val="00681EB2"/>
    <w:rsid w:val="0068229A"/>
    <w:rsid w:val="0068284D"/>
    <w:rsid w:val="006829D6"/>
    <w:rsid w:val="00682FD4"/>
    <w:rsid w:val="00683301"/>
    <w:rsid w:val="00684346"/>
    <w:rsid w:val="0068481E"/>
    <w:rsid w:val="00684A6D"/>
    <w:rsid w:val="006852C0"/>
    <w:rsid w:val="006870DC"/>
    <w:rsid w:val="006878DA"/>
    <w:rsid w:val="0069025C"/>
    <w:rsid w:val="006905AC"/>
    <w:rsid w:val="00691B3F"/>
    <w:rsid w:val="006920D1"/>
    <w:rsid w:val="0069423D"/>
    <w:rsid w:val="00694ED0"/>
    <w:rsid w:val="00695058"/>
    <w:rsid w:val="00696BE3"/>
    <w:rsid w:val="00697149"/>
    <w:rsid w:val="006A04FA"/>
    <w:rsid w:val="006A06C6"/>
    <w:rsid w:val="006A135D"/>
    <w:rsid w:val="006A3A7E"/>
    <w:rsid w:val="006A3F58"/>
    <w:rsid w:val="006A5595"/>
    <w:rsid w:val="006A7799"/>
    <w:rsid w:val="006B2436"/>
    <w:rsid w:val="006B30A6"/>
    <w:rsid w:val="006B3A59"/>
    <w:rsid w:val="006B4717"/>
    <w:rsid w:val="006B535C"/>
    <w:rsid w:val="006C00ED"/>
    <w:rsid w:val="006C06C8"/>
    <w:rsid w:val="006C1CA5"/>
    <w:rsid w:val="006C1D96"/>
    <w:rsid w:val="006C58AD"/>
    <w:rsid w:val="006C5BBC"/>
    <w:rsid w:val="006C5C00"/>
    <w:rsid w:val="006C5ED9"/>
    <w:rsid w:val="006C68DE"/>
    <w:rsid w:val="006C712A"/>
    <w:rsid w:val="006D0302"/>
    <w:rsid w:val="006D075E"/>
    <w:rsid w:val="006D3C51"/>
    <w:rsid w:val="006D4814"/>
    <w:rsid w:val="006D54DA"/>
    <w:rsid w:val="006E0079"/>
    <w:rsid w:val="006E175E"/>
    <w:rsid w:val="006E192E"/>
    <w:rsid w:val="006E2222"/>
    <w:rsid w:val="006E3309"/>
    <w:rsid w:val="006E3969"/>
    <w:rsid w:val="006E3AFA"/>
    <w:rsid w:val="006E3DF2"/>
    <w:rsid w:val="006E5114"/>
    <w:rsid w:val="006E515C"/>
    <w:rsid w:val="006E5495"/>
    <w:rsid w:val="006E5B7D"/>
    <w:rsid w:val="006E5E06"/>
    <w:rsid w:val="006E6D3D"/>
    <w:rsid w:val="006E6F05"/>
    <w:rsid w:val="006E7A6D"/>
    <w:rsid w:val="006E7D14"/>
    <w:rsid w:val="006E7E2E"/>
    <w:rsid w:val="006F0B78"/>
    <w:rsid w:val="006F24E7"/>
    <w:rsid w:val="006F391A"/>
    <w:rsid w:val="006F407F"/>
    <w:rsid w:val="00700F48"/>
    <w:rsid w:val="00700F54"/>
    <w:rsid w:val="0070244F"/>
    <w:rsid w:val="00702EB8"/>
    <w:rsid w:val="00703B1D"/>
    <w:rsid w:val="00703FB8"/>
    <w:rsid w:val="007049A3"/>
    <w:rsid w:val="00706359"/>
    <w:rsid w:val="00710096"/>
    <w:rsid w:val="0071009A"/>
    <w:rsid w:val="00712955"/>
    <w:rsid w:val="00712994"/>
    <w:rsid w:val="00712BC8"/>
    <w:rsid w:val="007130B5"/>
    <w:rsid w:val="00714281"/>
    <w:rsid w:val="00714F60"/>
    <w:rsid w:val="0071641E"/>
    <w:rsid w:val="007165F3"/>
    <w:rsid w:val="00717AD3"/>
    <w:rsid w:val="00717CCC"/>
    <w:rsid w:val="00720A60"/>
    <w:rsid w:val="0072104E"/>
    <w:rsid w:val="0072121A"/>
    <w:rsid w:val="00721F1F"/>
    <w:rsid w:val="007223A0"/>
    <w:rsid w:val="00722719"/>
    <w:rsid w:val="00722924"/>
    <w:rsid w:val="00722FB5"/>
    <w:rsid w:val="00723AE9"/>
    <w:rsid w:val="00724803"/>
    <w:rsid w:val="00725AFF"/>
    <w:rsid w:val="00726AD4"/>
    <w:rsid w:val="0072733D"/>
    <w:rsid w:val="00727C3C"/>
    <w:rsid w:val="00730DC7"/>
    <w:rsid w:val="00730F58"/>
    <w:rsid w:val="00731046"/>
    <w:rsid w:val="00731659"/>
    <w:rsid w:val="00731998"/>
    <w:rsid w:val="00731C13"/>
    <w:rsid w:val="00732F4F"/>
    <w:rsid w:val="007331DA"/>
    <w:rsid w:val="0073427D"/>
    <w:rsid w:val="007363BC"/>
    <w:rsid w:val="007366C0"/>
    <w:rsid w:val="00737E91"/>
    <w:rsid w:val="0074325F"/>
    <w:rsid w:val="007434D3"/>
    <w:rsid w:val="007435A6"/>
    <w:rsid w:val="00743D60"/>
    <w:rsid w:val="00743E6C"/>
    <w:rsid w:val="00745B50"/>
    <w:rsid w:val="00745BCD"/>
    <w:rsid w:val="007473E4"/>
    <w:rsid w:val="00747B78"/>
    <w:rsid w:val="00751691"/>
    <w:rsid w:val="00751ED3"/>
    <w:rsid w:val="007523BC"/>
    <w:rsid w:val="0075364E"/>
    <w:rsid w:val="00754914"/>
    <w:rsid w:val="0075556D"/>
    <w:rsid w:val="0075604E"/>
    <w:rsid w:val="00757451"/>
    <w:rsid w:val="007575DD"/>
    <w:rsid w:val="00760324"/>
    <w:rsid w:val="0076038B"/>
    <w:rsid w:val="0076333D"/>
    <w:rsid w:val="00764301"/>
    <w:rsid w:val="00764B13"/>
    <w:rsid w:val="00764E5A"/>
    <w:rsid w:val="00766AE7"/>
    <w:rsid w:val="007675E4"/>
    <w:rsid w:val="00767D7C"/>
    <w:rsid w:val="00767DD6"/>
    <w:rsid w:val="00770E8B"/>
    <w:rsid w:val="00771D33"/>
    <w:rsid w:val="00773052"/>
    <w:rsid w:val="00773F4A"/>
    <w:rsid w:val="0077522D"/>
    <w:rsid w:val="00776B36"/>
    <w:rsid w:val="007773D5"/>
    <w:rsid w:val="007811CE"/>
    <w:rsid w:val="00782253"/>
    <w:rsid w:val="00782C11"/>
    <w:rsid w:val="00784DC8"/>
    <w:rsid w:val="007851C8"/>
    <w:rsid w:val="007854A7"/>
    <w:rsid w:val="00786392"/>
    <w:rsid w:val="007863B5"/>
    <w:rsid w:val="0078684E"/>
    <w:rsid w:val="00787678"/>
    <w:rsid w:val="007910AB"/>
    <w:rsid w:val="0079152D"/>
    <w:rsid w:val="00791CCA"/>
    <w:rsid w:val="00791E18"/>
    <w:rsid w:val="00793E8D"/>
    <w:rsid w:val="0079416A"/>
    <w:rsid w:val="00794448"/>
    <w:rsid w:val="0079447F"/>
    <w:rsid w:val="00794C79"/>
    <w:rsid w:val="0079595B"/>
    <w:rsid w:val="007967ED"/>
    <w:rsid w:val="00796D4E"/>
    <w:rsid w:val="00796E96"/>
    <w:rsid w:val="007A0A3D"/>
    <w:rsid w:val="007A1213"/>
    <w:rsid w:val="007A1EB1"/>
    <w:rsid w:val="007A27B4"/>
    <w:rsid w:val="007A35DC"/>
    <w:rsid w:val="007A373F"/>
    <w:rsid w:val="007A47FC"/>
    <w:rsid w:val="007A62ED"/>
    <w:rsid w:val="007A68F8"/>
    <w:rsid w:val="007A72F7"/>
    <w:rsid w:val="007A77DF"/>
    <w:rsid w:val="007B1834"/>
    <w:rsid w:val="007B1CA7"/>
    <w:rsid w:val="007B2370"/>
    <w:rsid w:val="007B28A2"/>
    <w:rsid w:val="007B2C43"/>
    <w:rsid w:val="007B3113"/>
    <w:rsid w:val="007B48CB"/>
    <w:rsid w:val="007B5D9A"/>
    <w:rsid w:val="007B5F2E"/>
    <w:rsid w:val="007B62B2"/>
    <w:rsid w:val="007C0603"/>
    <w:rsid w:val="007C0C7E"/>
    <w:rsid w:val="007C12D1"/>
    <w:rsid w:val="007C195F"/>
    <w:rsid w:val="007C1CB5"/>
    <w:rsid w:val="007C23A1"/>
    <w:rsid w:val="007C23F8"/>
    <w:rsid w:val="007C370A"/>
    <w:rsid w:val="007C3908"/>
    <w:rsid w:val="007C3C77"/>
    <w:rsid w:val="007C3E36"/>
    <w:rsid w:val="007C6C95"/>
    <w:rsid w:val="007D0560"/>
    <w:rsid w:val="007D0AD4"/>
    <w:rsid w:val="007D14C9"/>
    <w:rsid w:val="007D1678"/>
    <w:rsid w:val="007D38E7"/>
    <w:rsid w:val="007D3C0C"/>
    <w:rsid w:val="007D3DB3"/>
    <w:rsid w:val="007D422E"/>
    <w:rsid w:val="007D4525"/>
    <w:rsid w:val="007D461B"/>
    <w:rsid w:val="007D47EE"/>
    <w:rsid w:val="007D55F4"/>
    <w:rsid w:val="007D5B76"/>
    <w:rsid w:val="007D69FE"/>
    <w:rsid w:val="007D721B"/>
    <w:rsid w:val="007D7D06"/>
    <w:rsid w:val="007E0D03"/>
    <w:rsid w:val="007E2239"/>
    <w:rsid w:val="007E42EC"/>
    <w:rsid w:val="007E48DD"/>
    <w:rsid w:val="007E5C97"/>
    <w:rsid w:val="007E5F0B"/>
    <w:rsid w:val="007E6B5F"/>
    <w:rsid w:val="007E7769"/>
    <w:rsid w:val="007F0499"/>
    <w:rsid w:val="007F0724"/>
    <w:rsid w:val="007F0DE1"/>
    <w:rsid w:val="007F14CD"/>
    <w:rsid w:val="007F359F"/>
    <w:rsid w:val="007F6421"/>
    <w:rsid w:val="007F6F4C"/>
    <w:rsid w:val="007F72E4"/>
    <w:rsid w:val="00800867"/>
    <w:rsid w:val="00800EFD"/>
    <w:rsid w:val="00801350"/>
    <w:rsid w:val="0080168D"/>
    <w:rsid w:val="008019C7"/>
    <w:rsid w:val="00801FF0"/>
    <w:rsid w:val="00802581"/>
    <w:rsid w:val="00802619"/>
    <w:rsid w:val="00802BEF"/>
    <w:rsid w:val="008055C7"/>
    <w:rsid w:val="008059AF"/>
    <w:rsid w:val="0080655B"/>
    <w:rsid w:val="00810180"/>
    <w:rsid w:val="00810DA9"/>
    <w:rsid w:val="008141F2"/>
    <w:rsid w:val="00814286"/>
    <w:rsid w:val="008153F5"/>
    <w:rsid w:val="00815596"/>
    <w:rsid w:val="00816939"/>
    <w:rsid w:val="008172C6"/>
    <w:rsid w:val="00820696"/>
    <w:rsid w:val="00820856"/>
    <w:rsid w:val="008208F6"/>
    <w:rsid w:val="00820A4A"/>
    <w:rsid w:val="008221BA"/>
    <w:rsid w:val="00822344"/>
    <w:rsid w:val="008228A4"/>
    <w:rsid w:val="00822F00"/>
    <w:rsid w:val="008233E0"/>
    <w:rsid w:val="00823F58"/>
    <w:rsid w:val="008260B0"/>
    <w:rsid w:val="00826C83"/>
    <w:rsid w:val="00827255"/>
    <w:rsid w:val="00827270"/>
    <w:rsid w:val="00830540"/>
    <w:rsid w:val="0083283A"/>
    <w:rsid w:val="0083311F"/>
    <w:rsid w:val="00833C4B"/>
    <w:rsid w:val="0083500B"/>
    <w:rsid w:val="00835363"/>
    <w:rsid w:val="00835C35"/>
    <w:rsid w:val="00836282"/>
    <w:rsid w:val="0083762E"/>
    <w:rsid w:val="00837E5D"/>
    <w:rsid w:val="008404B2"/>
    <w:rsid w:val="008405AD"/>
    <w:rsid w:val="00844232"/>
    <w:rsid w:val="008447DA"/>
    <w:rsid w:val="00844936"/>
    <w:rsid w:val="008451D2"/>
    <w:rsid w:val="0084552F"/>
    <w:rsid w:val="008458B4"/>
    <w:rsid w:val="008462A1"/>
    <w:rsid w:val="00847784"/>
    <w:rsid w:val="00852B24"/>
    <w:rsid w:val="0085313C"/>
    <w:rsid w:val="00853C7A"/>
    <w:rsid w:val="00854C50"/>
    <w:rsid w:val="008552D2"/>
    <w:rsid w:val="008561D5"/>
    <w:rsid w:val="008562DD"/>
    <w:rsid w:val="00856C4E"/>
    <w:rsid w:val="00856F4B"/>
    <w:rsid w:val="00857016"/>
    <w:rsid w:val="00857DA4"/>
    <w:rsid w:val="00857FB6"/>
    <w:rsid w:val="0086020A"/>
    <w:rsid w:val="008607ED"/>
    <w:rsid w:val="008608DB"/>
    <w:rsid w:val="00861044"/>
    <w:rsid w:val="0086105A"/>
    <w:rsid w:val="008610A0"/>
    <w:rsid w:val="00861367"/>
    <w:rsid w:val="00861B9F"/>
    <w:rsid w:val="00861F2E"/>
    <w:rsid w:val="008624C3"/>
    <w:rsid w:val="0086456C"/>
    <w:rsid w:val="0086481F"/>
    <w:rsid w:val="008649B7"/>
    <w:rsid w:val="008652EB"/>
    <w:rsid w:val="0086611A"/>
    <w:rsid w:val="00866797"/>
    <w:rsid w:val="00866ACC"/>
    <w:rsid w:val="00866EF0"/>
    <w:rsid w:val="00866F78"/>
    <w:rsid w:val="00867677"/>
    <w:rsid w:val="008705A9"/>
    <w:rsid w:val="008723AA"/>
    <w:rsid w:val="008727E3"/>
    <w:rsid w:val="00872AC5"/>
    <w:rsid w:val="00872AEB"/>
    <w:rsid w:val="00873BF3"/>
    <w:rsid w:val="00873CB9"/>
    <w:rsid w:val="00873E39"/>
    <w:rsid w:val="00874392"/>
    <w:rsid w:val="008744D8"/>
    <w:rsid w:val="00875FE8"/>
    <w:rsid w:val="00876FDE"/>
    <w:rsid w:val="00877F24"/>
    <w:rsid w:val="0088116B"/>
    <w:rsid w:val="00881A34"/>
    <w:rsid w:val="00883617"/>
    <w:rsid w:val="00883855"/>
    <w:rsid w:val="00883CB0"/>
    <w:rsid w:val="008846CA"/>
    <w:rsid w:val="008846DA"/>
    <w:rsid w:val="00886B32"/>
    <w:rsid w:val="00887EB0"/>
    <w:rsid w:val="0089087B"/>
    <w:rsid w:val="00891275"/>
    <w:rsid w:val="0089163D"/>
    <w:rsid w:val="0089184B"/>
    <w:rsid w:val="0089235F"/>
    <w:rsid w:val="00892794"/>
    <w:rsid w:val="00893F41"/>
    <w:rsid w:val="0089416A"/>
    <w:rsid w:val="008946AD"/>
    <w:rsid w:val="00895FDD"/>
    <w:rsid w:val="00896F61"/>
    <w:rsid w:val="008970DC"/>
    <w:rsid w:val="008A2639"/>
    <w:rsid w:val="008A2655"/>
    <w:rsid w:val="008A2EA5"/>
    <w:rsid w:val="008A32CA"/>
    <w:rsid w:val="008A385C"/>
    <w:rsid w:val="008A3E9E"/>
    <w:rsid w:val="008A4251"/>
    <w:rsid w:val="008A43E0"/>
    <w:rsid w:val="008A60DA"/>
    <w:rsid w:val="008A6C72"/>
    <w:rsid w:val="008A6D38"/>
    <w:rsid w:val="008A6EFF"/>
    <w:rsid w:val="008B1A11"/>
    <w:rsid w:val="008B2540"/>
    <w:rsid w:val="008B32C2"/>
    <w:rsid w:val="008B3E00"/>
    <w:rsid w:val="008B3FAF"/>
    <w:rsid w:val="008B46A0"/>
    <w:rsid w:val="008B4BAC"/>
    <w:rsid w:val="008B6A31"/>
    <w:rsid w:val="008B6B27"/>
    <w:rsid w:val="008B6BEC"/>
    <w:rsid w:val="008B7AAA"/>
    <w:rsid w:val="008B7F3F"/>
    <w:rsid w:val="008C067D"/>
    <w:rsid w:val="008C0715"/>
    <w:rsid w:val="008C075D"/>
    <w:rsid w:val="008C221F"/>
    <w:rsid w:val="008C32CE"/>
    <w:rsid w:val="008C352C"/>
    <w:rsid w:val="008C3D68"/>
    <w:rsid w:val="008C5B4C"/>
    <w:rsid w:val="008C622D"/>
    <w:rsid w:val="008C6866"/>
    <w:rsid w:val="008C6B2A"/>
    <w:rsid w:val="008D022D"/>
    <w:rsid w:val="008D079C"/>
    <w:rsid w:val="008D11A7"/>
    <w:rsid w:val="008D2E1C"/>
    <w:rsid w:val="008D339C"/>
    <w:rsid w:val="008D4C5B"/>
    <w:rsid w:val="008D4E5E"/>
    <w:rsid w:val="008D531A"/>
    <w:rsid w:val="008D5897"/>
    <w:rsid w:val="008D58EC"/>
    <w:rsid w:val="008D5DC2"/>
    <w:rsid w:val="008D5EC7"/>
    <w:rsid w:val="008D60F7"/>
    <w:rsid w:val="008D66A0"/>
    <w:rsid w:val="008D6C0F"/>
    <w:rsid w:val="008E1B30"/>
    <w:rsid w:val="008E1BA5"/>
    <w:rsid w:val="008E40A5"/>
    <w:rsid w:val="008E443D"/>
    <w:rsid w:val="008E469A"/>
    <w:rsid w:val="008E6250"/>
    <w:rsid w:val="008E77AF"/>
    <w:rsid w:val="008E7A5B"/>
    <w:rsid w:val="008F091A"/>
    <w:rsid w:val="008F192C"/>
    <w:rsid w:val="008F2A1B"/>
    <w:rsid w:val="008F345D"/>
    <w:rsid w:val="008F3E1A"/>
    <w:rsid w:val="008F45EC"/>
    <w:rsid w:val="008F5C63"/>
    <w:rsid w:val="008F61E0"/>
    <w:rsid w:val="008F7126"/>
    <w:rsid w:val="00900B1E"/>
    <w:rsid w:val="00901E73"/>
    <w:rsid w:val="00902FEA"/>
    <w:rsid w:val="009030B3"/>
    <w:rsid w:val="009033E7"/>
    <w:rsid w:val="00903E8F"/>
    <w:rsid w:val="00904028"/>
    <w:rsid w:val="00904C91"/>
    <w:rsid w:val="00905BDA"/>
    <w:rsid w:val="009060A5"/>
    <w:rsid w:val="009066AD"/>
    <w:rsid w:val="009105B6"/>
    <w:rsid w:val="00910683"/>
    <w:rsid w:val="009109B9"/>
    <w:rsid w:val="0091194E"/>
    <w:rsid w:val="00911E51"/>
    <w:rsid w:val="009128EE"/>
    <w:rsid w:val="009139F5"/>
    <w:rsid w:val="009174A4"/>
    <w:rsid w:val="0092020A"/>
    <w:rsid w:val="00920E04"/>
    <w:rsid w:val="009217DB"/>
    <w:rsid w:val="009227A4"/>
    <w:rsid w:val="009269B7"/>
    <w:rsid w:val="00926B86"/>
    <w:rsid w:val="0092795A"/>
    <w:rsid w:val="00930774"/>
    <w:rsid w:val="009307E3"/>
    <w:rsid w:val="009312C2"/>
    <w:rsid w:val="0093136C"/>
    <w:rsid w:val="00932470"/>
    <w:rsid w:val="009332E2"/>
    <w:rsid w:val="00933BD7"/>
    <w:rsid w:val="00933FE6"/>
    <w:rsid w:val="00934189"/>
    <w:rsid w:val="00934D34"/>
    <w:rsid w:val="0093550C"/>
    <w:rsid w:val="00935E08"/>
    <w:rsid w:val="009366B1"/>
    <w:rsid w:val="00936A8F"/>
    <w:rsid w:val="00940549"/>
    <w:rsid w:val="00941CFC"/>
    <w:rsid w:val="00941E7E"/>
    <w:rsid w:val="00942023"/>
    <w:rsid w:val="009423AD"/>
    <w:rsid w:val="00942FE5"/>
    <w:rsid w:val="00943376"/>
    <w:rsid w:val="009448F4"/>
    <w:rsid w:val="00944F31"/>
    <w:rsid w:val="00944FD7"/>
    <w:rsid w:val="0094556C"/>
    <w:rsid w:val="009467F5"/>
    <w:rsid w:val="00950820"/>
    <w:rsid w:val="00952795"/>
    <w:rsid w:val="00952B40"/>
    <w:rsid w:val="00952DF2"/>
    <w:rsid w:val="00952E32"/>
    <w:rsid w:val="00953207"/>
    <w:rsid w:val="00955D11"/>
    <w:rsid w:val="00956244"/>
    <w:rsid w:val="0095766A"/>
    <w:rsid w:val="009578F2"/>
    <w:rsid w:val="00963389"/>
    <w:rsid w:val="00963807"/>
    <w:rsid w:val="00963FD3"/>
    <w:rsid w:val="009643F0"/>
    <w:rsid w:val="0096564F"/>
    <w:rsid w:val="00965EA1"/>
    <w:rsid w:val="00965F9D"/>
    <w:rsid w:val="00966AA7"/>
    <w:rsid w:val="009679FC"/>
    <w:rsid w:val="00967C1F"/>
    <w:rsid w:val="00967E14"/>
    <w:rsid w:val="00971218"/>
    <w:rsid w:val="00972086"/>
    <w:rsid w:val="009721C5"/>
    <w:rsid w:val="009727B8"/>
    <w:rsid w:val="00972BE8"/>
    <w:rsid w:val="00972DB4"/>
    <w:rsid w:val="00973372"/>
    <w:rsid w:val="009743E1"/>
    <w:rsid w:val="0097452F"/>
    <w:rsid w:val="00975017"/>
    <w:rsid w:val="00975726"/>
    <w:rsid w:val="009759A2"/>
    <w:rsid w:val="0097640A"/>
    <w:rsid w:val="009837FE"/>
    <w:rsid w:val="00983CCC"/>
    <w:rsid w:val="00983EFA"/>
    <w:rsid w:val="00985B02"/>
    <w:rsid w:val="00985BBC"/>
    <w:rsid w:val="00985DCB"/>
    <w:rsid w:val="00985DED"/>
    <w:rsid w:val="00986127"/>
    <w:rsid w:val="0098633A"/>
    <w:rsid w:val="009872DE"/>
    <w:rsid w:val="0098747F"/>
    <w:rsid w:val="00990202"/>
    <w:rsid w:val="0099185A"/>
    <w:rsid w:val="00993648"/>
    <w:rsid w:val="0099393C"/>
    <w:rsid w:val="00994B5B"/>
    <w:rsid w:val="00994B9E"/>
    <w:rsid w:val="00995151"/>
    <w:rsid w:val="0099552D"/>
    <w:rsid w:val="0099585F"/>
    <w:rsid w:val="00996693"/>
    <w:rsid w:val="009976B4"/>
    <w:rsid w:val="00997D9B"/>
    <w:rsid w:val="00997F6F"/>
    <w:rsid w:val="009A03ED"/>
    <w:rsid w:val="009A0EE1"/>
    <w:rsid w:val="009A13C5"/>
    <w:rsid w:val="009A3B16"/>
    <w:rsid w:val="009A4FA2"/>
    <w:rsid w:val="009A62B6"/>
    <w:rsid w:val="009A63A0"/>
    <w:rsid w:val="009A64AC"/>
    <w:rsid w:val="009A6A26"/>
    <w:rsid w:val="009A6C54"/>
    <w:rsid w:val="009A6EF5"/>
    <w:rsid w:val="009A76C9"/>
    <w:rsid w:val="009B0D0C"/>
    <w:rsid w:val="009B0D7B"/>
    <w:rsid w:val="009B0EE4"/>
    <w:rsid w:val="009B10B9"/>
    <w:rsid w:val="009B17C7"/>
    <w:rsid w:val="009B306F"/>
    <w:rsid w:val="009B35FF"/>
    <w:rsid w:val="009B3994"/>
    <w:rsid w:val="009B4B23"/>
    <w:rsid w:val="009B5762"/>
    <w:rsid w:val="009B5770"/>
    <w:rsid w:val="009B5D79"/>
    <w:rsid w:val="009B61A7"/>
    <w:rsid w:val="009B735D"/>
    <w:rsid w:val="009C0172"/>
    <w:rsid w:val="009C18A6"/>
    <w:rsid w:val="009C1FA9"/>
    <w:rsid w:val="009C2406"/>
    <w:rsid w:val="009C34C4"/>
    <w:rsid w:val="009C34EF"/>
    <w:rsid w:val="009C3CC4"/>
    <w:rsid w:val="009C478C"/>
    <w:rsid w:val="009C4854"/>
    <w:rsid w:val="009C556C"/>
    <w:rsid w:val="009C5ED8"/>
    <w:rsid w:val="009C70D8"/>
    <w:rsid w:val="009D1964"/>
    <w:rsid w:val="009D1B4F"/>
    <w:rsid w:val="009D25C6"/>
    <w:rsid w:val="009D40E7"/>
    <w:rsid w:val="009D5294"/>
    <w:rsid w:val="009D52A6"/>
    <w:rsid w:val="009D5707"/>
    <w:rsid w:val="009D5D90"/>
    <w:rsid w:val="009D7471"/>
    <w:rsid w:val="009D7F66"/>
    <w:rsid w:val="009E0DDA"/>
    <w:rsid w:val="009E1156"/>
    <w:rsid w:val="009E13C6"/>
    <w:rsid w:val="009E248C"/>
    <w:rsid w:val="009E27F2"/>
    <w:rsid w:val="009E2C20"/>
    <w:rsid w:val="009E408A"/>
    <w:rsid w:val="009E567D"/>
    <w:rsid w:val="009E5744"/>
    <w:rsid w:val="009E5B7B"/>
    <w:rsid w:val="009E5F13"/>
    <w:rsid w:val="009E6BAD"/>
    <w:rsid w:val="009E6FCF"/>
    <w:rsid w:val="009F0072"/>
    <w:rsid w:val="009F011D"/>
    <w:rsid w:val="009F0D04"/>
    <w:rsid w:val="009F297F"/>
    <w:rsid w:val="009F41BC"/>
    <w:rsid w:val="009F4653"/>
    <w:rsid w:val="009F4C05"/>
    <w:rsid w:val="009F5AB4"/>
    <w:rsid w:val="009F6CA3"/>
    <w:rsid w:val="00A012A0"/>
    <w:rsid w:val="00A01D10"/>
    <w:rsid w:val="00A02592"/>
    <w:rsid w:val="00A0292B"/>
    <w:rsid w:val="00A030C6"/>
    <w:rsid w:val="00A03510"/>
    <w:rsid w:val="00A058EE"/>
    <w:rsid w:val="00A065BF"/>
    <w:rsid w:val="00A068B8"/>
    <w:rsid w:val="00A06BA2"/>
    <w:rsid w:val="00A06D2F"/>
    <w:rsid w:val="00A06DC4"/>
    <w:rsid w:val="00A10900"/>
    <w:rsid w:val="00A10D34"/>
    <w:rsid w:val="00A110A6"/>
    <w:rsid w:val="00A1126F"/>
    <w:rsid w:val="00A11CFE"/>
    <w:rsid w:val="00A13636"/>
    <w:rsid w:val="00A14C64"/>
    <w:rsid w:val="00A15120"/>
    <w:rsid w:val="00A154F0"/>
    <w:rsid w:val="00A15834"/>
    <w:rsid w:val="00A15A2D"/>
    <w:rsid w:val="00A168C0"/>
    <w:rsid w:val="00A16BC6"/>
    <w:rsid w:val="00A21735"/>
    <w:rsid w:val="00A22027"/>
    <w:rsid w:val="00A224CC"/>
    <w:rsid w:val="00A230D6"/>
    <w:rsid w:val="00A238B6"/>
    <w:rsid w:val="00A2404E"/>
    <w:rsid w:val="00A251B8"/>
    <w:rsid w:val="00A2785A"/>
    <w:rsid w:val="00A27ADA"/>
    <w:rsid w:val="00A302E6"/>
    <w:rsid w:val="00A30C68"/>
    <w:rsid w:val="00A31570"/>
    <w:rsid w:val="00A31D69"/>
    <w:rsid w:val="00A32904"/>
    <w:rsid w:val="00A337DE"/>
    <w:rsid w:val="00A33AC8"/>
    <w:rsid w:val="00A33C97"/>
    <w:rsid w:val="00A35110"/>
    <w:rsid w:val="00A35787"/>
    <w:rsid w:val="00A35A06"/>
    <w:rsid w:val="00A36C52"/>
    <w:rsid w:val="00A36EB1"/>
    <w:rsid w:val="00A40DBD"/>
    <w:rsid w:val="00A40E39"/>
    <w:rsid w:val="00A40E7C"/>
    <w:rsid w:val="00A42540"/>
    <w:rsid w:val="00A42E76"/>
    <w:rsid w:val="00A43260"/>
    <w:rsid w:val="00A43D33"/>
    <w:rsid w:val="00A43D5C"/>
    <w:rsid w:val="00A450A0"/>
    <w:rsid w:val="00A45641"/>
    <w:rsid w:val="00A45914"/>
    <w:rsid w:val="00A462A3"/>
    <w:rsid w:val="00A46C05"/>
    <w:rsid w:val="00A46F58"/>
    <w:rsid w:val="00A4717B"/>
    <w:rsid w:val="00A5043D"/>
    <w:rsid w:val="00A5151B"/>
    <w:rsid w:val="00A539D7"/>
    <w:rsid w:val="00A53AC5"/>
    <w:rsid w:val="00A5402D"/>
    <w:rsid w:val="00A541CE"/>
    <w:rsid w:val="00A544C8"/>
    <w:rsid w:val="00A54682"/>
    <w:rsid w:val="00A54EB2"/>
    <w:rsid w:val="00A54F09"/>
    <w:rsid w:val="00A553CA"/>
    <w:rsid w:val="00A56360"/>
    <w:rsid w:val="00A56C17"/>
    <w:rsid w:val="00A57059"/>
    <w:rsid w:val="00A57084"/>
    <w:rsid w:val="00A61342"/>
    <w:rsid w:val="00A624A4"/>
    <w:rsid w:val="00A63318"/>
    <w:rsid w:val="00A64E9E"/>
    <w:rsid w:val="00A65F7B"/>
    <w:rsid w:val="00A66F25"/>
    <w:rsid w:val="00A70500"/>
    <w:rsid w:val="00A734DC"/>
    <w:rsid w:val="00A7394B"/>
    <w:rsid w:val="00A74EF2"/>
    <w:rsid w:val="00A76806"/>
    <w:rsid w:val="00A83075"/>
    <w:rsid w:val="00A84064"/>
    <w:rsid w:val="00A8465B"/>
    <w:rsid w:val="00A8469E"/>
    <w:rsid w:val="00A85B89"/>
    <w:rsid w:val="00A86E0F"/>
    <w:rsid w:val="00A87872"/>
    <w:rsid w:val="00A878CB"/>
    <w:rsid w:val="00A902B9"/>
    <w:rsid w:val="00A90963"/>
    <w:rsid w:val="00A91281"/>
    <w:rsid w:val="00A91F1E"/>
    <w:rsid w:val="00A92549"/>
    <w:rsid w:val="00A93453"/>
    <w:rsid w:val="00A93862"/>
    <w:rsid w:val="00A93AC1"/>
    <w:rsid w:val="00A93FCA"/>
    <w:rsid w:val="00A94F1E"/>
    <w:rsid w:val="00A966A8"/>
    <w:rsid w:val="00A96A54"/>
    <w:rsid w:val="00A96B53"/>
    <w:rsid w:val="00A96CC6"/>
    <w:rsid w:val="00A96F38"/>
    <w:rsid w:val="00AA00C5"/>
    <w:rsid w:val="00AA0C73"/>
    <w:rsid w:val="00AA231C"/>
    <w:rsid w:val="00AA2382"/>
    <w:rsid w:val="00AA2883"/>
    <w:rsid w:val="00AA43FE"/>
    <w:rsid w:val="00AA473F"/>
    <w:rsid w:val="00AA4B2C"/>
    <w:rsid w:val="00AA6350"/>
    <w:rsid w:val="00AA685A"/>
    <w:rsid w:val="00AA6C26"/>
    <w:rsid w:val="00AA6ECB"/>
    <w:rsid w:val="00AA7E7D"/>
    <w:rsid w:val="00AB1F4E"/>
    <w:rsid w:val="00AB2848"/>
    <w:rsid w:val="00AB2AC7"/>
    <w:rsid w:val="00AB2BA7"/>
    <w:rsid w:val="00AB30C1"/>
    <w:rsid w:val="00AB3C3E"/>
    <w:rsid w:val="00AB3D75"/>
    <w:rsid w:val="00AB425B"/>
    <w:rsid w:val="00AB4A7D"/>
    <w:rsid w:val="00AB4D3F"/>
    <w:rsid w:val="00AB4FF5"/>
    <w:rsid w:val="00AB53FB"/>
    <w:rsid w:val="00AB5587"/>
    <w:rsid w:val="00AB5900"/>
    <w:rsid w:val="00AB60C2"/>
    <w:rsid w:val="00AB6135"/>
    <w:rsid w:val="00AB671D"/>
    <w:rsid w:val="00AB6DBE"/>
    <w:rsid w:val="00AC05DF"/>
    <w:rsid w:val="00AC0FBA"/>
    <w:rsid w:val="00AC15EF"/>
    <w:rsid w:val="00AC25E5"/>
    <w:rsid w:val="00AC2E25"/>
    <w:rsid w:val="00AC3214"/>
    <w:rsid w:val="00AC3E09"/>
    <w:rsid w:val="00AC4442"/>
    <w:rsid w:val="00AC54B9"/>
    <w:rsid w:val="00AC595F"/>
    <w:rsid w:val="00AC6916"/>
    <w:rsid w:val="00AC6A12"/>
    <w:rsid w:val="00AC7183"/>
    <w:rsid w:val="00AD0869"/>
    <w:rsid w:val="00AD2460"/>
    <w:rsid w:val="00AD3E4D"/>
    <w:rsid w:val="00AD444A"/>
    <w:rsid w:val="00AD44F7"/>
    <w:rsid w:val="00AD45F0"/>
    <w:rsid w:val="00AD5580"/>
    <w:rsid w:val="00AD5DA3"/>
    <w:rsid w:val="00AD6DA7"/>
    <w:rsid w:val="00AD76C2"/>
    <w:rsid w:val="00AD7DDE"/>
    <w:rsid w:val="00AD7E74"/>
    <w:rsid w:val="00AD7F52"/>
    <w:rsid w:val="00AE0493"/>
    <w:rsid w:val="00AE187B"/>
    <w:rsid w:val="00AE1CED"/>
    <w:rsid w:val="00AE1E80"/>
    <w:rsid w:val="00AE1F3A"/>
    <w:rsid w:val="00AE21A2"/>
    <w:rsid w:val="00AE2526"/>
    <w:rsid w:val="00AE2972"/>
    <w:rsid w:val="00AE2B6A"/>
    <w:rsid w:val="00AE38AB"/>
    <w:rsid w:val="00AE40F8"/>
    <w:rsid w:val="00AE46DE"/>
    <w:rsid w:val="00AE481C"/>
    <w:rsid w:val="00AE5524"/>
    <w:rsid w:val="00AE6490"/>
    <w:rsid w:val="00AE6961"/>
    <w:rsid w:val="00AE7C11"/>
    <w:rsid w:val="00AE7EB7"/>
    <w:rsid w:val="00AF1C98"/>
    <w:rsid w:val="00AF25EB"/>
    <w:rsid w:val="00AF47B1"/>
    <w:rsid w:val="00AF4EC0"/>
    <w:rsid w:val="00AF544C"/>
    <w:rsid w:val="00AF5894"/>
    <w:rsid w:val="00AF60B1"/>
    <w:rsid w:val="00AF69B2"/>
    <w:rsid w:val="00AF6E1B"/>
    <w:rsid w:val="00AF71CE"/>
    <w:rsid w:val="00B00D8D"/>
    <w:rsid w:val="00B00EDB"/>
    <w:rsid w:val="00B018F3"/>
    <w:rsid w:val="00B0274A"/>
    <w:rsid w:val="00B0334F"/>
    <w:rsid w:val="00B0382C"/>
    <w:rsid w:val="00B03DC6"/>
    <w:rsid w:val="00B050EC"/>
    <w:rsid w:val="00B05CC9"/>
    <w:rsid w:val="00B06C17"/>
    <w:rsid w:val="00B06C22"/>
    <w:rsid w:val="00B06CC4"/>
    <w:rsid w:val="00B06E32"/>
    <w:rsid w:val="00B07575"/>
    <w:rsid w:val="00B10C7C"/>
    <w:rsid w:val="00B11B44"/>
    <w:rsid w:val="00B138B2"/>
    <w:rsid w:val="00B139CA"/>
    <w:rsid w:val="00B15E92"/>
    <w:rsid w:val="00B16A2A"/>
    <w:rsid w:val="00B17212"/>
    <w:rsid w:val="00B17215"/>
    <w:rsid w:val="00B17374"/>
    <w:rsid w:val="00B17547"/>
    <w:rsid w:val="00B175D3"/>
    <w:rsid w:val="00B20E2E"/>
    <w:rsid w:val="00B22966"/>
    <w:rsid w:val="00B22CB6"/>
    <w:rsid w:val="00B2332D"/>
    <w:rsid w:val="00B25057"/>
    <w:rsid w:val="00B2520D"/>
    <w:rsid w:val="00B25259"/>
    <w:rsid w:val="00B25FF6"/>
    <w:rsid w:val="00B27068"/>
    <w:rsid w:val="00B2774E"/>
    <w:rsid w:val="00B302F9"/>
    <w:rsid w:val="00B30BDF"/>
    <w:rsid w:val="00B31902"/>
    <w:rsid w:val="00B31A95"/>
    <w:rsid w:val="00B32506"/>
    <w:rsid w:val="00B33806"/>
    <w:rsid w:val="00B3448C"/>
    <w:rsid w:val="00B365F3"/>
    <w:rsid w:val="00B3676E"/>
    <w:rsid w:val="00B36BC0"/>
    <w:rsid w:val="00B370E0"/>
    <w:rsid w:val="00B40546"/>
    <w:rsid w:val="00B40AF8"/>
    <w:rsid w:val="00B40DA9"/>
    <w:rsid w:val="00B411EC"/>
    <w:rsid w:val="00B413AE"/>
    <w:rsid w:val="00B41C5A"/>
    <w:rsid w:val="00B428A6"/>
    <w:rsid w:val="00B42AB1"/>
    <w:rsid w:val="00B42CF6"/>
    <w:rsid w:val="00B42D80"/>
    <w:rsid w:val="00B43CDD"/>
    <w:rsid w:val="00B43D38"/>
    <w:rsid w:val="00B43F45"/>
    <w:rsid w:val="00B44059"/>
    <w:rsid w:val="00B447FD"/>
    <w:rsid w:val="00B44D14"/>
    <w:rsid w:val="00B44DEC"/>
    <w:rsid w:val="00B45F13"/>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0CB8"/>
    <w:rsid w:val="00B624D8"/>
    <w:rsid w:val="00B625F0"/>
    <w:rsid w:val="00B6349F"/>
    <w:rsid w:val="00B63F4D"/>
    <w:rsid w:val="00B63F74"/>
    <w:rsid w:val="00B648A3"/>
    <w:rsid w:val="00B64F64"/>
    <w:rsid w:val="00B66A8B"/>
    <w:rsid w:val="00B67771"/>
    <w:rsid w:val="00B67E56"/>
    <w:rsid w:val="00B71340"/>
    <w:rsid w:val="00B734B4"/>
    <w:rsid w:val="00B73FDF"/>
    <w:rsid w:val="00B74020"/>
    <w:rsid w:val="00B750F5"/>
    <w:rsid w:val="00B75861"/>
    <w:rsid w:val="00B75B49"/>
    <w:rsid w:val="00B77B46"/>
    <w:rsid w:val="00B77D28"/>
    <w:rsid w:val="00B77EEE"/>
    <w:rsid w:val="00B8044B"/>
    <w:rsid w:val="00B80622"/>
    <w:rsid w:val="00B825DE"/>
    <w:rsid w:val="00B82E59"/>
    <w:rsid w:val="00B83AA0"/>
    <w:rsid w:val="00B83D02"/>
    <w:rsid w:val="00B84F3B"/>
    <w:rsid w:val="00B85EB0"/>
    <w:rsid w:val="00B86860"/>
    <w:rsid w:val="00B923B5"/>
    <w:rsid w:val="00B94144"/>
    <w:rsid w:val="00B9482C"/>
    <w:rsid w:val="00B9571C"/>
    <w:rsid w:val="00B96180"/>
    <w:rsid w:val="00B96EA1"/>
    <w:rsid w:val="00B97D80"/>
    <w:rsid w:val="00BA11DA"/>
    <w:rsid w:val="00BA219C"/>
    <w:rsid w:val="00BA23B0"/>
    <w:rsid w:val="00BA2B73"/>
    <w:rsid w:val="00BA2E5A"/>
    <w:rsid w:val="00BA3BB8"/>
    <w:rsid w:val="00BA3FF1"/>
    <w:rsid w:val="00BA47B5"/>
    <w:rsid w:val="00BA6239"/>
    <w:rsid w:val="00BA6970"/>
    <w:rsid w:val="00BA6CA5"/>
    <w:rsid w:val="00BA6CD3"/>
    <w:rsid w:val="00BA7766"/>
    <w:rsid w:val="00BA77E3"/>
    <w:rsid w:val="00BA7921"/>
    <w:rsid w:val="00BB004B"/>
    <w:rsid w:val="00BB029E"/>
    <w:rsid w:val="00BB1353"/>
    <w:rsid w:val="00BB3084"/>
    <w:rsid w:val="00BB3434"/>
    <w:rsid w:val="00BB3890"/>
    <w:rsid w:val="00BB394C"/>
    <w:rsid w:val="00BB3EA7"/>
    <w:rsid w:val="00BB4399"/>
    <w:rsid w:val="00BB47D9"/>
    <w:rsid w:val="00BB4DA5"/>
    <w:rsid w:val="00BB517C"/>
    <w:rsid w:val="00BB6DAC"/>
    <w:rsid w:val="00BB71AC"/>
    <w:rsid w:val="00BB73D0"/>
    <w:rsid w:val="00BC0223"/>
    <w:rsid w:val="00BC16F2"/>
    <w:rsid w:val="00BC1C19"/>
    <w:rsid w:val="00BC2C29"/>
    <w:rsid w:val="00BC3A60"/>
    <w:rsid w:val="00BC3C47"/>
    <w:rsid w:val="00BC3CC9"/>
    <w:rsid w:val="00BC511C"/>
    <w:rsid w:val="00BC54A0"/>
    <w:rsid w:val="00BC5C5C"/>
    <w:rsid w:val="00BC62B4"/>
    <w:rsid w:val="00BC6700"/>
    <w:rsid w:val="00BC6DF3"/>
    <w:rsid w:val="00BC7263"/>
    <w:rsid w:val="00BC755D"/>
    <w:rsid w:val="00BC7CAC"/>
    <w:rsid w:val="00BD02EE"/>
    <w:rsid w:val="00BD0BB4"/>
    <w:rsid w:val="00BD0E53"/>
    <w:rsid w:val="00BD0F8A"/>
    <w:rsid w:val="00BD1002"/>
    <w:rsid w:val="00BD139F"/>
    <w:rsid w:val="00BD1818"/>
    <w:rsid w:val="00BD21DF"/>
    <w:rsid w:val="00BD2A50"/>
    <w:rsid w:val="00BD375E"/>
    <w:rsid w:val="00BD3C80"/>
    <w:rsid w:val="00BD40F4"/>
    <w:rsid w:val="00BD52C2"/>
    <w:rsid w:val="00BD59FF"/>
    <w:rsid w:val="00BD5AC6"/>
    <w:rsid w:val="00BD7816"/>
    <w:rsid w:val="00BE0D89"/>
    <w:rsid w:val="00BE16A1"/>
    <w:rsid w:val="00BE23F2"/>
    <w:rsid w:val="00BE2E97"/>
    <w:rsid w:val="00BE377D"/>
    <w:rsid w:val="00BE41E6"/>
    <w:rsid w:val="00BE443B"/>
    <w:rsid w:val="00BE57FF"/>
    <w:rsid w:val="00BE63A7"/>
    <w:rsid w:val="00BE64D5"/>
    <w:rsid w:val="00BE6961"/>
    <w:rsid w:val="00BE7E71"/>
    <w:rsid w:val="00BE7FD2"/>
    <w:rsid w:val="00BF01A3"/>
    <w:rsid w:val="00BF100E"/>
    <w:rsid w:val="00BF140D"/>
    <w:rsid w:val="00BF152C"/>
    <w:rsid w:val="00BF2097"/>
    <w:rsid w:val="00BF27FB"/>
    <w:rsid w:val="00BF2E98"/>
    <w:rsid w:val="00BF33C4"/>
    <w:rsid w:val="00BF4904"/>
    <w:rsid w:val="00BF5DA2"/>
    <w:rsid w:val="00BF74D8"/>
    <w:rsid w:val="00BF79D3"/>
    <w:rsid w:val="00BF7F9C"/>
    <w:rsid w:val="00C00396"/>
    <w:rsid w:val="00C01122"/>
    <w:rsid w:val="00C01327"/>
    <w:rsid w:val="00C01380"/>
    <w:rsid w:val="00C0187D"/>
    <w:rsid w:val="00C02AAC"/>
    <w:rsid w:val="00C031DF"/>
    <w:rsid w:val="00C03294"/>
    <w:rsid w:val="00C04A0F"/>
    <w:rsid w:val="00C04D52"/>
    <w:rsid w:val="00C056B0"/>
    <w:rsid w:val="00C05C78"/>
    <w:rsid w:val="00C065EA"/>
    <w:rsid w:val="00C07234"/>
    <w:rsid w:val="00C11D93"/>
    <w:rsid w:val="00C147C8"/>
    <w:rsid w:val="00C15973"/>
    <w:rsid w:val="00C15ED8"/>
    <w:rsid w:val="00C16755"/>
    <w:rsid w:val="00C16784"/>
    <w:rsid w:val="00C21EA5"/>
    <w:rsid w:val="00C22187"/>
    <w:rsid w:val="00C239BE"/>
    <w:rsid w:val="00C23CDB"/>
    <w:rsid w:val="00C25875"/>
    <w:rsid w:val="00C25B8B"/>
    <w:rsid w:val="00C262A2"/>
    <w:rsid w:val="00C2647F"/>
    <w:rsid w:val="00C26614"/>
    <w:rsid w:val="00C26B54"/>
    <w:rsid w:val="00C270A6"/>
    <w:rsid w:val="00C2781D"/>
    <w:rsid w:val="00C30A2F"/>
    <w:rsid w:val="00C321E5"/>
    <w:rsid w:val="00C325BB"/>
    <w:rsid w:val="00C32B82"/>
    <w:rsid w:val="00C33564"/>
    <w:rsid w:val="00C367B8"/>
    <w:rsid w:val="00C36A53"/>
    <w:rsid w:val="00C376E3"/>
    <w:rsid w:val="00C406D2"/>
    <w:rsid w:val="00C4185B"/>
    <w:rsid w:val="00C41E2A"/>
    <w:rsid w:val="00C422A5"/>
    <w:rsid w:val="00C43A32"/>
    <w:rsid w:val="00C4411B"/>
    <w:rsid w:val="00C44837"/>
    <w:rsid w:val="00C45380"/>
    <w:rsid w:val="00C45556"/>
    <w:rsid w:val="00C45887"/>
    <w:rsid w:val="00C45FD2"/>
    <w:rsid w:val="00C45FDF"/>
    <w:rsid w:val="00C461FE"/>
    <w:rsid w:val="00C46C85"/>
    <w:rsid w:val="00C46DE2"/>
    <w:rsid w:val="00C471A1"/>
    <w:rsid w:val="00C47EC7"/>
    <w:rsid w:val="00C502E8"/>
    <w:rsid w:val="00C51008"/>
    <w:rsid w:val="00C510F3"/>
    <w:rsid w:val="00C51EDA"/>
    <w:rsid w:val="00C52440"/>
    <w:rsid w:val="00C53E0C"/>
    <w:rsid w:val="00C55990"/>
    <w:rsid w:val="00C61DB9"/>
    <w:rsid w:val="00C629F7"/>
    <w:rsid w:val="00C62BD6"/>
    <w:rsid w:val="00C634DC"/>
    <w:rsid w:val="00C645A5"/>
    <w:rsid w:val="00C65127"/>
    <w:rsid w:val="00C65431"/>
    <w:rsid w:val="00C6554F"/>
    <w:rsid w:val="00C672BE"/>
    <w:rsid w:val="00C67460"/>
    <w:rsid w:val="00C67BB0"/>
    <w:rsid w:val="00C7025C"/>
    <w:rsid w:val="00C70B6D"/>
    <w:rsid w:val="00C715E2"/>
    <w:rsid w:val="00C7266E"/>
    <w:rsid w:val="00C7381F"/>
    <w:rsid w:val="00C73E39"/>
    <w:rsid w:val="00C742D4"/>
    <w:rsid w:val="00C74923"/>
    <w:rsid w:val="00C74C69"/>
    <w:rsid w:val="00C75004"/>
    <w:rsid w:val="00C75552"/>
    <w:rsid w:val="00C76260"/>
    <w:rsid w:val="00C76267"/>
    <w:rsid w:val="00C76404"/>
    <w:rsid w:val="00C776E1"/>
    <w:rsid w:val="00C778FF"/>
    <w:rsid w:val="00C8015E"/>
    <w:rsid w:val="00C8102E"/>
    <w:rsid w:val="00C817DA"/>
    <w:rsid w:val="00C823DF"/>
    <w:rsid w:val="00C83645"/>
    <w:rsid w:val="00C84CE5"/>
    <w:rsid w:val="00C85E38"/>
    <w:rsid w:val="00C9050B"/>
    <w:rsid w:val="00C90796"/>
    <w:rsid w:val="00C90CF2"/>
    <w:rsid w:val="00C90D68"/>
    <w:rsid w:val="00C92427"/>
    <w:rsid w:val="00C92ACD"/>
    <w:rsid w:val="00C93619"/>
    <w:rsid w:val="00C940ED"/>
    <w:rsid w:val="00C94B2D"/>
    <w:rsid w:val="00C94E0B"/>
    <w:rsid w:val="00CA1038"/>
    <w:rsid w:val="00CA1217"/>
    <w:rsid w:val="00CA174A"/>
    <w:rsid w:val="00CA27DB"/>
    <w:rsid w:val="00CA3696"/>
    <w:rsid w:val="00CA3834"/>
    <w:rsid w:val="00CA412C"/>
    <w:rsid w:val="00CA5770"/>
    <w:rsid w:val="00CA5BE5"/>
    <w:rsid w:val="00CA63F4"/>
    <w:rsid w:val="00CA6732"/>
    <w:rsid w:val="00CA6909"/>
    <w:rsid w:val="00CA7D1E"/>
    <w:rsid w:val="00CA7D67"/>
    <w:rsid w:val="00CB0E5A"/>
    <w:rsid w:val="00CB2165"/>
    <w:rsid w:val="00CB2854"/>
    <w:rsid w:val="00CB36DB"/>
    <w:rsid w:val="00CB37F3"/>
    <w:rsid w:val="00CB4269"/>
    <w:rsid w:val="00CB457E"/>
    <w:rsid w:val="00CB5DBA"/>
    <w:rsid w:val="00CB5E5E"/>
    <w:rsid w:val="00CB6A08"/>
    <w:rsid w:val="00CB704C"/>
    <w:rsid w:val="00CB721A"/>
    <w:rsid w:val="00CB76B2"/>
    <w:rsid w:val="00CC10E9"/>
    <w:rsid w:val="00CC1AFF"/>
    <w:rsid w:val="00CC1D31"/>
    <w:rsid w:val="00CC1D71"/>
    <w:rsid w:val="00CC1DC5"/>
    <w:rsid w:val="00CC3B79"/>
    <w:rsid w:val="00CC617F"/>
    <w:rsid w:val="00CC6ED4"/>
    <w:rsid w:val="00CD008F"/>
    <w:rsid w:val="00CD0254"/>
    <w:rsid w:val="00CD0500"/>
    <w:rsid w:val="00CD0C17"/>
    <w:rsid w:val="00CD1693"/>
    <w:rsid w:val="00CD19AF"/>
    <w:rsid w:val="00CD4064"/>
    <w:rsid w:val="00CD471E"/>
    <w:rsid w:val="00CD5147"/>
    <w:rsid w:val="00CD6583"/>
    <w:rsid w:val="00CD6B21"/>
    <w:rsid w:val="00CE0135"/>
    <w:rsid w:val="00CE04F7"/>
    <w:rsid w:val="00CE09DC"/>
    <w:rsid w:val="00CE2715"/>
    <w:rsid w:val="00CE47D9"/>
    <w:rsid w:val="00CE4F21"/>
    <w:rsid w:val="00CE51FF"/>
    <w:rsid w:val="00CE52C7"/>
    <w:rsid w:val="00CE5EA5"/>
    <w:rsid w:val="00CE6983"/>
    <w:rsid w:val="00CE7EEE"/>
    <w:rsid w:val="00CF0894"/>
    <w:rsid w:val="00CF159E"/>
    <w:rsid w:val="00CF223C"/>
    <w:rsid w:val="00CF292C"/>
    <w:rsid w:val="00CF314E"/>
    <w:rsid w:val="00CF349B"/>
    <w:rsid w:val="00CF4339"/>
    <w:rsid w:val="00CF4911"/>
    <w:rsid w:val="00CF64D9"/>
    <w:rsid w:val="00CF7577"/>
    <w:rsid w:val="00CF7F2E"/>
    <w:rsid w:val="00D000D7"/>
    <w:rsid w:val="00D00638"/>
    <w:rsid w:val="00D02D2E"/>
    <w:rsid w:val="00D04278"/>
    <w:rsid w:val="00D04BEA"/>
    <w:rsid w:val="00D04C9C"/>
    <w:rsid w:val="00D04CF5"/>
    <w:rsid w:val="00D05431"/>
    <w:rsid w:val="00D05643"/>
    <w:rsid w:val="00D05C13"/>
    <w:rsid w:val="00D0651D"/>
    <w:rsid w:val="00D06F85"/>
    <w:rsid w:val="00D10724"/>
    <w:rsid w:val="00D10907"/>
    <w:rsid w:val="00D1176C"/>
    <w:rsid w:val="00D11921"/>
    <w:rsid w:val="00D11B02"/>
    <w:rsid w:val="00D11D94"/>
    <w:rsid w:val="00D12371"/>
    <w:rsid w:val="00D12BA8"/>
    <w:rsid w:val="00D132FB"/>
    <w:rsid w:val="00D139C2"/>
    <w:rsid w:val="00D13A1B"/>
    <w:rsid w:val="00D1563A"/>
    <w:rsid w:val="00D15BAE"/>
    <w:rsid w:val="00D15E27"/>
    <w:rsid w:val="00D16F9E"/>
    <w:rsid w:val="00D175EF"/>
    <w:rsid w:val="00D17AB6"/>
    <w:rsid w:val="00D20097"/>
    <w:rsid w:val="00D200EB"/>
    <w:rsid w:val="00D201DA"/>
    <w:rsid w:val="00D20DA8"/>
    <w:rsid w:val="00D21119"/>
    <w:rsid w:val="00D22420"/>
    <w:rsid w:val="00D22840"/>
    <w:rsid w:val="00D24966"/>
    <w:rsid w:val="00D24C0A"/>
    <w:rsid w:val="00D25728"/>
    <w:rsid w:val="00D26317"/>
    <w:rsid w:val="00D2656E"/>
    <w:rsid w:val="00D27597"/>
    <w:rsid w:val="00D27A96"/>
    <w:rsid w:val="00D3097D"/>
    <w:rsid w:val="00D30DB4"/>
    <w:rsid w:val="00D312A2"/>
    <w:rsid w:val="00D31705"/>
    <w:rsid w:val="00D31A7F"/>
    <w:rsid w:val="00D31AEF"/>
    <w:rsid w:val="00D31B04"/>
    <w:rsid w:val="00D33D3B"/>
    <w:rsid w:val="00D34A66"/>
    <w:rsid w:val="00D37BB9"/>
    <w:rsid w:val="00D40150"/>
    <w:rsid w:val="00D4028E"/>
    <w:rsid w:val="00D40723"/>
    <w:rsid w:val="00D4085B"/>
    <w:rsid w:val="00D4155E"/>
    <w:rsid w:val="00D41E0A"/>
    <w:rsid w:val="00D435C2"/>
    <w:rsid w:val="00D43F0A"/>
    <w:rsid w:val="00D43F66"/>
    <w:rsid w:val="00D44D5C"/>
    <w:rsid w:val="00D4511B"/>
    <w:rsid w:val="00D456FF"/>
    <w:rsid w:val="00D45F27"/>
    <w:rsid w:val="00D4642E"/>
    <w:rsid w:val="00D47172"/>
    <w:rsid w:val="00D47761"/>
    <w:rsid w:val="00D47A1C"/>
    <w:rsid w:val="00D535F5"/>
    <w:rsid w:val="00D54405"/>
    <w:rsid w:val="00D54C45"/>
    <w:rsid w:val="00D576C5"/>
    <w:rsid w:val="00D57AF3"/>
    <w:rsid w:val="00D57FEC"/>
    <w:rsid w:val="00D6066F"/>
    <w:rsid w:val="00D60FCA"/>
    <w:rsid w:val="00D61215"/>
    <w:rsid w:val="00D61DA9"/>
    <w:rsid w:val="00D622B4"/>
    <w:rsid w:val="00D62A52"/>
    <w:rsid w:val="00D652C7"/>
    <w:rsid w:val="00D65537"/>
    <w:rsid w:val="00D66D88"/>
    <w:rsid w:val="00D66DF3"/>
    <w:rsid w:val="00D6745F"/>
    <w:rsid w:val="00D67BDC"/>
    <w:rsid w:val="00D70180"/>
    <w:rsid w:val="00D701E4"/>
    <w:rsid w:val="00D71D7E"/>
    <w:rsid w:val="00D71F1E"/>
    <w:rsid w:val="00D72130"/>
    <w:rsid w:val="00D7217F"/>
    <w:rsid w:val="00D72F6C"/>
    <w:rsid w:val="00D742F1"/>
    <w:rsid w:val="00D753A0"/>
    <w:rsid w:val="00D76286"/>
    <w:rsid w:val="00D7631B"/>
    <w:rsid w:val="00D77342"/>
    <w:rsid w:val="00D77BB3"/>
    <w:rsid w:val="00D805EA"/>
    <w:rsid w:val="00D81206"/>
    <w:rsid w:val="00D813AB"/>
    <w:rsid w:val="00D825A2"/>
    <w:rsid w:val="00D8279C"/>
    <w:rsid w:val="00D82992"/>
    <w:rsid w:val="00D8305F"/>
    <w:rsid w:val="00D846BC"/>
    <w:rsid w:val="00D84ADA"/>
    <w:rsid w:val="00D84F6C"/>
    <w:rsid w:val="00D86F31"/>
    <w:rsid w:val="00D90095"/>
    <w:rsid w:val="00D90AFC"/>
    <w:rsid w:val="00D92987"/>
    <w:rsid w:val="00D93932"/>
    <w:rsid w:val="00D94395"/>
    <w:rsid w:val="00D949BB"/>
    <w:rsid w:val="00D95033"/>
    <w:rsid w:val="00D95A82"/>
    <w:rsid w:val="00D96163"/>
    <w:rsid w:val="00D973F9"/>
    <w:rsid w:val="00D97C2F"/>
    <w:rsid w:val="00DA10C1"/>
    <w:rsid w:val="00DA30F8"/>
    <w:rsid w:val="00DA32B9"/>
    <w:rsid w:val="00DA49AD"/>
    <w:rsid w:val="00DA59CE"/>
    <w:rsid w:val="00DA7607"/>
    <w:rsid w:val="00DB03E1"/>
    <w:rsid w:val="00DB06D1"/>
    <w:rsid w:val="00DB24D4"/>
    <w:rsid w:val="00DB28A6"/>
    <w:rsid w:val="00DB2A6C"/>
    <w:rsid w:val="00DB389E"/>
    <w:rsid w:val="00DB3A0B"/>
    <w:rsid w:val="00DB4E9E"/>
    <w:rsid w:val="00DB55F8"/>
    <w:rsid w:val="00DB6049"/>
    <w:rsid w:val="00DB7678"/>
    <w:rsid w:val="00DB77B7"/>
    <w:rsid w:val="00DB783F"/>
    <w:rsid w:val="00DC0050"/>
    <w:rsid w:val="00DC208A"/>
    <w:rsid w:val="00DC2B7C"/>
    <w:rsid w:val="00DC3B95"/>
    <w:rsid w:val="00DC4680"/>
    <w:rsid w:val="00DC538D"/>
    <w:rsid w:val="00DC5712"/>
    <w:rsid w:val="00DC6F4D"/>
    <w:rsid w:val="00DC70E0"/>
    <w:rsid w:val="00DD017D"/>
    <w:rsid w:val="00DD2A3F"/>
    <w:rsid w:val="00DD3313"/>
    <w:rsid w:val="00DD3B5D"/>
    <w:rsid w:val="00DD4332"/>
    <w:rsid w:val="00DD47DD"/>
    <w:rsid w:val="00DD48F6"/>
    <w:rsid w:val="00DD512A"/>
    <w:rsid w:val="00DD5B01"/>
    <w:rsid w:val="00DD6758"/>
    <w:rsid w:val="00DD6C0A"/>
    <w:rsid w:val="00DE082B"/>
    <w:rsid w:val="00DE20C2"/>
    <w:rsid w:val="00DE2360"/>
    <w:rsid w:val="00DE2440"/>
    <w:rsid w:val="00DE366E"/>
    <w:rsid w:val="00DE4DCF"/>
    <w:rsid w:val="00DE5EF4"/>
    <w:rsid w:val="00DE5FBD"/>
    <w:rsid w:val="00DE779D"/>
    <w:rsid w:val="00DE7D34"/>
    <w:rsid w:val="00DF116A"/>
    <w:rsid w:val="00DF1C60"/>
    <w:rsid w:val="00DF3116"/>
    <w:rsid w:val="00DF351B"/>
    <w:rsid w:val="00DF37A4"/>
    <w:rsid w:val="00DF3E88"/>
    <w:rsid w:val="00DF429C"/>
    <w:rsid w:val="00DF469B"/>
    <w:rsid w:val="00DF570B"/>
    <w:rsid w:val="00DF73CA"/>
    <w:rsid w:val="00E026DF"/>
    <w:rsid w:val="00E03FCE"/>
    <w:rsid w:val="00E05A07"/>
    <w:rsid w:val="00E06106"/>
    <w:rsid w:val="00E066C8"/>
    <w:rsid w:val="00E06B08"/>
    <w:rsid w:val="00E06DDF"/>
    <w:rsid w:val="00E10326"/>
    <w:rsid w:val="00E10C32"/>
    <w:rsid w:val="00E12B89"/>
    <w:rsid w:val="00E14CE3"/>
    <w:rsid w:val="00E15ED1"/>
    <w:rsid w:val="00E16040"/>
    <w:rsid w:val="00E16F31"/>
    <w:rsid w:val="00E17052"/>
    <w:rsid w:val="00E218F7"/>
    <w:rsid w:val="00E21B11"/>
    <w:rsid w:val="00E227D4"/>
    <w:rsid w:val="00E22D07"/>
    <w:rsid w:val="00E251FD"/>
    <w:rsid w:val="00E25E6B"/>
    <w:rsid w:val="00E26A75"/>
    <w:rsid w:val="00E27035"/>
    <w:rsid w:val="00E27D68"/>
    <w:rsid w:val="00E30655"/>
    <w:rsid w:val="00E31684"/>
    <w:rsid w:val="00E321D1"/>
    <w:rsid w:val="00E32EE2"/>
    <w:rsid w:val="00E32EE8"/>
    <w:rsid w:val="00E34199"/>
    <w:rsid w:val="00E3579C"/>
    <w:rsid w:val="00E357FC"/>
    <w:rsid w:val="00E36017"/>
    <w:rsid w:val="00E3665D"/>
    <w:rsid w:val="00E37D8F"/>
    <w:rsid w:val="00E4064F"/>
    <w:rsid w:val="00E4188F"/>
    <w:rsid w:val="00E43113"/>
    <w:rsid w:val="00E43AC5"/>
    <w:rsid w:val="00E45528"/>
    <w:rsid w:val="00E45CC4"/>
    <w:rsid w:val="00E4711B"/>
    <w:rsid w:val="00E47266"/>
    <w:rsid w:val="00E5095E"/>
    <w:rsid w:val="00E509F1"/>
    <w:rsid w:val="00E51F7F"/>
    <w:rsid w:val="00E521FE"/>
    <w:rsid w:val="00E5486D"/>
    <w:rsid w:val="00E549B8"/>
    <w:rsid w:val="00E55507"/>
    <w:rsid w:val="00E55791"/>
    <w:rsid w:val="00E566AA"/>
    <w:rsid w:val="00E571C2"/>
    <w:rsid w:val="00E573C2"/>
    <w:rsid w:val="00E57952"/>
    <w:rsid w:val="00E57BD8"/>
    <w:rsid w:val="00E57D1F"/>
    <w:rsid w:val="00E57E07"/>
    <w:rsid w:val="00E605EA"/>
    <w:rsid w:val="00E63F7F"/>
    <w:rsid w:val="00E64FFE"/>
    <w:rsid w:val="00E656B7"/>
    <w:rsid w:val="00E669B2"/>
    <w:rsid w:val="00E66CF0"/>
    <w:rsid w:val="00E66D8C"/>
    <w:rsid w:val="00E670D8"/>
    <w:rsid w:val="00E67472"/>
    <w:rsid w:val="00E70722"/>
    <w:rsid w:val="00E709BE"/>
    <w:rsid w:val="00E7126A"/>
    <w:rsid w:val="00E71D30"/>
    <w:rsid w:val="00E720E6"/>
    <w:rsid w:val="00E73DAB"/>
    <w:rsid w:val="00E74083"/>
    <w:rsid w:val="00E742CD"/>
    <w:rsid w:val="00E74900"/>
    <w:rsid w:val="00E7492C"/>
    <w:rsid w:val="00E74BCC"/>
    <w:rsid w:val="00E74C4E"/>
    <w:rsid w:val="00E76943"/>
    <w:rsid w:val="00E778EC"/>
    <w:rsid w:val="00E80C8F"/>
    <w:rsid w:val="00E81739"/>
    <w:rsid w:val="00E82693"/>
    <w:rsid w:val="00E82788"/>
    <w:rsid w:val="00E836D1"/>
    <w:rsid w:val="00E83902"/>
    <w:rsid w:val="00E83A35"/>
    <w:rsid w:val="00E8508B"/>
    <w:rsid w:val="00E85198"/>
    <w:rsid w:val="00E85C0E"/>
    <w:rsid w:val="00E85E8C"/>
    <w:rsid w:val="00E86246"/>
    <w:rsid w:val="00E867C1"/>
    <w:rsid w:val="00E900A2"/>
    <w:rsid w:val="00E91BBA"/>
    <w:rsid w:val="00E91C1D"/>
    <w:rsid w:val="00E92211"/>
    <w:rsid w:val="00E93BA7"/>
    <w:rsid w:val="00E958B0"/>
    <w:rsid w:val="00E958E3"/>
    <w:rsid w:val="00E9595B"/>
    <w:rsid w:val="00E969FB"/>
    <w:rsid w:val="00EA1301"/>
    <w:rsid w:val="00EA2860"/>
    <w:rsid w:val="00EA2B99"/>
    <w:rsid w:val="00EA2CBA"/>
    <w:rsid w:val="00EA42EF"/>
    <w:rsid w:val="00EA5168"/>
    <w:rsid w:val="00EA5FB2"/>
    <w:rsid w:val="00EA74C5"/>
    <w:rsid w:val="00EA771E"/>
    <w:rsid w:val="00EB1B0A"/>
    <w:rsid w:val="00EB23D6"/>
    <w:rsid w:val="00EB2BA7"/>
    <w:rsid w:val="00EB61C6"/>
    <w:rsid w:val="00EB6BE7"/>
    <w:rsid w:val="00EC07FE"/>
    <w:rsid w:val="00EC0A27"/>
    <w:rsid w:val="00EC283B"/>
    <w:rsid w:val="00EC2CE5"/>
    <w:rsid w:val="00EC568B"/>
    <w:rsid w:val="00EC58EE"/>
    <w:rsid w:val="00EC678B"/>
    <w:rsid w:val="00EC720F"/>
    <w:rsid w:val="00ED0858"/>
    <w:rsid w:val="00ED0B32"/>
    <w:rsid w:val="00ED0C11"/>
    <w:rsid w:val="00ED1A12"/>
    <w:rsid w:val="00ED1C39"/>
    <w:rsid w:val="00ED1CF0"/>
    <w:rsid w:val="00ED217F"/>
    <w:rsid w:val="00ED2485"/>
    <w:rsid w:val="00ED26D7"/>
    <w:rsid w:val="00ED2AB4"/>
    <w:rsid w:val="00ED316F"/>
    <w:rsid w:val="00ED39D5"/>
    <w:rsid w:val="00ED59C5"/>
    <w:rsid w:val="00ED65AF"/>
    <w:rsid w:val="00ED6A14"/>
    <w:rsid w:val="00ED7469"/>
    <w:rsid w:val="00ED773E"/>
    <w:rsid w:val="00ED7795"/>
    <w:rsid w:val="00EE0EF2"/>
    <w:rsid w:val="00EE2EA2"/>
    <w:rsid w:val="00EE31F3"/>
    <w:rsid w:val="00EE345B"/>
    <w:rsid w:val="00EE5CF6"/>
    <w:rsid w:val="00EE667A"/>
    <w:rsid w:val="00EE678C"/>
    <w:rsid w:val="00EF0603"/>
    <w:rsid w:val="00EF0798"/>
    <w:rsid w:val="00EF10F7"/>
    <w:rsid w:val="00EF15B3"/>
    <w:rsid w:val="00EF1B37"/>
    <w:rsid w:val="00EF38BF"/>
    <w:rsid w:val="00EF414D"/>
    <w:rsid w:val="00EF4C3F"/>
    <w:rsid w:val="00EF5517"/>
    <w:rsid w:val="00EF698E"/>
    <w:rsid w:val="00EF727F"/>
    <w:rsid w:val="00EF786E"/>
    <w:rsid w:val="00F0072B"/>
    <w:rsid w:val="00F00AF5"/>
    <w:rsid w:val="00F00BC4"/>
    <w:rsid w:val="00F0175D"/>
    <w:rsid w:val="00F02DD6"/>
    <w:rsid w:val="00F037D8"/>
    <w:rsid w:val="00F0385A"/>
    <w:rsid w:val="00F03D87"/>
    <w:rsid w:val="00F059A3"/>
    <w:rsid w:val="00F06F0F"/>
    <w:rsid w:val="00F10E99"/>
    <w:rsid w:val="00F1193F"/>
    <w:rsid w:val="00F1324F"/>
    <w:rsid w:val="00F15506"/>
    <w:rsid w:val="00F15E98"/>
    <w:rsid w:val="00F16C8B"/>
    <w:rsid w:val="00F16CEF"/>
    <w:rsid w:val="00F175EB"/>
    <w:rsid w:val="00F17F3E"/>
    <w:rsid w:val="00F20D8B"/>
    <w:rsid w:val="00F21A37"/>
    <w:rsid w:val="00F22702"/>
    <w:rsid w:val="00F2289D"/>
    <w:rsid w:val="00F24D72"/>
    <w:rsid w:val="00F30092"/>
    <w:rsid w:val="00F30100"/>
    <w:rsid w:val="00F30E36"/>
    <w:rsid w:val="00F31DAF"/>
    <w:rsid w:val="00F321D7"/>
    <w:rsid w:val="00F332C2"/>
    <w:rsid w:val="00F33CD0"/>
    <w:rsid w:val="00F34287"/>
    <w:rsid w:val="00F34C96"/>
    <w:rsid w:val="00F34ECE"/>
    <w:rsid w:val="00F36DAE"/>
    <w:rsid w:val="00F37DA0"/>
    <w:rsid w:val="00F40C01"/>
    <w:rsid w:val="00F4125B"/>
    <w:rsid w:val="00F43612"/>
    <w:rsid w:val="00F43988"/>
    <w:rsid w:val="00F43A6B"/>
    <w:rsid w:val="00F450FF"/>
    <w:rsid w:val="00F45B82"/>
    <w:rsid w:val="00F45DBB"/>
    <w:rsid w:val="00F460EB"/>
    <w:rsid w:val="00F46141"/>
    <w:rsid w:val="00F46FDE"/>
    <w:rsid w:val="00F472FC"/>
    <w:rsid w:val="00F47B4F"/>
    <w:rsid w:val="00F47E3B"/>
    <w:rsid w:val="00F51919"/>
    <w:rsid w:val="00F5196D"/>
    <w:rsid w:val="00F5209A"/>
    <w:rsid w:val="00F529A4"/>
    <w:rsid w:val="00F542EA"/>
    <w:rsid w:val="00F546AA"/>
    <w:rsid w:val="00F555C8"/>
    <w:rsid w:val="00F55F25"/>
    <w:rsid w:val="00F5785D"/>
    <w:rsid w:val="00F613E1"/>
    <w:rsid w:val="00F629D0"/>
    <w:rsid w:val="00F63651"/>
    <w:rsid w:val="00F637C3"/>
    <w:rsid w:val="00F63972"/>
    <w:rsid w:val="00F64AE2"/>
    <w:rsid w:val="00F657AC"/>
    <w:rsid w:val="00F65BFF"/>
    <w:rsid w:val="00F67F4B"/>
    <w:rsid w:val="00F7058C"/>
    <w:rsid w:val="00F70698"/>
    <w:rsid w:val="00F70B46"/>
    <w:rsid w:val="00F71AE3"/>
    <w:rsid w:val="00F721C8"/>
    <w:rsid w:val="00F73F1F"/>
    <w:rsid w:val="00F75165"/>
    <w:rsid w:val="00F76225"/>
    <w:rsid w:val="00F76243"/>
    <w:rsid w:val="00F77743"/>
    <w:rsid w:val="00F77AE6"/>
    <w:rsid w:val="00F80181"/>
    <w:rsid w:val="00F80926"/>
    <w:rsid w:val="00F825AC"/>
    <w:rsid w:val="00F84CB6"/>
    <w:rsid w:val="00F84E99"/>
    <w:rsid w:val="00F85BD3"/>
    <w:rsid w:val="00F86448"/>
    <w:rsid w:val="00F8682C"/>
    <w:rsid w:val="00F87DCA"/>
    <w:rsid w:val="00F90302"/>
    <w:rsid w:val="00F90E18"/>
    <w:rsid w:val="00F90E1B"/>
    <w:rsid w:val="00F90F8B"/>
    <w:rsid w:val="00F92013"/>
    <w:rsid w:val="00F976DC"/>
    <w:rsid w:val="00F97875"/>
    <w:rsid w:val="00FA00E1"/>
    <w:rsid w:val="00FA02C7"/>
    <w:rsid w:val="00FA03A5"/>
    <w:rsid w:val="00FA1EE5"/>
    <w:rsid w:val="00FA21FC"/>
    <w:rsid w:val="00FA2448"/>
    <w:rsid w:val="00FA3D40"/>
    <w:rsid w:val="00FA46A3"/>
    <w:rsid w:val="00FA4CAA"/>
    <w:rsid w:val="00FA6C5B"/>
    <w:rsid w:val="00FA73BD"/>
    <w:rsid w:val="00FB02A2"/>
    <w:rsid w:val="00FB1A4D"/>
    <w:rsid w:val="00FB1CA9"/>
    <w:rsid w:val="00FB1E5D"/>
    <w:rsid w:val="00FB2310"/>
    <w:rsid w:val="00FB2E10"/>
    <w:rsid w:val="00FB2F0E"/>
    <w:rsid w:val="00FB386A"/>
    <w:rsid w:val="00FB39A5"/>
    <w:rsid w:val="00FB4DA7"/>
    <w:rsid w:val="00FB5B90"/>
    <w:rsid w:val="00FB7067"/>
    <w:rsid w:val="00FB7C76"/>
    <w:rsid w:val="00FC0F35"/>
    <w:rsid w:val="00FC10F4"/>
    <w:rsid w:val="00FC1917"/>
    <w:rsid w:val="00FC19CB"/>
    <w:rsid w:val="00FC2D0C"/>
    <w:rsid w:val="00FC3BA9"/>
    <w:rsid w:val="00FC509B"/>
    <w:rsid w:val="00FC51F1"/>
    <w:rsid w:val="00FC6E28"/>
    <w:rsid w:val="00FC70A9"/>
    <w:rsid w:val="00FC7D37"/>
    <w:rsid w:val="00FD247D"/>
    <w:rsid w:val="00FD3952"/>
    <w:rsid w:val="00FD4AD2"/>
    <w:rsid w:val="00FD5287"/>
    <w:rsid w:val="00FD5522"/>
    <w:rsid w:val="00FD6425"/>
    <w:rsid w:val="00FD64F1"/>
    <w:rsid w:val="00FD6CAD"/>
    <w:rsid w:val="00FD7B85"/>
    <w:rsid w:val="00FD7D92"/>
    <w:rsid w:val="00FE1083"/>
    <w:rsid w:val="00FE241A"/>
    <w:rsid w:val="00FE32E8"/>
    <w:rsid w:val="00FE38D1"/>
    <w:rsid w:val="00FE3DBA"/>
    <w:rsid w:val="00FE5EFA"/>
    <w:rsid w:val="00FF063F"/>
    <w:rsid w:val="00FF0880"/>
    <w:rsid w:val="00FF08A2"/>
    <w:rsid w:val="00FF133F"/>
    <w:rsid w:val="00FF1A30"/>
    <w:rsid w:val="00FF2302"/>
    <w:rsid w:val="00FF2EA9"/>
    <w:rsid w:val="00FF3C1E"/>
    <w:rsid w:val="00FF4CF3"/>
    <w:rsid w:val="00FF51D2"/>
    <w:rsid w:val="00FF59C6"/>
    <w:rsid w:val="00FF6AEB"/>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BB44063B-488A-4C18-A080-6763EE5A6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50CF"/>
    <w:rPr>
      <w:rFonts w:ascii="Times New Roman" w:eastAsia="Times New Roman" w:hAnsi="Times New Roman"/>
      <w:sz w:val="24"/>
      <w:szCs w:val="24"/>
      <w:lang w:val="de-DE" w:eastAsia="de-DE"/>
    </w:rPr>
  </w:style>
  <w:style w:type="paragraph" w:styleId="berschrift1">
    <w:name w:val="heading 1"/>
    <w:next w:val="Standard"/>
    <w:link w:val="berschrift1Zchn"/>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paragraph" w:styleId="berschrift5">
    <w:name w:val="heading 5"/>
    <w:basedOn w:val="Standard"/>
    <w:next w:val="Standard"/>
    <w:link w:val="berschrift5Zchn"/>
    <w:uiPriority w:val="9"/>
    <w:unhideWhenUsed/>
    <w:qFormat/>
    <w:rsid w:val="00E57D1F"/>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400611"/>
    <w:pPr>
      <w:keepNext/>
      <w:keepLines/>
      <w:spacing w:before="4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620296"/>
    <w:rPr>
      <w:rFonts w:ascii="Arial" w:eastAsia="SimSun" w:hAnsi="Arial" w:cs="Times New Roman"/>
      <w:sz w:val="36"/>
      <w:szCs w:val="20"/>
      <w:lang w:val="en-GB"/>
    </w:rPr>
  </w:style>
  <w:style w:type="paragraph" w:styleId="Listenabsatz">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列表段落11"/>
    <w:basedOn w:val="Standard"/>
    <w:link w:val="ListenabsatzZchn"/>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ellenraster">
    <w:name w:val="Table Grid"/>
    <w:aliases w:val="TableGrid,SGS Table Basic 1"/>
    <w:basedOn w:val="NormaleTabelle"/>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Standard"/>
    <w:link w:val="TACChar"/>
    <w:qFormat/>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unhideWhenUsed/>
    <w:rsid w:val="00835C35"/>
    <w:pPr>
      <w:overflowPunct w:val="0"/>
      <w:autoSpaceDE w:val="0"/>
      <w:autoSpaceDN w:val="0"/>
      <w:adjustRightInd w:val="0"/>
      <w:spacing w:after="180"/>
      <w:textAlignment w:val="baseline"/>
    </w:pPr>
    <w:rPr>
      <w:rFonts w:eastAsia="SimSun"/>
      <w:sz w:val="20"/>
      <w:szCs w:val="20"/>
      <w:lang w:val="en-GB"/>
    </w:rPr>
  </w:style>
  <w:style w:type="character" w:customStyle="1" w:styleId="KommentartextZchn">
    <w:name w:val="Kommentartext Zchn"/>
    <w:basedOn w:val="Absatz-Standardschriftart"/>
    <w:link w:val="Kommentartext"/>
    <w:uiPriority w:val="99"/>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qFormat/>
    <w:rsid w:val="00AB425B"/>
    <w:pPr>
      <w:keepNext/>
      <w:keepLines/>
      <w:spacing w:before="60" w:after="180"/>
      <w:jc w:val="center"/>
    </w:pPr>
    <w:rPr>
      <w:rFonts w:ascii="Arial" w:eastAsia="Calibri" w:hAnsi="Arial" w:cs="Arial"/>
      <w:b/>
      <w:sz w:val="20"/>
      <w:szCs w:val="20"/>
      <w:lang w:val="en-GB"/>
    </w:rPr>
  </w:style>
  <w:style w:type="character" w:customStyle="1" w:styleId="ListenabsatzZchn">
    <w:name w:val="Listenabsatz Zchn"/>
    <w:aliases w:val="- Bullets Zchn,?? ?? Zchn,????? Zchn,???? Zchn,Lista1 Zchn,목록 단락 Zchn,リスト段落 Zchn,列出段落1 Zchn,中等深浅网格 1 - 着色 21 Zchn,¥ê¥¹¥È¶ÎÂä Zchn,¥¡¡¡¡ì¬º¥¹¥È¶ÎÂä Zchn,ÁÐ³ö¶ÎÂä Zchn,列表段落1 Zchn,—ño’i—Ž Zchn,1st level - Bullet List Paragraph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1"/>
      </w:numPr>
      <w:jc w:val="both"/>
    </w:pPr>
    <w:rPr>
      <w:rFonts w:eastAsia="MS Gothic"/>
      <w:kern w:val="2"/>
      <w:sz w:val="20"/>
      <w:szCs w:val="20"/>
      <w:lang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 w:val="20"/>
      <w:lang w:val="en-GB"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table" w:styleId="Gitternetztabelle6farbigAkzent1">
    <w:name w:val="Grid Table 6 Colorful Accent 1"/>
    <w:basedOn w:val="NormaleTabelle"/>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1">
    <w:name w:val="Grid Table 4 Accent 1"/>
    <w:basedOn w:val="NormaleTabelle"/>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Absatz-Standardschriftar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Absatz-Standardschriftart"/>
    <w:uiPriority w:val="99"/>
    <w:semiHidden/>
    <w:unhideWhenUsed/>
    <w:rsid w:val="00CA6909"/>
    <w:rPr>
      <w:color w:val="605E5C"/>
      <w:shd w:val="clear" w:color="auto" w:fill="E1DFDD"/>
    </w:rPr>
  </w:style>
  <w:style w:type="table" w:styleId="Gitternetztabelle5dunkelAkzent1">
    <w:name w:val="Grid Table 5 Dark Accent 1"/>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5">
    <w:name w:val="Grid Table 5 Dark Accent 5"/>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NormaleTabelle"/>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Absatz-Standardschriftart"/>
    <w:rsid w:val="00223C05"/>
  </w:style>
  <w:style w:type="paragraph" w:customStyle="1" w:styleId="3GPPHeader">
    <w:name w:val="3GPP_Header"/>
    <w:basedOn w:val="Textkrper"/>
    <w:rsid w:val="009C70D8"/>
    <w:pPr>
      <w:tabs>
        <w:tab w:val="left" w:pos="1701"/>
        <w:tab w:val="right" w:pos="9639"/>
      </w:tabs>
      <w:spacing w:after="240" w:line="256" w:lineRule="auto"/>
    </w:pPr>
    <w:rPr>
      <w:rFonts w:ascii="Arial" w:eastAsia="Calibri" w:hAnsi="Arial"/>
      <w:b/>
      <w:sz w:val="24"/>
      <w:szCs w:val="22"/>
      <w:lang w:val="en-US" w:eastAsia="zh-CN"/>
    </w:rPr>
  </w:style>
  <w:style w:type="paragraph" w:customStyle="1" w:styleId="1">
    <w:name w:val="リスト段落1"/>
    <w:basedOn w:val="Standard"/>
    <w:uiPriority w:val="34"/>
    <w:qFormat/>
    <w:rsid w:val="00C70B6D"/>
    <w:pPr>
      <w:ind w:left="720"/>
      <w:contextualSpacing/>
    </w:pPr>
    <w:rPr>
      <w:rFonts w:eastAsia="SimSun"/>
      <w:sz w:val="20"/>
      <w:lang w:val="en-US" w:eastAsia="en-US"/>
    </w:rPr>
  </w:style>
  <w:style w:type="paragraph" w:customStyle="1" w:styleId="DraftProposal">
    <w:name w:val="Draft Proposal"/>
    <w:basedOn w:val="Textkrper"/>
    <w:next w:val="Standard"/>
    <w:uiPriority w:val="99"/>
    <w:qFormat/>
    <w:rsid w:val="00533272"/>
    <w:pPr>
      <w:tabs>
        <w:tab w:val="num" w:pos="720"/>
        <w:tab w:val="left" w:pos="1701"/>
      </w:tabs>
      <w:spacing w:after="160" w:line="256" w:lineRule="auto"/>
      <w:ind w:left="720" w:hanging="360"/>
      <w:jc w:val="left"/>
    </w:pPr>
    <w:rPr>
      <w:rFonts w:ascii="Arial" w:eastAsia="Calibri" w:hAnsi="Arial" w:cs="Arial"/>
      <w:b/>
      <w:bCs/>
      <w:sz w:val="22"/>
      <w:szCs w:val="22"/>
      <w:lang w:val="en-US" w:eastAsia="en-US"/>
    </w:rPr>
  </w:style>
  <w:style w:type="character" w:customStyle="1" w:styleId="NOChar1">
    <w:name w:val="NO Char1"/>
    <w:qFormat/>
    <w:locked/>
    <w:rsid w:val="00873BF3"/>
  </w:style>
  <w:style w:type="character" w:customStyle="1" w:styleId="B1Char">
    <w:name w:val="B1 Char"/>
    <w:qFormat/>
    <w:locked/>
    <w:rsid w:val="00873BF3"/>
  </w:style>
  <w:style w:type="character" w:customStyle="1" w:styleId="TANChar">
    <w:name w:val="TAN Char"/>
    <w:link w:val="TAN"/>
    <w:qFormat/>
    <w:locked/>
    <w:rsid w:val="009837FE"/>
    <w:rPr>
      <w:rFonts w:ascii="Arial" w:hAnsi="Arial" w:cs="Arial"/>
      <w:sz w:val="18"/>
    </w:rPr>
  </w:style>
  <w:style w:type="paragraph" w:customStyle="1" w:styleId="TAN">
    <w:name w:val="TAN"/>
    <w:basedOn w:val="Standard"/>
    <w:link w:val="TANChar"/>
    <w:qFormat/>
    <w:rsid w:val="009837FE"/>
    <w:pPr>
      <w:keepNext/>
      <w:keepLines/>
      <w:ind w:left="851" w:hanging="851"/>
    </w:pPr>
    <w:rPr>
      <w:rFonts w:ascii="Arial" w:eastAsia="SimSun" w:hAnsi="Arial" w:cs="Arial"/>
      <w:sz w:val="18"/>
      <w:szCs w:val="20"/>
      <w:lang w:val="en-US" w:eastAsia="en-US"/>
    </w:rPr>
  </w:style>
  <w:style w:type="character" w:customStyle="1" w:styleId="berschrift5Zchn">
    <w:name w:val="Überschrift 5 Zchn"/>
    <w:basedOn w:val="Absatz-Standardschriftart"/>
    <w:link w:val="berschrift5"/>
    <w:uiPriority w:val="9"/>
    <w:rsid w:val="00E57D1F"/>
    <w:rPr>
      <w:rFonts w:asciiTheme="majorHAnsi" w:eastAsiaTheme="majorEastAsia" w:hAnsiTheme="majorHAnsi" w:cstheme="majorBidi"/>
      <w:color w:val="2F5496" w:themeColor="accent1" w:themeShade="BF"/>
      <w:sz w:val="24"/>
      <w:szCs w:val="24"/>
      <w:lang w:val="de-DE" w:eastAsia="de-DE"/>
    </w:rPr>
  </w:style>
  <w:style w:type="character" w:styleId="SchwacherVerweis">
    <w:name w:val="Subtle Reference"/>
    <w:basedOn w:val="Absatz-Standardschriftart"/>
    <w:uiPriority w:val="31"/>
    <w:qFormat/>
    <w:rsid w:val="009A64AC"/>
    <w:rPr>
      <w:smallCaps/>
      <w:color w:val="5A5A5A" w:themeColor="text1" w:themeTint="A5"/>
    </w:rPr>
  </w:style>
  <w:style w:type="character" w:customStyle="1" w:styleId="berschrift6Zchn">
    <w:name w:val="Überschrift 6 Zchn"/>
    <w:basedOn w:val="Absatz-Standardschriftart"/>
    <w:link w:val="berschrift6"/>
    <w:uiPriority w:val="9"/>
    <w:rsid w:val="00400611"/>
    <w:rPr>
      <w:rFonts w:asciiTheme="majorHAnsi" w:eastAsiaTheme="majorEastAsia" w:hAnsiTheme="majorHAnsi" w:cstheme="majorBidi"/>
      <w:color w:val="1F3763" w:themeColor="accent1" w:themeShade="7F"/>
      <w:sz w:val="24"/>
      <w:szCs w:val="24"/>
      <w:lang w:val="de-DE" w:eastAsia="de-DE"/>
    </w:rPr>
  </w:style>
  <w:style w:type="paragraph" w:customStyle="1" w:styleId="Doc-text2">
    <w:name w:val="Doc-text2"/>
    <w:basedOn w:val="Standard"/>
    <w:link w:val="Doc-text2Char"/>
    <w:uiPriority w:val="99"/>
    <w:qFormat/>
    <w:rsid w:val="00726AD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726AD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4897">
      <w:bodyDiv w:val="1"/>
      <w:marLeft w:val="0"/>
      <w:marRight w:val="0"/>
      <w:marTop w:val="0"/>
      <w:marBottom w:val="0"/>
      <w:divBdr>
        <w:top w:val="none" w:sz="0" w:space="0" w:color="auto"/>
        <w:left w:val="none" w:sz="0" w:space="0" w:color="auto"/>
        <w:bottom w:val="none" w:sz="0" w:space="0" w:color="auto"/>
        <w:right w:val="none" w:sz="0" w:space="0" w:color="auto"/>
      </w:divBdr>
    </w:div>
    <w:div w:id="45177960">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5318252">
      <w:bodyDiv w:val="1"/>
      <w:marLeft w:val="0"/>
      <w:marRight w:val="0"/>
      <w:marTop w:val="0"/>
      <w:marBottom w:val="0"/>
      <w:divBdr>
        <w:top w:val="none" w:sz="0" w:space="0" w:color="auto"/>
        <w:left w:val="none" w:sz="0" w:space="0" w:color="auto"/>
        <w:bottom w:val="none" w:sz="0" w:space="0" w:color="auto"/>
        <w:right w:val="none" w:sz="0" w:space="0" w:color="auto"/>
      </w:divBdr>
    </w:div>
    <w:div w:id="57831068">
      <w:bodyDiv w:val="1"/>
      <w:marLeft w:val="0"/>
      <w:marRight w:val="0"/>
      <w:marTop w:val="0"/>
      <w:marBottom w:val="0"/>
      <w:divBdr>
        <w:top w:val="none" w:sz="0" w:space="0" w:color="auto"/>
        <w:left w:val="none" w:sz="0" w:space="0" w:color="auto"/>
        <w:bottom w:val="none" w:sz="0" w:space="0" w:color="auto"/>
        <w:right w:val="none" w:sz="0" w:space="0" w:color="auto"/>
      </w:divBdr>
    </w:div>
    <w:div w:id="77561471">
      <w:bodyDiv w:val="1"/>
      <w:marLeft w:val="0"/>
      <w:marRight w:val="0"/>
      <w:marTop w:val="0"/>
      <w:marBottom w:val="0"/>
      <w:divBdr>
        <w:top w:val="none" w:sz="0" w:space="0" w:color="auto"/>
        <w:left w:val="none" w:sz="0" w:space="0" w:color="auto"/>
        <w:bottom w:val="none" w:sz="0" w:space="0" w:color="auto"/>
        <w:right w:val="none" w:sz="0" w:space="0" w:color="auto"/>
      </w:divBdr>
    </w:div>
    <w:div w:id="82456829">
      <w:bodyDiv w:val="1"/>
      <w:marLeft w:val="0"/>
      <w:marRight w:val="0"/>
      <w:marTop w:val="0"/>
      <w:marBottom w:val="0"/>
      <w:divBdr>
        <w:top w:val="none" w:sz="0" w:space="0" w:color="auto"/>
        <w:left w:val="none" w:sz="0" w:space="0" w:color="auto"/>
        <w:bottom w:val="none" w:sz="0" w:space="0" w:color="auto"/>
        <w:right w:val="none" w:sz="0" w:space="0" w:color="auto"/>
      </w:divBdr>
    </w:div>
    <w:div w:id="9760742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3594715">
      <w:bodyDiv w:val="1"/>
      <w:marLeft w:val="0"/>
      <w:marRight w:val="0"/>
      <w:marTop w:val="0"/>
      <w:marBottom w:val="0"/>
      <w:divBdr>
        <w:top w:val="none" w:sz="0" w:space="0" w:color="auto"/>
        <w:left w:val="none" w:sz="0" w:space="0" w:color="auto"/>
        <w:bottom w:val="none" w:sz="0" w:space="0" w:color="auto"/>
        <w:right w:val="none" w:sz="0" w:space="0" w:color="auto"/>
      </w:divBdr>
    </w:div>
    <w:div w:id="169179640">
      <w:bodyDiv w:val="1"/>
      <w:marLeft w:val="0"/>
      <w:marRight w:val="0"/>
      <w:marTop w:val="0"/>
      <w:marBottom w:val="0"/>
      <w:divBdr>
        <w:top w:val="none" w:sz="0" w:space="0" w:color="auto"/>
        <w:left w:val="none" w:sz="0" w:space="0" w:color="auto"/>
        <w:bottom w:val="none" w:sz="0" w:space="0" w:color="auto"/>
        <w:right w:val="none" w:sz="0" w:space="0" w:color="auto"/>
      </w:divBdr>
    </w:div>
    <w:div w:id="182135303">
      <w:bodyDiv w:val="1"/>
      <w:marLeft w:val="0"/>
      <w:marRight w:val="0"/>
      <w:marTop w:val="0"/>
      <w:marBottom w:val="0"/>
      <w:divBdr>
        <w:top w:val="none" w:sz="0" w:space="0" w:color="auto"/>
        <w:left w:val="none" w:sz="0" w:space="0" w:color="auto"/>
        <w:bottom w:val="none" w:sz="0" w:space="0" w:color="auto"/>
        <w:right w:val="none" w:sz="0" w:space="0" w:color="auto"/>
      </w:divBdr>
    </w:div>
    <w:div w:id="200677958">
      <w:bodyDiv w:val="1"/>
      <w:marLeft w:val="0"/>
      <w:marRight w:val="0"/>
      <w:marTop w:val="0"/>
      <w:marBottom w:val="0"/>
      <w:divBdr>
        <w:top w:val="none" w:sz="0" w:space="0" w:color="auto"/>
        <w:left w:val="none" w:sz="0" w:space="0" w:color="auto"/>
        <w:bottom w:val="none" w:sz="0" w:space="0" w:color="auto"/>
        <w:right w:val="none" w:sz="0" w:space="0" w:color="auto"/>
      </w:divBdr>
    </w:div>
    <w:div w:id="225265042">
      <w:bodyDiv w:val="1"/>
      <w:marLeft w:val="0"/>
      <w:marRight w:val="0"/>
      <w:marTop w:val="0"/>
      <w:marBottom w:val="0"/>
      <w:divBdr>
        <w:top w:val="none" w:sz="0" w:space="0" w:color="auto"/>
        <w:left w:val="none" w:sz="0" w:space="0" w:color="auto"/>
        <w:bottom w:val="none" w:sz="0" w:space="0" w:color="auto"/>
        <w:right w:val="none" w:sz="0" w:space="0" w:color="auto"/>
      </w:divBdr>
    </w:div>
    <w:div w:id="240216760">
      <w:bodyDiv w:val="1"/>
      <w:marLeft w:val="0"/>
      <w:marRight w:val="0"/>
      <w:marTop w:val="0"/>
      <w:marBottom w:val="0"/>
      <w:divBdr>
        <w:top w:val="none" w:sz="0" w:space="0" w:color="auto"/>
        <w:left w:val="none" w:sz="0" w:space="0" w:color="auto"/>
        <w:bottom w:val="none" w:sz="0" w:space="0" w:color="auto"/>
        <w:right w:val="none" w:sz="0" w:space="0" w:color="auto"/>
      </w:divBdr>
      <w:divsChild>
        <w:div w:id="1028263767">
          <w:marLeft w:val="0"/>
          <w:marRight w:val="0"/>
          <w:marTop w:val="0"/>
          <w:marBottom w:val="0"/>
          <w:divBdr>
            <w:top w:val="none" w:sz="0" w:space="0" w:color="auto"/>
            <w:left w:val="none" w:sz="0" w:space="0" w:color="auto"/>
            <w:bottom w:val="none" w:sz="0" w:space="0" w:color="auto"/>
            <w:right w:val="none" w:sz="0" w:space="0" w:color="auto"/>
          </w:divBdr>
        </w:div>
        <w:div w:id="1474982061">
          <w:marLeft w:val="0"/>
          <w:marRight w:val="0"/>
          <w:marTop w:val="0"/>
          <w:marBottom w:val="0"/>
          <w:divBdr>
            <w:top w:val="none" w:sz="0" w:space="0" w:color="auto"/>
            <w:left w:val="none" w:sz="0" w:space="0" w:color="auto"/>
            <w:bottom w:val="none" w:sz="0" w:space="0" w:color="auto"/>
            <w:right w:val="none" w:sz="0" w:space="0" w:color="auto"/>
          </w:divBdr>
        </w:div>
      </w:divsChild>
    </w:div>
    <w:div w:id="25043296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534914">
      <w:bodyDiv w:val="1"/>
      <w:marLeft w:val="0"/>
      <w:marRight w:val="0"/>
      <w:marTop w:val="0"/>
      <w:marBottom w:val="0"/>
      <w:divBdr>
        <w:top w:val="none" w:sz="0" w:space="0" w:color="auto"/>
        <w:left w:val="none" w:sz="0" w:space="0" w:color="auto"/>
        <w:bottom w:val="none" w:sz="0" w:space="0" w:color="auto"/>
        <w:right w:val="none" w:sz="0" w:space="0" w:color="auto"/>
      </w:divBdr>
    </w:div>
    <w:div w:id="279193489">
      <w:bodyDiv w:val="1"/>
      <w:marLeft w:val="0"/>
      <w:marRight w:val="0"/>
      <w:marTop w:val="0"/>
      <w:marBottom w:val="0"/>
      <w:divBdr>
        <w:top w:val="none" w:sz="0" w:space="0" w:color="auto"/>
        <w:left w:val="none" w:sz="0" w:space="0" w:color="auto"/>
        <w:bottom w:val="none" w:sz="0" w:space="0" w:color="auto"/>
        <w:right w:val="none" w:sz="0" w:space="0" w:color="auto"/>
      </w:divBdr>
    </w:div>
    <w:div w:id="289046326">
      <w:bodyDiv w:val="1"/>
      <w:marLeft w:val="0"/>
      <w:marRight w:val="0"/>
      <w:marTop w:val="0"/>
      <w:marBottom w:val="0"/>
      <w:divBdr>
        <w:top w:val="none" w:sz="0" w:space="0" w:color="auto"/>
        <w:left w:val="none" w:sz="0" w:space="0" w:color="auto"/>
        <w:bottom w:val="none" w:sz="0" w:space="0" w:color="auto"/>
        <w:right w:val="none" w:sz="0" w:space="0" w:color="auto"/>
      </w:divBdr>
    </w:div>
    <w:div w:id="305597398">
      <w:bodyDiv w:val="1"/>
      <w:marLeft w:val="0"/>
      <w:marRight w:val="0"/>
      <w:marTop w:val="0"/>
      <w:marBottom w:val="0"/>
      <w:divBdr>
        <w:top w:val="none" w:sz="0" w:space="0" w:color="auto"/>
        <w:left w:val="none" w:sz="0" w:space="0" w:color="auto"/>
        <w:bottom w:val="none" w:sz="0" w:space="0" w:color="auto"/>
        <w:right w:val="none" w:sz="0" w:space="0" w:color="auto"/>
      </w:divBdr>
    </w:div>
    <w:div w:id="326059884">
      <w:bodyDiv w:val="1"/>
      <w:marLeft w:val="0"/>
      <w:marRight w:val="0"/>
      <w:marTop w:val="0"/>
      <w:marBottom w:val="0"/>
      <w:divBdr>
        <w:top w:val="none" w:sz="0" w:space="0" w:color="auto"/>
        <w:left w:val="none" w:sz="0" w:space="0" w:color="auto"/>
        <w:bottom w:val="none" w:sz="0" w:space="0" w:color="auto"/>
        <w:right w:val="none" w:sz="0" w:space="0" w:color="auto"/>
      </w:divBdr>
    </w:div>
    <w:div w:id="33557283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651163">
      <w:bodyDiv w:val="1"/>
      <w:marLeft w:val="0"/>
      <w:marRight w:val="0"/>
      <w:marTop w:val="0"/>
      <w:marBottom w:val="0"/>
      <w:divBdr>
        <w:top w:val="none" w:sz="0" w:space="0" w:color="auto"/>
        <w:left w:val="none" w:sz="0" w:space="0" w:color="auto"/>
        <w:bottom w:val="none" w:sz="0" w:space="0" w:color="auto"/>
        <w:right w:val="none" w:sz="0" w:space="0" w:color="auto"/>
      </w:divBdr>
    </w:div>
    <w:div w:id="378942961">
      <w:bodyDiv w:val="1"/>
      <w:marLeft w:val="0"/>
      <w:marRight w:val="0"/>
      <w:marTop w:val="0"/>
      <w:marBottom w:val="0"/>
      <w:divBdr>
        <w:top w:val="none" w:sz="0" w:space="0" w:color="auto"/>
        <w:left w:val="none" w:sz="0" w:space="0" w:color="auto"/>
        <w:bottom w:val="none" w:sz="0" w:space="0" w:color="auto"/>
        <w:right w:val="none" w:sz="0" w:space="0" w:color="auto"/>
      </w:divBdr>
    </w:div>
    <w:div w:id="423261889">
      <w:bodyDiv w:val="1"/>
      <w:marLeft w:val="0"/>
      <w:marRight w:val="0"/>
      <w:marTop w:val="0"/>
      <w:marBottom w:val="0"/>
      <w:divBdr>
        <w:top w:val="none" w:sz="0" w:space="0" w:color="auto"/>
        <w:left w:val="none" w:sz="0" w:space="0" w:color="auto"/>
        <w:bottom w:val="none" w:sz="0" w:space="0" w:color="auto"/>
        <w:right w:val="none" w:sz="0" w:space="0" w:color="auto"/>
      </w:divBdr>
    </w:div>
    <w:div w:id="426771576">
      <w:bodyDiv w:val="1"/>
      <w:marLeft w:val="0"/>
      <w:marRight w:val="0"/>
      <w:marTop w:val="0"/>
      <w:marBottom w:val="0"/>
      <w:divBdr>
        <w:top w:val="none" w:sz="0" w:space="0" w:color="auto"/>
        <w:left w:val="none" w:sz="0" w:space="0" w:color="auto"/>
        <w:bottom w:val="none" w:sz="0" w:space="0" w:color="auto"/>
        <w:right w:val="none" w:sz="0" w:space="0" w:color="auto"/>
      </w:divBdr>
    </w:div>
    <w:div w:id="436098158">
      <w:bodyDiv w:val="1"/>
      <w:marLeft w:val="0"/>
      <w:marRight w:val="0"/>
      <w:marTop w:val="0"/>
      <w:marBottom w:val="0"/>
      <w:divBdr>
        <w:top w:val="none" w:sz="0" w:space="0" w:color="auto"/>
        <w:left w:val="none" w:sz="0" w:space="0" w:color="auto"/>
        <w:bottom w:val="none" w:sz="0" w:space="0" w:color="auto"/>
        <w:right w:val="none" w:sz="0" w:space="0" w:color="auto"/>
      </w:divBdr>
    </w:div>
    <w:div w:id="450635168">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0371191">
      <w:bodyDiv w:val="1"/>
      <w:marLeft w:val="0"/>
      <w:marRight w:val="0"/>
      <w:marTop w:val="0"/>
      <w:marBottom w:val="0"/>
      <w:divBdr>
        <w:top w:val="none" w:sz="0" w:space="0" w:color="auto"/>
        <w:left w:val="none" w:sz="0" w:space="0" w:color="auto"/>
        <w:bottom w:val="none" w:sz="0" w:space="0" w:color="auto"/>
        <w:right w:val="none" w:sz="0" w:space="0" w:color="auto"/>
      </w:divBdr>
    </w:div>
    <w:div w:id="499586529">
      <w:bodyDiv w:val="1"/>
      <w:marLeft w:val="0"/>
      <w:marRight w:val="0"/>
      <w:marTop w:val="0"/>
      <w:marBottom w:val="0"/>
      <w:divBdr>
        <w:top w:val="none" w:sz="0" w:space="0" w:color="auto"/>
        <w:left w:val="none" w:sz="0" w:space="0" w:color="auto"/>
        <w:bottom w:val="none" w:sz="0" w:space="0" w:color="auto"/>
        <w:right w:val="none" w:sz="0" w:space="0" w:color="auto"/>
      </w:divBdr>
      <w:divsChild>
        <w:div w:id="825901689">
          <w:marLeft w:val="0"/>
          <w:marRight w:val="75"/>
          <w:marTop w:val="0"/>
          <w:marBottom w:val="0"/>
          <w:divBdr>
            <w:top w:val="none" w:sz="0" w:space="0" w:color="auto"/>
            <w:left w:val="none" w:sz="0" w:space="0" w:color="auto"/>
            <w:bottom w:val="none" w:sz="0" w:space="0" w:color="auto"/>
            <w:right w:val="none" w:sz="0" w:space="0" w:color="auto"/>
          </w:divBdr>
        </w:div>
      </w:divsChild>
    </w:div>
    <w:div w:id="526331101">
      <w:bodyDiv w:val="1"/>
      <w:marLeft w:val="0"/>
      <w:marRight w:val="0"/>
      <w:marTop w:val="0"/>
      <w:marBottom w:val="0"/>
      <w:divBdr>
        <w:top w:val="none" w:sz="0" w:space="0" w:color="auto"/>
        <w:left w:val="none" w:sz="0" w:space="0" w:color="auto"/>
        <w:bottom w:val="none" w:sz="0" w:space="0" w:color="auto"/>
        <w:right w:val="none" w:sz="0" w:space="0" w:color="auto"/>
      </w:divBdr>
    </w:div>
    <w:div w:id="535430692">
      <w:bodyDiv w:val="1"/>
      <w:marLeft w:val="0"/>
      <w:marRight w:val="0"/>
      <w:marTop w:val="0"/>
      <w:marBottom w:val="0"/>
      <w:divBdr>
        <w:top w:val="none" w:sz="0" w:space="0" w:color="auto"/>
        <w:left w:val="none" w:sz="0" w:space="0" w:color="auto"/>
        <w:bottom w:val="none" w:sz="0" w:space="0" w:color="auto"/>
        <w:right w:val="none" w:sz="0" w:space="0" w:color="auto"/>
      </w:divBdr>
    </w:div>
    <w:div w:id="582837593">
      <w:bodyDiv w:val="1"/>
      <w:marLeft w:val="0"/>
      <w:marRight w:val="0"/>
      <w:marTop w:val="0"/>
      <w:marBottom w:val="0"/>
      <w:divBdr>
        <w:top w:val="none" w:sz="0" w:space="0" w:color="auto"/>
        <w:left w:val="none" w:sz="0" w:space="0" w:color="auto"/>
        <w:bottom w:val="none" w:sz="0" w:space="0" w:color="auto"/>
        <w:right w:val="none" w:sz="0" w:space="0" w:color="auto"/>
      </w:divBdr>
    </w:div>
    <w:div w:id="590965473">
      <w:bodyDiv w:val="1"/>
      <w:marLeft w:val="0"/>
      <w:marRight w:val="0"/>
      <w:marTop w:val="0"/>
      <w:marBottom w:val="0"/>
      <w:divBdr>
        <w:top w:val="none" w:sz="0" w:space="0" w:color="auto"/>
        <w:left w:val="none" w:sz="0" w:space="0" w:color="auto"/>
        <w:bottom w:val="none" w:sz="0" w:space="0" w:color="auto"/>
        <w:right w:val="none" w:sz="0" w:space="0" w:color="auto"/>
      </w:divBdr>
    </w:div>
    <w:div w:id="645746175">
      <w:bodyDiv w:val="1"/>
      <w:marLeft w:val="0"/>
      <w:marRight w:val="0"/>
      <w:marTop w:val="0"/>
      <w:marBottom w:val="0"/>
      <w:divBdr>
        <w:top w:val="none" w:sz="0" w:space="0" w:color="auto"/>
        <w:left w:val="none" w:sz="0" w:space="0" w:color="auto"/>
        <w:bottom w:val="none" w:sz="0" w:space="0" w:color="auto"/>
        <w:right w:val="none" w:sz="0" w:space="0" w:color="auto"/>
      </w:divBdr>
    </w:div>
    <w:div w:id="661663100">
      <w:bodyDiv w:val="1"/>
      <w:marLeft w:val="0"/>
      <w:marRight w:val="0"/>
      <w:marTop w:val="0"/>
      <w:marBottom w:val="0"/>
      <w:divBdr>
        <w:top w:val="none" w:sz="0" w:space="0" w:color="auto"/>
        <w:left w:val="none" w:sz="0" w:space="0" w:color="auto"/>
        <w:bottom w:val="none" w:sz="0" w:space="0" w:color="auto"/>
        <w:right w:val="none" w:sz="0" w:space="0" w:color="auto"/>
      </w:divBdr>
    </w:div>
    <w:div w:id="665321603">
      <w:bodyDiv w:val="1"/>
      <w:marLeft w:val="0"/>
      <w:marRight w:val="0"/>
      <w:marTop w:val="0"/>
      <w:marBottom w:val="0"/>
      <w:divBdr>
        <w:top w:val="none" w:sz="0" w:space="0" w:color="auto"/>
        <w:left w:val="none" w:sz="0" w:space="0" w:color="auto"/>
        <w:bottom w:val="none" w:sz="0" w:space="0" w:color="auto"/>
        <w:right w:val="none" w:sz="0" w:space="0" w:color="auto"/>
      </w:divBdr>
    </w:div>
    <w:div w:id="707724484">
      <w:bodyDiv w:val="1"/>
      <w:marLeft w:val="0"/>
      <w:marRight w:val="0"/>
      <w:marTop w:val="0"/>
      <w:marBottom w:val="0"/>
      <w:divBdr>
        <w:top w:val="none" w:sz="0" w:space="0" w:color="auto"/>
        <w:left w:val="none" w:sz="0" w:space="0" w:color="auto"/>
        <w:bottom w:val="none" w:sz="0" w:space="0" w:color="auto"/>
        <w:right w:val="none" w:sz="0" w:space="0" w:color="auto"/>
      </w:divBdr>
    </w:div>
    <w:div w:id="738866760">
      <w:bodyDiv w:val="1"/>
      <w:marLeft w:val="0"/>
      <w:marRight w:val="0"/>
      <w:marTop w:val="0"/>
      <w:marBottom w:val="0"/>
      <w:divBdr>
        <w:top w:val="none" w:sz="0" w:space="0" w:color="auto"/>
        <w:left w:val="none" w:sz="0" w:space="0" w:color="auto"/>
        <w:bottom w:val="none" w:sz="0" w:space="0" w:color="auto"/>
        <w:right w:val="none" w:sz="0" w:space="0" w:color="auto"/>
      </w:divBdr>
    </w:div>
    <w:div w:id="750007120">
      <w:bodyDiv w:val="1"/>
      <w:marLeft w:val="0"/>
      <w:marRight w:val="0"/>
      <w:marTop w:val="0"/>
      <w:marBottom w:val="0"/>
      <w:divBdr>
        <w:top w:val="none" w:sz="0" w:space="0" w:color="auto"/>
        <w:left w:val="none" w:sz="0" w:space="0" w:color="auto"/>
        <w:bottom w:val="none" w:sz="0" w:space="0" w:color="auto"/>
        <w:right w:val="none" w:sz="0" w:space="0" w:color="auto"/>
      </w:divBdr>
    </w:div>
    <w:div w:id="750810303">
      <w:bodyDiv w:val="1"/>
      <w:marLeft w:val="0"/>
      <w:marRight w:val="0"/>
      <w:marTop w:val="0"/>
      <w:marBottom w:val="0"/>
      <w:divBdr>
        <w:top w:val="none" w:sz="0" w:space="0" w:color="auto"/>
        <w:left w:val="none" w:sz="0" w:space="0" w:color="auto"/>
        <w:bottom w:val="none" w:sz="0" w:space="0" w:color="auto"/>
        <w:right w:val="none" w:sz="0" w:space="0" w:color="auto"/>
      </w:divBdr>
    </w:div>
    <w:div w:id="754202762">
      <w:bodyDiv w:val="1"/>
      <w:marLeft w:val="0"/>
      <w:marRight w:val="0"/>
      <w:marTop w:val="0"/>
      <w:marBottom w:val="0"/>
      <w:divBdr>
        <w:top w:val="none" w:sz="0" w:space="0" w:color="auto"/>
        <w:left w:val="none" w:sz="0" w:space="0" w:color="auto"/>
        <w:bottom w:val="none" w:sz="0" w:space="0" w:color="auto"/>
        <w:right w:val="none" w:sz="0" w:space="0" w:color="auto"/>
      </w:divBdr>
    </w:div>
    <w:div w:id="754322856">
      <w:bodyDiv w:val="1"/>
      <w:marLeft w:val="0"/>
      <w:marRight w:val="0"/>
      <w:marTop w:val="0"/>
      <w:marBottom w:val="0"/>
      <w:divBdr>
        <w:top w:val="none" w:sz="0" w:space="0" w:color="auto"/>
        <w:left w:val="none" w:sz="0" w:space="0" w:color="auto"/>
        <w:bottom w:val="none" w:sz="0" w:space="0" w:color="auto"/>
        <w:right w:val="none" w:sz="0" w:space="0" w:color="auto"/>
      </w:divBdr>
    </w:div>
    <w:div w:id="764763686">
      <w:bodyDiv w:val="1"/>
      <w:marLeft w:val="0"/>
      <w:marRight w:val="0"/>
      <w:marTop w:val="0"/>
      <w:marBottom w:val="0"/>
      <w:divBdr>
        <w:top w:val="none" w:sz="0" w:space="0" w:color="auto"/>
        <w:left w:val="none" w:sz="0" w:space="0" w:color="auto"/>
        <w:bottom w:val="none" w:sz="0" w:space="0" w:color="auto"/>
        <w:right w:val="none" w:sz="0" w:space="0" w:color="auto"/>
      </w:divBdr>
    </w:div>
    <w:div w:id="769013639">
      <w:bodyDiv w:val="1"/>
      <w:marLeft w:val="0"/>
      <w:marRight w:val="0"/>
      <w:marTop w:val="0"/>
      <w:marBottom w:val="0"/>
      <w:divBdr>
        <w:top w:val="none" w:sz="0" w:space="0" w:color="auto"/>
        <w:left w:val="none" w:sz="0" w:space="0" w:color="auto"/>
        <w:bottom w:val="none" w:sz="0" w:space="0" w:color="auto"/>
        <w:right w:val="none" w:sz="0" w:space="0" w:color="auto"/>
      </w:divBdr>
    </w:div>
    <w:div w:id="770128805">
      <w:bodyDiv w:val="1"/>
      <w:marLeft w:val="0"/>
      <w:marRight w:val="0"/>
      <w:marTop w:val="0"/>
      <w:marBottom w:val="0"/>
      <w:divBdr>
        <w:top w:val="none" w:sz="0" w:space="0" w:color="auto"/>
        <w:left w:val="none" w:sz="0" w:space="0" w:color="auto"/>
        <w:bottom w:val="none" w:sz="0" w:space="0" w:color="auto"/>
        <w:right w:val="none" w:sz="0" w:space="0" w:color="auto"/>
      </w:divBdr>
    </w:div>
    <w:div w:id="772702129">
      <w:bodyDiv w:val="1"/>
      <w:marLeft w:val="0"/>
      <w:marRight w:val="0"/>
      <w:marTop w:val="0"/>
      <w:marBottom w:val="0"/>
      <w:divBdr>
        <w:top w:val="none" w:sz="0" w:space="0" w:color="auto"/>
        <w:left w:val="none" w:sz="0" w:space="0" w:color="auto"/>
        <w:bottom w:val="none" w:sz="0" w:space="0" w:color="auto"/>
        <w:right w:val="none" w:sz="0" w:space="0" w:color="auto"/>
      </w:divBdr>
    </w:div>
    <w:div w:id="783698482">
      <w:bodyDiv w:val="1"/>
      <w:marLeft w:val="0"/>
      <w:marRight w:val="0"/>
      <w:marTop w:val="0"/>
      <w:marBottom w:val="0"/>
      <w:divBdr>
        <w:top w:val="none" w:sz="0" w:space="0" w:color="auto"/>
        <w:left w:val="none" w:sz="0" w:space="0" w:color="auto"/>
        <w:bottom w:val="none" w:sz="0" w:space="0" w:color="auto"/>
        <w:right w:val="none" w:sz="0" w:space="0" w:color="auto"/>
      </w:divBdr>
    </w:div>
    <w:div w:id="790317401">
      <w:bodyDiv w:val="1"/>
      <w:marLeft w:val="0"/>
      <w:marRight w:val="0"/>
      <w:marTop w:val="0"/>
      <w:marBottom w:val="0"/>
      <w:divBdr>
        <w:top w:val="none" w:sz="0" w:space="0" w:color="auto"/>
        <w:left w:val="none" w:sz="0" w:space="0" w:color="auto"/>
        <w:bottom w:val="none" w:sz="0" w:space="0" w:color="auto"/>
        <w:right w:val="none" w:sz="0" w:space="0" w:color="auto"/>
      </w:divBdr>
    </w:div>
    <w:div w:id="7934479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6243555">
      <w:bodyDiv w:val="1"/>
      <w:marLeft w:val="0"/>
      <w:marRight w:val="0"/>
      <w:marTop w:val="0"/>
      <w:marBottom w:val="0"/>
      <w:divBdr>
        <w:top w:val="none" w:sz="0" w:space="0" w:color="auto"/>
        <w:left w:val="none" w:sz="0" w:space="0" w:color="auto"/>
        <w:bottom w:val="none" w:sz="0" w:space="0" w:color="auto"/>
        <w:right w:val="none" w:sz="0" w:space="0" w:color="auto"/>
      </w:divBdr>
    </w:div>
    <w:div w:id="851144766">
      <w:bodyDiv w:val="1"/>
      <w:marLeft w:val="0"/>
      <w:marRight w:val="0"/>
      <w:marTop w:val="0"/>
      <w:marBottom w:val="0"/>
      <w:divBdr>
        <w:top w:val="none" w:sz="0" w:space="0" w:color="auto"/>
        <w:left w:val="none" w:sz="0" w:space="0" w:color="auto"/>
        <w:bottom w:val="none" w:sz="0" w:space="0" w:color="auto"/>
        <w:right w:val="none" w:sz="0" w:space="0" w:color="auto"/>
      </w:divBdr>
    </w:div>
    <w:div w:id="865141006">
      <w:bodyDiv w:val="1"/>
      <w:marLeft w:val="0"/>
      <w:marRight w:val="0"/>
      <w:marTop w:val="0"/>
      <w:marBottom w:val="0"/>
      <w:divBdr>
        <w:top w:val="none" w:sz="0" w:space="0" w:color="auto"/>
        <w:left w:val="none" w:sz="0" w:space="0" w:color="auto"/>
        <w:bottom w:val="none" w:sz="0" w:space="0" w:color="auto"/>
        <w:right w:val="none" w:sz="0" w:space="0" w:color="auto"/>
      </w:divBdr>
    </w:div>
    <w:div w:id="870453756">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36402705">
      <w:bodyDiv w:val="1"/>
      <w:marLeft w:val="0"/>
      <w:marRight w:val="0"/>
      <w:marTop w:val="0"/>
      <w:marBottom w:val="0"/>
      <w:divBdr>
        <w:top w:val="none" w:sz="0" w:space="0" w:color="auto"/>
        <w:left w:val="none" w:sz="0" w:space="0" w:color="auto"/>
        <w:bottom w:val="none" w:sz="0" w:space="0" w:color="auto"/>
        <w:right w:val="none" w:sz="0" w:space="0" w:color="auto"/>
      </w:divBdr>
    </w:div>
    <w:div w:id="939485343">
      <w:bodyDiv w:val="1"/>
      <w:marLeft w:val="0"/>
      <w:marRight w:val="0"/>
      <w:marTop w:val="0"/>
      <w:marBottom w:val="0"/>
      <w:divBdr>
        <w:top w:val="none" w:sz="0" w:space="0" w:color="auto"/>
        <w:left w:val="none" w:sz="0" w:space="0" w:color="auto"/>
        <w:bottom w:val="none" w:sz="0" w:space="0" w:color="auto"/>
        <w:right w:val="none" w:sz="0" w:space="0" w:color="auto"/>
      </w:divBdr>
    </w:div>
    <w:div w:id="942765462">
      <w:bodyDiv w:val="1"/>
      <w:marLeft w:val="0"/>
      <w:marRight w:val="0"/>
      <w:marTop w:val="0"/>
      <w:marBottom w:val="0"/>
      <w:divBdr>
        <w:top w:val="none" w:sz="0" w:space="0" w:color="auto"/>
        <w:left w:val="none" w:sz="0" w:space="0" w:color="auto"/>
        <w:bottom w:val="none" w:sz="0" w:space="0" w:color="auto"/>
        <w:right w:val="none" w:sz="0" w:space="0" w:color="auto"/>
      </w:divBdr>
    </w:div>
    <w:div w:id="946237298">
      <w:bodyDiv w:val="1"/>
      <w:marLeft w:val="0"/>
      <w:marRight w:val="0"/>
      <w:marTop w:val="0"/>
      <w:marBottom w:val="0"/>
      <w:divBdr>
        <w:top w:val="none" w:sz="0" w:space="0" w:color="auto"/>
        <w:left w:val="none" w:sz="0" w:space="0" w:color="auto"/>
        <w:bottom w:val="none" w:sz="0" w:space="0" w:color="auto"/>
        <w:right w:val="none" w:sz="0" w:space="0" w:color="auto"/>
      </w:divBdr>
    </w:div>
    <w:div w:id="983049112">
      <w:bodyDiv w:val="1"/>
      <w:marLeft w:val="0"/>
      <w:marRight w:val="0"/>
      <w:marTop w:val="0"/>
      <w:marBottom w:val="0"/>
      <w:divBdr>
        <w:top w:val="none" w:sz="0" w:space="0" w:color="auto"/>
        <w:left w:val="none" w:sz="0" w:space="0" w:color="auto"/>
        <w:bottom w:val="none" w:sz="0" w:space="0" w:color="auto"/>
        <w:right w:val="none" w:sz="0" w:space="0" w:color="auto"/>
      </w:divBdr>
    </w:div>
    <w:div w:id="1022170378">
      <w:bodyDiv w:val="1"/>
      <w:marLeft w:val="0"/>
      <w:marRight w:val="0"/>
      <w:marTop w:val="0"/>
      <w:marBottom w:val="0"/>
      <w:divBdr>
        <w:top w:val="none" w:sz="0" w:space="0" w:color="auto"/>
        <w:left w:val="none" w:sz="0" w:space="0" w:color="auto"/>
        <w:bottom w:val="none" w:sz="0" w:space="0" w:color="auto"/>
        <w:right w:val="none" w:sz="0" w:space="0" w:color="auto"/>
      </w:divBdr>
    </w:div>
    <w:div w:id="1023944542">
      <w:bodyDiv w:val="1"/>
      <w:marLeft w:val="0"/>
      <w:marRight w:val="0"/>
      <w:marTop w:val="0"/>
      <w:marBottom w:val="0"/>
      <w:divBdr>
        <w:top w:val="none" w:sz="0" w:space="0" w:color="auto"/>
        <w:left w:val="none" w:sz="0" w:space="0" w:color="auto"/>
        <w:bottom w:val="none" w:sz="0" w:space="0" w:color="auto"/>
        <w:right w:val="none" w:sz="0" w:space="0" w:color="auto"/>
      </w:divBdr>
    </w:div>
    <w:div w:id="1026247849">
      <w:bodyDiv w:val="1"/>
      <w:marLeft w:val="0"/>
      <w:marRight w:val="0"/>
      <w:marTop w:val="0"/>
      <w:marBottom w:val="0"/>
      <w:divBdr>
        <w:top w:val="none" w:sz="0" w:space="0" w:color="auto"/>
        <w:left w:val="none" w:sz="0" w:space="0" w:color="auto"/>
        <w:bottom w:val="none" w:sz="0" w:space="0" w:color="auto"/>
        <w:right w:val="none" w:sz="0" w:space="0" w:color="auto"/>
      </w:divBdr>
    </w:div>
    <w:div w:id="1049912459">
      <w:bodyDiv w:val="1"/>
      <w:marLeft w:val="0"/>
      <w:marRight w:val="0"/>
      <w:marTop w:val="0"/>
      <w:marBottom w:val="0"/>
      <w:divBdr>
        <w:top w:val="none" w:sz="0" w:space="0" w:color="auto"/>
        <w:left w:val="none" w:sz="0" w:space="0" w:color="auto"/>
        <w:bottom w:val="none" w:sz="0" w:space="0" w:color="auto"/>
        <w:right w:val="none" w:sz="0" w:space="0" w:color="auto"/>
      </w:divBdr>
    </w:div>
    <w:div w:id="1070883048">
      <w:bodyDiv w:val="1"/>
      <w:marLeft w:val="0"/>
      <w:marRight w:val="0"/>
      <w:marTop w:val="0"/>
      <w:marBottom w:val="0"/>
      <w:divBdr>
        <w:top w:val="none" w:sz="0" w:space="0" w:color="auto"/>
        <w:left w:val="none" w:sz="0" w:space="0" w:color="auto"/>
        <w:bottom w:val="none" w:sz="0" w:space="0" w:color="auto"/>
        <w:right w:val="none" w:sz="0" w:space="0" w:color="auto"/>
      </w:divBdr>
    </w:div>
    <w:div w:id="1077049191">
      <w:bodyDiv w:val="1"/>
      <w:marLeft w:val="0"/>
      <w:marRight w:val="0"/>
      <w:marTop w:val="0"/>
      <w:marBottom w:val="0"/>
      <w:divBdr>
        <w:top w:val="none" w:sz="0" w:space="0" w:color="auto"/>
        <w:left w:val="none" w:sz="0" w:space="0" w:color="auto"/>
        <w:bottom w:val="none" w:sz="0" w:space="0" w:color="auto"/>
        <w:right w:val="none" w:sz="0" w:space="0" w:color="auto"/>
      </w:divBdr>
    </w:div>
    <w:div w:id="1091510931">
      <w:bodyDiv w:val="1"/>
      <w:marLeft w:val="0"/>
      <w:marRight w:val="0"/>
      <w:marTop w:val="0"/>
      <w:marBottom w:val="0"/>
      <w:divBdr>
        <w:top w:val="none" w:sz="0" w:space="0" w:color="auto"/>
        <w:left w:val="none" w:sz="0" w:space="0" w:color="auto"/>
        <w:bottom w:val="none" w:sz="0" w:space="0" w:color="auto"/>
        <w:right w:val="none" w:sz="0" w:space="0" w:color="auto"/>
      </w:divBdr>
    </w:div>
    <w:div w:id="1097601345">
      <w:bodyDiv w:val="1"/>
      <w:marLeft w:val="0"/>
      <w:marRight w:val="0"/>
      <w:marTop w:val="0"/>
      <w:marBottom w:val="0"/>
      <w:divBdr>
        <w:top w:val="none" w:sz="0" w:space="0" w:color="auto"/>
        <w:left w:val="none" w:sz="0" w:space="0" w:color="auto"/>
        <w:bottom w:val="none" w:sz="0" w:space="0" w:color="auto"/>
        <w:right w:val="none" w:sz="0" w:space="0" w:color="auto"/>
      </w:divBdr>
    </w:div>
    <w:div w:id="10978709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49321738">
      <w:bodyDiv w:val="1"/>
      <w:marLeft w:val="0"/>
      <w:marRight w:val="0"/>
      <w:marTop w:val="0"/>
      <w:marBottom w:val="0"/>
      <w:divBdr>
        <w:top w:val="none" w:sz="0" w:space="0" w:color="auto"/>
        <w:left w:val="none" w:sz="0" w:space="0" w:color="auto"/>
        <w:bottom w:val="none" w:sz="0" w:space="0" w:color="auto"/>
        <w:right w:val="none" w:sz="0" w:space="0" w:color="auto"/>
      </w:divBdr>
    </w:div>
    <w:div w:id="1152673825">
      <w:bodyDiv w:val="1"/>
      <w:marLeft w:val="0"/>
      <w:marRight w:val="0"/>
      <w:marTop w:val="0"/>
      <w:marBottom w:val="0"/>
      <w:divBdr>
        <w:top w:val="none" w:sz="0" w:space="0" w:color="auto"/>
        <w:left w:val="none" w:sz="0" w:space="0" w:color="auto"/>
        <w:bottom w:val="none" w:sz="0" w:space="0" w:color="auto"/>
        <w:right w:val="none" w:sz="0" w:space="0" w:color="auto"/>
      </w:divBdr>
    </w:div>
    <w:div w:id="1158307593">
      <w:bodyDiv w:val="1"/>
      <w:marLeft w:val="0"/>
      <w:marRight w:val="0"/>
      <w:marTop w:val="0"/>
      <w:marBottom w:val="0"/>
      <w:divBdr>
        <w:top w:val="none" w:sz="0" w:space="0" w:color="auto"/>
        <w:left w:val="none" w:sz="0" w:space="0" w:color="auto"/>
        <w:bottom w:val="none" w:sz="0" w:space="0" w:color="auto"/>
        <w:right w:val="none" w:sz="0" w:space="0" w:color="auto"/>
      </w:divBdr>
    </w:div>
    <w:div w:id="1158881899">
      <w:bodyDiv w:val="1"/>
      <w:marLeft w:val="0"/>
      <w:marRight w:val="0"/>
      <w:marTop w:val="0"/>
      <w:marBottom w:val="0"/>
      <w:divBdr>
        <w:top w:val="none" w:sz="0" w:space="0" w:color="auto"/>
        <w:left w:val="none" w:sz="0" w:space="0" w:color="auto"/>
        <w:bottom w:val="none" w:sz="0" w:space="0" w:color="auto"/>
        <w:right w:val="none" w:sz="0" w:space="0" w:color="auto"/>
      </w:divBdr>
    </w:div>
    <w:div w:id="116439625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76074654">
      <w:bodyDiv w:val="1"/>
      <w:marLeft w:val="0"/>
      <w:marRight w:val="0"/>
      <w:marTop w:val="0"/>
      <w:marBottom w:val="0"/>
      <w:divBdr>
        <w:top w:val="none" w:sz="0" w:space="0" w:color="auto"/>
        <w:left w:val="none" w:sz="0" w:space="0" w:color="auto"/>
        <w:bottom w:val="none" w:sz="0" w:space="0" w:color="auto"/>
        <w:right w:val="none" w:sz="0" w:space="0" w:color="auto"/>
      </w:divBdr>
    </w:div>
    <w:div w:id="1218512159">
      <w:bodyDiv w:val="1"/>
      <w:marLeft w:val="0"/>
      <w:marRight w:val="0"/>
      <w:marTop w:val="0"/>
      <w:marBottom w:val="0"/>
      <w:divBdr>
        <w:top w:val="none" w:sz="0" w:space="0" w:color="auto"/>
        <w:left w:val="none" w:sz="0" w:space="0" w:color="auto"/>
        <w:bottom w:val="none" w:sz="0" w:space="0" w:color="auto"/>
        <w:right w:val="none" w:sz="0" w:space="0" w:color="auto"/>
      </w:divBdr>
    </w:div>
    <w:div w:id="1221016464">
      <w:bodyDiv w:val="1"/>
      <w:marLeft w:val="0"/>
      <w:marRight w:val="0"/>
      <w:marTop w:val="0"/>
      <w:marBottom w:val="0"/>
      <w:divBdr>
        <w:top w:val="none" w:sz="0" w:space="0" w:color="auto"/>
        <w:left w:val="none" w:sz="0" w:space="0" w:color="auto"/>
        <w:bottom w:val="none" w:sz="0" w:space="0" w:color="auto"/>
        <w:right w:val="none" w:sz="0" w:space="0" w:color="auto"/>
      </w:divBdr>
    </w:div>
    <w:div w:id="1223255129">
      <w:bodyDiv w:val="1"/>
      <w:marLeft w:val="0"/>
      <w:marRight w:val="0"/>
      <w:marTop w:val="0"/>
      <w:marBottom w:val="0"/>
      <w:divBdr>
        <w:top w:val="none" w:sz="0" w:space="0" w:color="auto"/>
        <w:left w:val="none" w:sz="0" w:space="0" w:color="auto"/>
        <w:bottom w:val="none" w:sz="0" w:space="0" w:color="auto"/>
        <w:right w:val="none" w:sz="0" w:space="0" w:color="auto"/>
      </w:divBdr>
    </w:div>
    <w:div w:id="1278176752">
      <w:bodyDiv w:val="1"/>
      <w:marLeft w:val="0"/>
      <w:marRight w:val="0"/>
      <w:marTop w:val="0"/>
      <w:marBottom w:val="0"/>
      <w:divBdr>
        <w:top w:val="none" w:sz="0" w:space="0" w:color="auto"/>
        <w:left w:val="none" w:sz="0" w:space="0" w:color="auto"/>
        <w:bottom w:val="none" w:sz="0" w:space="0" w:color="auto"/>
        <w:right w:val="none" w:sz="0" w:space="0" w:color="auto"/>
      </w:divBdr>
    </w:div>
    <w:div w:id="1280332136">
      <w:bodyDiv w:val="1"/>
      <w:marLeft w:val="0"/>
      <w:marRight w:val="0"/>
      <w:marTop w:val="0"/>
      <w:marBottom w:val="0"/>
      <w:divBdr>
        <w:top w:val="none" w:sz="0" w:space="0" w:color="auto"/>
        <w:left w:val="none" w:sz="0" w:space="0" w:color="auto"/>
        <w:bottom w:val="none" w:sz="0" w:space="0" w:color="auto"/>
        <w:right w:val="none" w:sz="0" w:space="0" w:color="auto"/>
      </w:divBdr>
    </w:div>
    <w:div w:id="1280525112">
      <w:bodyDiv w:val="1"/>
      <w:marLeft w:val="0"/>
      <w:marRight w:val="0"/>
      <w:marTop w:val="0"/>
      <w:marBottom w:val="0"/>
      <w:divBdr>
        <w:top w:val="none" w:sz="0" w:space="0" w:color="auto"/>
        <w:left w:val="none" w:sz="0" w:space="0" w:color="auto"/>
        <w:bottom w:val="none" w:sz="0" w:space="0" w:color="auto"/>
        <w:right w:val="none" w:sz="0" w:space="0" w:color="auto"/>
      </w:divBdr>
    </w:div>
    <w:div w:id="12840702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1303019">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4067156">
      <w:bodyDiv w:val="1"/>
      <w:marLeft w:val="0"/>
      <w:marRight w:val="0"/>
      <w:marTop w:val="0"/>
      <w:marBottom w:val="0"/>
      <w:divBdr>
        <w:top w:val="none" w:sz="0" w:space="0" w:color="auto"/>
        <w:left w:val="none" w:sz="0" w:space="0" w:color="auto"/>
        <w:bottom w:val="none" w:sz="0" w:space="0" w:color="auto"/>
        <w:right w:val="none" w:sz="0" w:space="0" w:color="auto"/>
      </w:divBdr>
    </w:div>
    <w:div w:id="1335303047">
      <w:bodyDiv w:val="1"/>
      <w:marLeft w:val="0"/>
      <w:marRight w:val="0"/>
      <w:marTop w:val="0"/>
      <w:marBottom w:val="0"/>
      <w:divBdr>
        <w:top w:val="none" w:sz="0" w:space="0" w:color="auto"/>
        <w:left w:val="none" w:sz="0" w:space="0" w:color="auto"/>
        <w:bottom w:val="none" w:sz="0" w:space="0" w:color="auto"/>
        <w:right w:val="none" w:sz="0" w:space="0" w:color="auto"/>
      </w:divBdr>
    </w:div>
    <w:div w:id="1337729269">
      <w:bodyDiv w:val="1"/>
      <w:marLeft w:val="0"/>
      <w:marRight w:val="0"/>
      <w:marTop w:val="0"/>
      <w:marBottom w:val="0"/>
      <w:divBdr>
        <w:top w:val="none" w:sz="0" w:space="0" w:color="auto"/>
        <w:left w:val="none" w:sz="0" w:space="0" w:color="auto"/>
        <w:bottom w:val="none" w:sz="0" w:space="0" w:color="auto"/>
        <w:right w:val="none" w:sz="0" w:space="0" w:color="auto"/>
      </w:divBdr>
    </w:div>
    <w:div w:id="1346244623">
      <w:bodyDiv w:val="1"/>
      <w:marLeft w:val="0"/>
      <w:marRight w:val="0"/>
      <w:marTop w:val="0"/>
      <w:marBottom w:val="0"/>
      <w:divBdr>
        <w:top w:val="none" w:sz="0" w:space="0" w:color="auto"/>
        <w:left w:val="none" w:sz="0" w:space="0" w:color="auto"/>
        <w:bottom w:val="none" w:sz="0" w:space="0" w:color="auto"/>
        <w:right w:val="none" w:sz="0" w:space="0" w:color="auto"/>
      </w:divBdr>
    </w:div>
    <w:div w:id="134748710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1371437">
      <w:bodyDiv w:val="1"/>
      <w:marLeft w:val="0"/>
      <w:marRight w:val="0"/>
      <w:marTop w:val="0"/>
      <w:marBottom w:val="0"/>
      <w:divBdr>
        <w:top w:val="none" w:sz="0" w:space="0" w:color="auto"/>
        <w:left w:val="none" w:sz="0" w:space="0" w:color="auto"/>
        <w:bottom w:val="none" w:sz="0" w:space="0" w:color="auto"/>
        <w:right w:val="none" w:sz="0" w:space="0" w:color="auto"/>
      </w:divBdr>
    </w:div>
    <w:div w:id="1381398232">
      <w:bodyDiv w:val="1"/>
      <w:marLeft w:val="0"/>
      <w:marRight w:val="0"/>
      <w:marTop w:val="0"/>
      <w:marBottom w:val="0"/>
      <w:divBdr>
        <w:top w:val="none" w:sz="0" w:space="0" w:color="auto"/>
        <w:left w:val="none" w:sz="0" w:space="0" w:color="auto"/>
        <w:bottom w:val="none" w:sz="0" w:space="0" w:color="auto"/>
        <w:right w:val="none" w:sz="0" w:space="0" w:color="auto"/>
      </w:divBdr>
    </w:div>
    <w:div w:id="1385643364">
      <w:bodyDiv w:val="1"/>
      <w:marLeft w:val="0"/>
      <w:marRight w:val="0"/>
      <w:marTop w:val="0"/>
      <w:marBottom w:val="0"/>
      <w:divBdr>
        <w:top w:val="none" w:sz="0" w:space="0" w:color="auto"/>
        <w:left w:val="none" w:sz="0" w:space="0" w:color="auto"/>
        <w:bottom w:val="none" w:sz="0" w:space="0" w:color="auto"/>
        <w:right w:val="none" w:sz="0" w:space="0" w:color="auto"/>
      </w:divBdr>
    </w:div>
    <w:div w:id="1399668195">
      <w:bodyDiv w:val="1"/>
      <w:marLeft w:val="0"/>
      <w:marRight w:val="0"/>
      <w:marTop w:val="0"/>
      <w:marBottom w:val="0"/>
      <w:divBdr>
        <w:top w:val="none" w:sz="0" w:space="0" w:color="auto"/>
        <w:left w:val="none" w:sz="0" w:space="0" w:color="auto"/>
        <w:bottom w:val="none" w:sz="0" w:space="0" w:color="auto"/>
        <w:right w:val="none" w:sz="0" w:space="0" w:color="auto"/>
      </w:divBdr>
    </w:div>
    <w:div w:id="1408649456">
      <w:bodyDiv w:val="1"/>
      <w:marLeft w:val="0"/>
      <w:marRight w:val="0"/>
      <w:marTop w:val="0"/>
      <w:marBottom w:val="0"/>
      <w:divBdr>
        <w:top w:val="none" w:sz="0" w:space="0" w:color="auto"/>
        <w:left w:val="none" w:sz="0" w:space="0" w:color="auto"/>
        <w:bottom w:val="none" w:sz="0" w:space="0" w:color="auto"/>
        <w:right w:val="none" w:sz="0" w:space="0" w:color="auto"/>
      </w:divBdr>
    </w:div>
    <w:div w:id="1420828254">
      <w:bodyDiv w:val="1"/>
      <w:marLeft w:val="0"/>
      <w:marRight w:val="0"/>
      <w:marTop w:val="0"/>
      <w:marBottom w:val="0"/>
      <w:divBdr>
        <w:top w:val="none" w:sz="0" w:space="0" w:color="auto"/>
        <w:left w:val="none" w:sz="0" w:space="0" w:color="auto"/>
        <w:bottom w:val="none" w:sz="0" w:space="0" w:color="auto"/>
        <w:right w:val="none" w:sz="0" w:space="0" w:color="auto"/>
      </w:divBdr>
    </w:div>
    <w:div w:id="1429426625">
      <w:bodyDiv w:val="1"/>
      <w:marLeft w:val="0"/>
      <w:marRight w:val="0"/>
      <w:marTop w:val="0"/>
      <w:marBottom w:val="0"/>
      <w:divBdr>
        <w:top w:val="none" w:sz="0" w:space="0" w:color="auto"/>
        <w:left w:val="none" w:sz="0" w:space="0" w:color="auto"/>
        <w:bottom w:val="none" w:sz="0" w:space="0" w:color="auto"/>
        <w:right w:val="none" w:sz="0" w:space="0" w:color="auto"/>
      </w:divBdr>
    </w:div>
    <w:div w:id="1445348182">
      <w:bodyDiv w:val="1"/>
      <w:marLeft w:val="0"/>
      <w:marRight w:val="0"/>
      <w:marTop w:val="0"/>
      <w:marBottom w:val="0"/>
      <w:divBdr>
        <w:top w:val="none" w:sz="0" w:space="0" w:color="auto"/>
        <w:left w:val="none" w:sz="0" w:space="0" w:color="auto"/>
        <w:bottom w:val="none" w:sz="0" w:space="0" w:color="auto"/>
        <w:right w:val="none" w:sz="0" w:space="0" w:color="auto"/>
      </w:divBdr>
    </w:div>
    <w:div w:id="1449009438">
      <w:bodyDiv w:val="1"/>
      <w:marLeft w:val="0"/>
      <w:marRight w:val="0"/>
      <w:marTop w:val="0"/>
      <w:marBottom w:val="0"/>
      <w:divBdr>
        <w:top w:val="none" w:sz="0" w:space="0" w:color="auto"/>
        <w:left w:val="none" w:sz="0" w:space="0" w:color="auto"/>
        <w:bottom w:val="none" w:sz="0" w:space="0" w:color="auto"/>
        <w:right w:val="none" w:sz="0" w:space="0" w:color="auto"/>
      </w:divBdr>
    </w:div>
    <w:div w:id="1459757712">
      <w:bodyDiv w:val="1"/>
      <w:marLeft w:val="0"/>
      <w:marRight w:val="0"/>
      <w:marTop w:val="0"/>
      <w:marBottom w:val="0"/>
      <w:divBdr>
        <w:top w:val="none" w:sz="0" w:space="0" w:color="auto"/>
        <w:left w:val="none" w:sz="0" w:space="0" w:color="auto"/>
        <w:bottom w:val="none" w:sz="0" w:space="0" w:color="auto"/>
        <w:right w:val="none" w:sz="0" w:space="0" w:color="auto"/>
      </w:divBdr>
    </w:div>
    <w:div w:id="1468204027">
      <w:bodyDiv w:val="1"/>
      <w:marLeft w:val="0"/>
      <w:marRight w:val="0"/>
      <w:marTop w:val="0"/>
      <w:marBottom w:val="0"/>
      <w:divBdr>
        <w:top w:val="none" w:sz="0" w:space="0" w:color="auto"/>
        <w:left w:val="none" w:sz="0" w:space="0" w:color="auto"/>
        <w:bottom w:val="none" w:sz="0" w:space="0" w:color="auto"/>
        <w:right w:val="none" w:sz="0" w:space="0" w:color="auto"/>
      </w:divBdr>
    </w:div>
    <w:div w:id="1503930162">
      <w:bodyDiv w:val="1"/>
      <w:marLeft w:val="0"/>
      <w:marRight w:val="0"/>
      <w:marTop w:val="0"/>
      <w:marBottom w:val="0"/>
      <w:divBdr>
        <w:top w:val="none" w:sz="0" w:space="0" w:color="auto"/>
        <w:left w:val="none" w:sz="0" w:space="0" w:color="auto"/>
        <w:bottom w:val="none" w:sz="0" w:space="0" w:color="auto"/>
        <w:right w:val="none" w:sz="0" w:space="0" w:color="auto"/>
      </w:divBdr>
    </w:div>
    <w:div w:id="1514490793">
      <w:bodyDiv w:val="1"/>
      <w:marLeft w:val="0"/>
      <w:marRight w:val="0"/>
      <w:marTop w:val="0"/>
      <w:marBottom w:val="0"/>
      <w:divBdr>
        <w:top w:val="none" w:sz="0" w:space="0" w:color="auto"/>
        <w:left w:val="none" w:sz="0" w:space="0" w:color="auto"/>
        <w:bottom w:val="none" w:sz="0" w:space="0" w:color="auto"/>
        <w:right w:val="none" w:sz="0" w:space="0" w:color="auto"/>
      </w:divBdr>
    </w:div>
    <w:div w:id="1516001151">
      <w:bodyDiv w:val="1"/>
      <w:marLeft w:val="0"/>
      <w:marRight w:val="0"/>
      <w:marTop w:val="0"/>
      <w:marBottom w:val="0"/>
      <w:divBdr>
        <w:top w:val="none" w:sz="0" w:space="0" w:color="auto"/>
        <w:left w:val="none" w:sz="0" w:space="0" w:color="auto"/>
        <w:bottom w:val="none" w:sz="0" w:space="0" w:color="auto"/>
        <w:right w:val="none" w:sz="0" w:space="0" w:color="auto"/>
      </w:divBdr>
    </w:div>
    <w:div w:id="1524006475">
      <w:bodyDiv w:val="1"/>
      <w:marLeft w:val="0"/>
      <w:marRight w:val="0"/>
      <w:marTop w:val="0"/>
      <w:marBottom w:val="0"/>
      <w:divBdr>
        <w:top w:val="none" w:sz="0" w:space="0" w:color="auto"/>
        <w:left w:val="none" w:sz="0" w:space="0" w:color="auto"/>
        <w:bottom w:val="none" w:sz="0" w:space="0" w:color="auto"/>
        <w:right w:val="none" w:sz="0" w:space="0" w:color="auto"/>
      </w:divBdr>
    </w:div>
    <w:div w:id="1552112941">
      <w:bodyDiv w:val="1"/>
      <w:marLeft w:val="0"/>
      <w:marRight w:val="0"/>
      <w:marTop w:val="0"/>
      <w:marBottom w:val="0"/>
      <w:divBdr>
        <w:top w:val="none" w:sz="0" w:space="0" w:color="auto"/>
        <w:left w:val="none" w:sz="0" w:space="0" w:color="auto"/>
        <w:bottom w:val="none" w:sz="0" w:space="0" w:color="auto"/>
        <w:right w:val="none" w:sz="0" w:space="0" w:color="auto"/>
      </w:divBdr>
    </w:div>
    <w:div w:id="1568953564">
      <w:bodyDiv w:val="1"/>
      <w:marLeft w:val="0"/>
      <w:marRight w:val="0"/>
      <w:marTop w:val="0"/>
      <w:marBottom w:val="0"/>
      <w:divBdr>
        <w:top w:val="none" w:sz="0" w:space="0" w:color="auto"/>
        <w:left w:val="none" w:sz="0" w:space="0" w:color="auto"/>
        <w:bottom w:val="none" w:sz="0" w:space="0" w:color="auto"/>
        <w:right w:val="none" w:sz="0" w:space="0" w:color="auto"/>
      </w:divBdr>
    </w:div>
    <w:div w:id="1577475816">
      <w:bodyDiv w:val="1"/>
      <w:marLeft w:val="0"/>
      <w:marRight w:val="0"/>
      <w:marTop w:val="0"/>
      <w:marBottom w:val="0"/>
      <w:divBdr>
        <w:top w:val="none" w:sz="0" w:space="0" w:color="auto"/>
        <w:left w:val="none" w:sz="0" w:space="0" w:color="auto"/>
        <w:bottom w:val="none" w:sz="0" w:space="0" w:color="auto"/>
        <w:right w:val="none" w:sz="0" w:space="0" w:color="auto"/>
      </w:divBdr>
    </w:div>
    <w:div w:id="1598127508">
      <w:bodyDiv w:val="1"/>
      <w:marLeft w:val="0"/>
      <w:marRight w:val="0"/>
      <w:marTop w:val="0"/>
      <w:marBottom w:val="0"/>
      <w:divBdr>
        <w:top w:val="none" w:sz="0" w:space="0" w:color="auto"/>
        <w:left w:val="none" w:sz="0" w:space="0" w:color="auto"/>
        <w:bottom w:val="none" w:sz="0" w:space="0" w:color="auto"/>
        <w:right w:val="none" w:sz="0" w:space="0" w:color="auto"/>
      </w:divBdr>
    </w:div>
    <w:div w:id="1598245854">
      <w:bodyDiv w:val="1"/>
      <w:marLeft w:val="0"/>
      <w:marRight w:val="0"/>
      <w:marTop w:val="0"/>
      <w:marBottom w:val="0"/>
      <w:divBdr>
        <w:top w:val="none" w:sz="0" w:space="0" w:color="auto"/>
        <w:left w:val="none" w:sz="0" w:space="0" w:color="auto"/>
        <w:bottom w:val="none" w:sz="0" w:space="0" w:color="auto"/>
        <w:right w:val="none" w:sz="0" w:space="0" w:color="auto"/>
      </w:divBdr>
    </w:div>
    <w:div w:id="1602299579">
      <w:bodyDiv w:val="1"/>
      <w:marLeft w:val="0"/>
      <w:marRight w:val="0"/>
      <w:marTop w:val="0"/>
      <w:marBottom w:val="0"/>
      <w:divBdr>
        <w:top w:val="none" w:sz="0" w:space="0" w:color="auto"/>
        <w:left w:val="none" w:sz="0" w:space="0" w:color="auto"/>
        <w:bottom w:val="none" w:sz="0" w:space="0" w:color="auto"/>
        <w:right w:val="none" w:sz="0" w:space="0" w:color="auto"/>
      </w:divBdr>
    </w:div>
    <w:div w:id="1607152910">
      <w:bodyDiv w:val="1"/>
      <w:marLeft w:val="0"/>
      <w:marRight w:val="0"/>
      <w:marTop w:val="0"/>
      <w:marBottom w:val="0"/>
      <w:divBdr>
        <w:top w:val="none" w:sz="0" w:space="0" w:color="auto"/>
        <w:left w:val="none" w:sz="0" w:space="0" w:color="auto"/>
        <w:bottom w:val="none" w:sz="0" w:space="0" w:color="auto"/>
        <w:right w:val="none" w:sz="0" w:space="0" w:color="auto"/>
      </w:divBdr>
    </w:div>
    <w:div w:id="1626034139">
      <w:bodyDiv w:val="1"/>
      <w:marLeft w:val="0"/>
      <w:marRight w:val="0"/>
      <w:marTop w:val="0"/>
      <w:marBottom w:val="0"/>
      <w:divBdr>
        <w:top w:val="none" w:sz="0" w:space="0" w:color="auto"/>
        <w:left w:val="none" w:sz="0" w:space="0" w:color="auto"/>
        <w:bottom w:val="none" w:sz="0" w:space="0" w:color="auto"/>
        <w:right w:val="none" w:sz="0" w:space="0" w:color="auto"/>
      </w:divBdr>
    </w:div>
    <w:div w:id="1634216546">
      <w:bodyDiv w:val="1"/>
      <w:marLeft w:val="0"/>
      <w:marRight w:val="0"/>
      <w:marTop w:val="0"/>
      <w:marBottom w:val="0"/>
      <w:divBdr>
        <w:top w:val="none" w:sz="0" w:space="0" w:color="auto"/>
        <w:left w:val="none" w:sz="0" w:space="0" w:color="auto"/>
        <w:bottom w:val="none" w:sz="0" w:space="0" w:color="auto"/>
        <w:right w:val="none" w:sz="0" w:space="0" w:color="auto"/>
      </w:divBdr>
    </w:div>
    <w:div w:id="1659455081">
      <w:bodyDiv w:val="1"/>
      <w:marLeft w:val="0"/>
      <w:marRight w:val="0"/>
      <w:marTop w:val="0"/>
      <w:marBottom w:val="0"/>
      <w:divBdr>
        <w:top w:val="none" w:sz="0" w:space="0" w:color="auto"/>
        <w:left w:val="none" w:sz="0" w:space="0" w:color="auto"/>
        <w:bottom w:val="none" w:sz="0" w:space="0" w:color="auto"/>
        <w:right w:val="none" w:sz="0" w:space="0" w:color="auto"/>
      </w:divBdr>
    </w:div>
    <w:div w:id="1680961357">
      <w:bodyDiv w:val="1"/>
      <w:marLeft w:val="0"/>
      <w:marRight w:val="0"/>
      <w:marTop w:val="0"/>
      <w:marBottom w:val="0"/>
      <w:divBdr>
        <w:top w:val="none" w:sz="0" w:space="0" w:color="auto"/>
        <w:left w:val="none" w:sz="0" w:space="0" w:color="auto"/>
        <w:bottom w:val="none" w:sz="0" w:space="0" w:color="auto"/>
        <w:right w:val="none" w:sz="0" w:space="0" w:color="auto"/>
      </w:divBdr>
    </w:div>
    <w:div w:id="1701739498">
      <w:bodyDiv w:val="1"/>
      <w:marLeft w:val="0"/>
      <w:marRight w:val="0"/>
      <w:marTop w:val="0"/>
      <w:marBottom w:val="0"/>
      <w:divBdr>
        <w:top w:val="none" w:sz="0" w:space="0" w:color="auto"/>
        <w:left w:val="none" w:sz="0" w:space="0" w:color="auto"/>
        <w:bottom w:val="none" w:sz="0" w:space="0" w:color="auto"/>
        <w:right w:val="none" w:sz="0" w:space="0" w:color="auto"/>
      </w:divBdr>
    </w:div>
    <w:div w:id="1730692061">
      <w:bodyDiv w:val="1"/>
      <w:marLeft w:val="0"/>
      <w:marRight w:val="0"/>
      <w:marTop w:val="0"/>
      <w:marBottom w:val="0"/>
      <w:divBdr>
        <w:top w:val="none" w:sz="0" w:space="0" w:color="auto"/>
        <w:left w:val="none" w:sz="0" w:space="0" w:color="auto"/>
        <w:bottom w:val="none" w:sz="0" w:space="0" w:color="auto"/>
        <w:right w:val="none" w:sz="0" w:space="0" w:color="auto"/>
      </w:divBdr>
    </w:div>
    <w:div w:id="1744720970">
      <w:bodyDiv w:val="1"/>
      <w:marLeft w:val="0"/>
      <w:marRight w:val="0"/>
      <w:marTop w:val="0"/>
      <w:marBottom w:val="0"/>
      <w:divBdr>
        <w:top w:val="none" w:sz="0" w:space="0" w:color="auto"/>
        <w:left w:val="none" w:sz="0" w:space="0" w:color="auto"/>
        <w:bottom w:val="none" w:sz="0" w:space="0" w:color="auto"/>
        <w:right w:val="none" w:sz="0" w:space="0" w:color="auto"/>
      </w:divBdr>
    </w:div>
    <w:div w:id="1752923297">
      <w:bodyDiv w:val="1"/>
      <w:marLeft w:val="0"/>
      <w:marRight w:val="0"/>
      <w:marTop w:val="0"/>
      <w:marBottom w:val="0"/>
      <w:divBdr>
        <w:top w:val="none" w:sz="0" w:space="0" w:color="auto"/>
        <w:left w:val="none" w:sz="0" w:space="0" w:color="auto"/>
        <w:bottom w:val="none" w:sz="0" w:space="0" w:color="auto"/>
        <w:right w:val="none" w:sz="0" w:space="0" w:color="auto"/>
      </w:divBdr>
    </w:div>
    <w:div w:id="1801413553">
      <w:bodyDiv w:val="1"/>
      <w:marLeft w:val="0"/>
      <w:marRight w:val="0"/>
      <w:marTop w:val="0"/>
      <w:marBottom w:val="0"/>
      <w:divBdr>
        <w:top w:val="none" w:sz="0" w:space="0" w:color="auto"/>
        <w:left w:val="none" w:sz="0" w:space="0" w:color="auto"/>
        <w:bottom w:val="none" w:sz="0" w:space="0" w:color="auto"/>
        <w:right w:val="none" w:sz="0" w:space="0" w:color="auto"/>
      </w:divBdr>
    </w:div>
    <w:div w:id="1802310316">
      <w:bodyDiv w:val="1"/>
      <w:marLeft w:val="0"/>
      <w:marRight w:val="0"/>
      <w:marTop w:val="0"/>
      <w:marBottom w:val="0"/>
      <w:divBdr>
        <w:top w:val="none" w:sz="0" w:space="0" w:color="auto"/>
        <w:left w:val="none" w:sz="0" w:space="0" w:color="auto"/>
        <w:bottom w:val="none" w:sz="0" w:space="0" w:color="auto"/>
        <w:right w:val="none" w:sz="0" w:space="0" w:color="auto"/>
      </w:divBdr>
    </w:div>
    <w:div w:id="1805194851">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09124971">
      <w:bodyDiv w:val="1"/>
      <w:marLeft w:val="0"/>
      <w:marRight w:val="0"/>
      <w:marTop w:val="0"/>
      <w:marBottom w:val="0"/>
      <w:divBdr>
        <w:top w:val="none" w:sz="0" w:space="0" w:color="auto"/>
        <w:left w:val="none" w:sz="0" w:space="0" w:color="auto"/>
        <w:bottom w:val="none" w:sz="0" w:space="0" w:color="auto"/>
        <w:right w:val="none" w:sz="0" w:space="0" w:color="auto"/>
      </w:divBdr>
    </w:div>
    <w:div w:id="1815953319">
      <w:bodyDiv w:val="1"/>
      <w:marLeft w:val="0"/>
      <w:marRight w:val="0"/>
      <w:marTop w:val="0"/>
      <w:marBottom w:val="0"/>
      <w:divBdr>
        <w:top w:val="none" w:sz="0" w:space="0" w:color="auto"/>
        <w:left w:val="none" w:sz="0" w:space="0" w:color="auto"/>
        <w:bottom w:val="none" w:sz="0" w:space="0" w:color="auto"/>
        <w:right w:val="none" w:sz="0" w:space="0" w:color="auto"/>
      </w:divBdr>
    </w:div>
    <w:div w:id="1851948703">
      <w:bodyDiv w:val="1"/>
      <w:marLeft w:val="0"/>
      <w:marRight w:val="0"/>
      <w:marTop w:val="0"/>
      <w:marBottom w:val="0"/>
      <w:divBdr>
        <w:top w:val="none" w:sz="0" w:space="0" w:color="auto"/>
        <w:left w:val="none" w:sz="0" w:space="0" w:color="auto"/>
        <w:bottom w:val="none" w:sz="0" w:space="0" w:color="auto"/>
        <w:right w:val="none" w:sz="0" w:space="0" w:color="auto"/>
      </w:divBdr>
    </w:div>
    <w:div w:id="1885217237">
      <w:bodyDiv w:val="1"/>
      <w:marLeft w:val="0"/>
      <w:marRight w:val="0"/>
      <w:marTop w:val="0"/>
      <w:marBottom w:val="0"/>
      <w:divBdr>
        <w:top w:val="none" w:sz="0" w:space="0" w:color="auto"/>
        <w:left w:val="none" w:sz="0" w:space="0" w:color="auto"/>
        <w:bottom w:val="none" w:sz="0" w:space="0" w:color="auto"/>
        <w:right w:val="none" w:sz="0" w:space="0" w:color="auto"/>
      </w:divBdr>
    </w:div>
    <w:div w:id="1889877797">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9004649">
      <w:bodyDiv w:val="1"/>
      <w:marLeft w:val="0"/>
      <w:marRight w:val="0"/>
      <w:marTop w:val="0"/>
      <w:marBottom w:val="0"/>
      <w:divBdr>
        <w:top w:val="none" w:sz="0" w:space="0" w:color="auto"/>
        <w:left w:val="none" w:sz="0" w:space="0" w:color="auto"/>
        <w:bottom w:val="none" w:sz="0" w:space="0" w:color="auto"/>
        <w:right w:val="none" w:sz="0" w:space="0" w:color="auto"/>
      </w:divBdr>
    </w:div>
    <w:div w:id="1951859811">
      <w:bodyDiv w:val="1"/>
      <w:marLeft w:val="0"/>
      <w:marRight w:val="0"/>
      <w:marTop w:val="0"/>
      <w:marBottom w:val="0"/>
      <w:divBdr>
        <w:top w:val="none" w:sz="0" w:space="0" w:color="auto"/>
        <w:left w:val="none" w:sz="0" w:space="0" w:color="auto"/>
        <w:bottom w:val="none" w:sz="0" w:space="0" w:color="auto"/>
        <w:right w:val="none" w:sz="0" w:space="0" w:color="auto"/>
      </w:divBdr>
    </w:div>
    <w:div w:id="1962877547">
      <w:bodyDiv w:val="1"/>
      <w:marLeft w:val="0"/>
      <w:marRight w:val="0"/>
      <w:marTop w:val="0"/>
      <w:marBottom w:val="0"/>
      <w:divBdr>
        <w:top w:val="none" w:sz="0" w:space="0" w:color="auto"/>
        <w:left w:val="none" w:sz="0" w:space="0" w:color="auto"/>
        <w:bottom w:val="none" w:sz="0" w:space="0" w:color="auto"/>
        <w:right w:val="none" w:sz="0" w:space="0" w:color="auto"/>
      </w:divBdr>
    </w:div>
    <w:div w:id="1983653738">
      <w:bodyDiv w:val="1"/>
      <w:marLeft w:val="0"/>
      <w:marRight w:val="0"/>
      <w:marTop w:val="0"/>
      <w:marBottom w:val="0"/>
      <w:divBdr>
        <w:top w:val="none" w:sz="0" w:space="0" w:color="auto"/>
        <w:left w:val="none" w:sz="0" w:space="0" w:color="auto"/>
        <w:bottom w:val="none" w:sz="0" w:space="0" w:color="auto"/>
        <w:right w:val="none" w:sz="0" w:space="0" w:color="auto"/>
      </w:divBdr>
    </w:div>
    <w:div w:id="1985114626">
      <w:bodyDiv w:val="1"/>
      <w:marLeft w:val="0"/>
      <w:marRight w:val="0"/>
      <w:marTop w:val="0"/>
      <w:marBottom w:val="0"/>
      <w:divBdr>
        <w:top w:val="none" w:sz="0" w:space="0" w:color="auto"/>
        <w:left w:val="none" w:sz="0" w:space="0" w:color="auto"/>
        <w:bottom w:val="none" w:sz="0" w:space="0" w:color="auto"/>
        <w:right w:val="none" w:sz="0" w:space="0" w:color="auto"/>
      </w:divBdr>
    </w:div>
    <w:div w:id="1995406740">
      <w:bodyDiv w:val="1"/>
      <w:marLeft w:val="0"/>
      <w:marRight w:val="0"/>
      <w:marTop w:val="0"/>
      <w:marBottom w:val="0"/>
      <w:divBdr>
        <w:top w:val="none" w:sz="0" w:space="0" w:color="auto"/>
        <w:left w:val="none" w:sz="0" w:space="0" w:color="auto"/>
        <w:bottom w:val="none" w:sz="0" w:space="0" w:color="auto"/>
        <w:right w:val="none" w:sz="0" w:space="0" w:color="auto"/>
      </w:divBdr>
    </w:div>
    <w:div w:id="2055303403">
      <w:bodyDiv w:val="1"/>
      <w:marLeft w:val="0"/>
      <w:marRight w:val="0"/>
      <w:marTop w:val="0"/>
      <w:marBottom w:val="0"/>
      <w:divBdr>
        <w:top w:val="none" w:sz="0" w:space="0" w:color="auto"/>
        <w:left w:val="none" w:sz="0" w:space="0" w:color="auto"/>
        <w:bottom w:val="none" w:sz="0" w:space="0" w:color="auto"/>
        <w:right w:val="none" w:sz="0" w:space="0" w:color="auto"/>
      </w:divBdr>
    </w:div>
    <w:div w:id="2058816117">
      <w:bodyDiv w:val="1"/>
      <w:marLeft w:val="0"/>
      <w:marRight w:val="0"/>
      <w:marTop w:val="0"/>
      <w:marBottom w:val="0"/>
      <w:divBdr>
        <w:top w:val="none" w:sz="0" w:space="0" w:color="auto"/>
        <w:left w:val="none" w:sz="0" w:space="0" w:color="auto"/>
        <w:bottom w:val="none" w:sz="0" w:space="0" w:color="auto"/>
        <w:right w:val="none" w:sz="0" w:space="0" w:color="auto"/>
      </w:divBdr>
    </w:div>
    <w:div w:id="2062749468">
      <w:bodyDiv w:val="1"/>
      <w:marLeft w:val="0"/>
      <w:marRight w:val="0"/>
      <w:marTop w:val="0"/>
      <w:marBottom w:val="0"/>
      <w:divBdr>
        <w:top w:val="none" w:sz="0" w:space="0" w:color="auto"/>
        <w:left w:val="none" w:sz="0" w:space="0" w:color="auto"/>
        <w:bottom w:val="none" w:sz="0" w:space="0" w:color="auto"/>
        <w:right w:val="none" w:sz="0" w:space="0" w:color="auto"/>
      </w:divBdr>
    </w:div>
    <w:div w:id="2068604014">
      <w:bodyDiv w:val="1"/>
      <w:marLeft w:val="0"/>
      <w:marRight w:val="0"/>
      <w:marTop w:val="0"/>
      <w:marBottom w:val="0"/>
      <w:divBdr>
        <w:top w:val="none" w:sz="0" w:space="0" w:color="auto"/>
        <w:left w:val="none" w:sz="0" w:space="0" w:color="auto"/>
        <w:bottom w:val="none" w:sz="0" w:space="0" w:color="auto"/>
        <w:right w:val="none" w:sz="0" w:space="0" w:color="auto"/>
      </w:divBdr>
    </w:div>
    <w:div w:id="2107116916">
      <w:bodyDiv w:val="1"/>
      <w:marLeft w:val="0"/>
      <w:marRight w:val="0"/>
      <w:marTop w:val="0"/>
      <w:marBottom w:val="0"/>
      <w:divBdr>
        <w:top w:val="none" w:sz="0" w:space="0" w:color="auto"/>
        <w:left w:val="none" w:sz="0" w:space="0" w:color="auto"/>
        <w:bottom w:val="none" w:sz="0" w:space="0" w:color="auto"/>
        <w:right w:val="none" w:sz="0" w:space="0" w:color="auto"/>
      </w:divBdr>
    </w:div>
    <w:div w:id="2111198441">
      <w:bodyDiv w:val="1"/>
      <w:marLeft w:val="0"/>
      <w:marRight w:val="0"/>
      <w:marTop w:val="0"/>
      <w:marBottom w:val="0"/>
      <w:divBdr>
        <w:top w:val="none" w:sz="0" w:space="0" w:color="auto"/>
        <w:left w:val="none" w:sz="0" w:space="0" w:color="auto"/>
        <w:bottom w:val="none" w:sz="0" w:space="0" w:color="auto"/>
        <w:right w:val="none" w:sz="0" w:space="0" w:color="auto"/>
      </w:divBdr>
    </w:div>
    <w:div w:id="212769959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36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2707</Words>
  <Characters>17055</Characters>
  <Application>Microsoft Office Word</Application>
  <DocSecurity>0</DocSecurity>
  <Lines>142</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Khouli, Rashid</cp:lastModifiedBy>
  <cp:revision>113</cp:revision>
  <cp:lastPrinted>2020-02-10T06:14:00Z</cp:lastPrinted>
  <dcterms:created xsi:type="dcterms:W3CDTF">2025-11-05T05:42:00Z</dcterms:created>
  <dcterms:modified xsi:type="dcterms:W3CDTF">2025-11-07T15:15:00Z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