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3D4A7">
      <w:pPr>
        <w:tabs>
          <w:tab w:val="right" w:pos="9630"/>
        </w:tabs>
        <w:snapToGrid w:val="0"/>
        <w:jc w:val="both"/>
        <w:rPr>
          <w:rFonts w:hint="default" w:eastAsia="宋体"/>
          <w:b/>
          <w:lang w:val="en-US" w:eastAsia="zh-CN"/>
        </w:rPr>
      </w:pPr>
      <w:bookmarkStart w:id="0" w:name="_Hlk114691757"/>
      <w:bookmarkEnd w:id="0"/>
      <w:bookmarkStart w:id="1" w:name="OLE_LINK12"/>
      <w:bookmarkStart w:id="2" w:name="OLE_LINK13"/>
      <w:bookmarkStart w:id="3" w:name="OLE_LINK24"/>
      <w:bookmarkStart w:id="4" w:name="OLE_LINK34"/>
      <w:bookmarkStart w:id="5" w:name="OLE_LINK33"/>
      <w:r>
        <w:rPr>
          <w:b/>
        </w:rPr>
        <w:t xml:space="preserve">3GPP TSG RAN WG1 #122                                    </w:t>
      </w:r>
      <w:r>
        <w:rPr>
          <w:rFonts w:hint="eastAsia"/>
          <w:b/>
        </w:rPr>
        <w:t xml:space="preserve"> </w:t>
      </w:r>
      <w:r>
        <w:rPr>
          <w:b/>
        </w:rPr>
        <w:t xml:space="preserve">   </w:t>
      </w:r>
      <w:r>
        <w:rPr>
          <w:rFonts w:hint="eastAsia"/>
          <w:b/>
        </w:rPr>
        <w:t>R1-2</w:t>
      </w:r>
      <w:r>
        <w:rPr>
          <w:b/>
        </w:rPr>
        <w:t>50</w:t>
      </w:r>
      <w:r>
        <w:rPr>
          <w:rFonts w:hint="eastAsia"/>
          <w:b/>
          <w:lang w:val="en-US" w:eastAsia="zh-CN"/>
        </w:rPr>
        <w:t>6510</w:t>
      </w:r>
    </w:p>
    <w:p w14:paraId="5CAFA25A">
      <w:pPr>
        <w:tabs>
          <w:tab w:val="center" w:pos="4536"/>
          <w:tab w:val="right" w:pos="8280"/>
          <w:tab w:val="right" w:pos="9639"/>
        </w:tabs>
        <w:snapToGrid w:val="0"/>
        <w:ind w:left="482" w:right="2" w:hanging="482" w:hangingChars="200"/>
        <w:jc w:val="both"/>
        <w:rPr>
          <w:b/>
          <w:lang w:bidi="ar"/>
        </w:rPr>
      </w:pPr>
      <w:r>
        <w:rPr>
          <w:b/>
          <w:lang w:bidi="ar"/>
        </w:rPr>
        <w:t>Bengaluru, India, Aug 25</w:t>
      </w:r>
      <w:r>
        <w:rPr>
          <w:b/>
          <w:vertAlign w:val="superscript"/>
          <w:lang w:bidi="ar"/>
        </w:rPr>
        <w:t>th</w:t>
      </w:r>
      <w:r>
        <w:rPr>
          <w:b/>
          <w:lang w:bidi="ar"/>
        </w:rPr>
        <w:t xml:space="preserve"> – 29</w:t>
      </w:r>
      <w:r>
        <w:rPr>
          <w:b/>
          <w:vertAlign w:val="superscript"/>
          <w:lang w:bidi="ar"/>
        </w:rPr>
        <w:t>th</w:t>
      </w:r>
      <w:r>
        <w:rPr>
          <w:b/>
          <w:lang w:bidi="ar"/>
        </w:rPr>
        <w:t>, 2025</w:t>
      </w:r>
    </w:p>
    <w:p w14:paraId="636141C8">
      <w:pPr>
        <w:tabs>
          <w:tab w:val="center" w:pos="4536"/>
          <w:tab w:val="right" w:pos="8280"/>
          <w:tab w:val="right" w:pos="9639"/>
        </w:tabs>
        <w:snapToGrid w:val="0"/>
        <w:ind w:left="482" w:right="2" w:hanging="482" w:hangingChars="200"/>
        <w:jc w:val="both"/>
        <w:rPr>
          <w:b/>
        </w:rPr>
      </w:pPr>
    </w:p>
    <w:p w14:paraId="1220B93F">
      <w:pPr>
        <w:pBdr>
          <w:bottom w:val="single" w:color="auto" w:sz="6" w:space="1"/>
        </w:pBdr>
        <w:snapToGrid w:val="0"/>
        <w:ind w:left="1797" w:hanging="1797"/>
        <w:jc w:val="both"/>
        <w:rPr>
          <w:b/>
        </w:rPr>
      </w:pPr>
      <w:r>
        <w:rPr>
          <w:b/>
        </w:rPr>
        <w:t>Source:</w:t>
      </w:r>
      <w:r>
        <w:rPr>
          <w:b/>
        </w:rPr>
        <w:tab/>
      </w:r>
      <w:r>
        <w:rPr>
          <w:rFonts w:hint="eastAsia"/>
          <w:b/>
        </w:rPr>
        <w:t>Moderator (</w:t>
      </w:r>
      <w:r>
        <w:rPr>
          <w:b/>
        </w:rPr>
        <w:t>ZTE</w:t>
      </w:r>
      <w:r>
        <w:rPr>
          <w:rFonts w:hint="eastAsia"/>
          <w:b/>
        </w:rPr>
        <w:t>)</w:t>
      </w:r>
      <w:bookmarkStart w:id="8" w:name="_GoBack"/>
      <w:bookmarkEnd w:id="8"/>
    </w:p>
    <w:p w14:paraId="0880C9FB">
      <w:pPr>
        <w:pBdr>
          <w:bottom w:val="single" w:color="auto" w:sz="6" w:space="1"/>
        </w:pBdr>
        <w:snapToGrid w:val="0"/>
        <w:ind w:left="1797" w:hanging="1797"/>
        <w:jc w:val="both"/>
        <w:rPr>
          <w:b/>
        </w:rPr>
      </w:pPr>
      <w:r>
        <w:rPr>
          <w:b/>
        </w:rPr>
        <w:t>Title:</w:t>
      </w:r>
      <w:r>
        <w:rPr>
          <w:b/>
        </w:rPr>
        <w:tab/>
      </w:r>
      <w:r>
        <w:rPr>
          <w:rFonts w:hint="eastAsia"/>
          <w:b/>
        </w:rPr>
        <w:t>Summary on non-RedCap UE SRS frequency hopping for positioning</w:t>
      </w:r>
    </w:p>
    <w:p w14:paraId="37D40152">
      <w:pPr>
        <w:pBdr>
          <w:bottom w:val="single" w:color="auto" w:sz="6" w:space="1"/>
        </w:pBdr>
        <w:snapToGrid w:val="0"/>
        <w:ind w:left="1797" w:hanging="1797"/>
        <w:jc w:val="both"/>
        <w:rPr>
          <w:b/>
        </w:rPr>
      </w:pPr>
      <w:r>
        <w:rPr>
          <w:b/>
        </w:rPr>
        <w:t>Agenda item:</w:t>
      </w:r>
      <w:r>
        <w:rPr>
          <w:b/>
        </w:rPr>
        <w:tab/>
      </w:r>
      <w:r>
        <w:rPr>
          <w:b/>
        </w:rPr>
        <w:t>8.1</w:t>
      </w:r>
      <w:r>
        <w:rPr>
          <w:rFonts w:hint="eastAsia"/>
          <w:b/>
        </w:rPr>
        <w:t>4</w:t>
      </w:r>
    </w:p>
    <w:p w14:paraId="41E1DD81">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14:paraId="756DEB0A">
      <w:pPr>
        <w:pStyle w:val="2"/>
        <w:snapToGrid w:val="0"/>
        <w:spacing w:before="120" w:after="180" w:afterLines="50"/>
        <w:ind w:left="431" w:hanging="431"/>
        <w:jc w:val="both"/>
        <w:rPr>
          <w:sz w:val="28"/>
          <w:lang w:val="en-US"/>
        </w:rPr>
      </w:pPr>
      <w:bookmarkStart w:id="6" w:name="OLE_LINK1"/>
      <w:r>
        <w:rPr>
          <w:sz w:val="28"/>
          <w:lang w:val="en-US"/>
        </w:rPr>
        <w:t>Introduction</w:t>
      </w:r>
    </w:p>
    <w:p w14:paraId="036C6F64">
      <w:pPr>
        <w:snapToGrid w:val="0"/>
        <w:spacing w:before="180" w:beforeLines="50" w:after="180" w:afterLines="50"/>
        <w:jc w:val="both"/>
        <w:rPr>
          <w:iCs/>
          <w:sz w:val="20"/>
          <w:szCs w:val="20"/>
        </w:rPr>
      </w:pPr>
      <w:r>
        <w:rPr>
          <w:rFonts w:hint="eastAsia"/>
          <w:iCs/>
          <w:sz w:val="20"/>
          <w:szCs w:val="20"/>
        </w:rPr>
        <w:t>In RAN1#122, an</w:t>
      </w:r>
      <w:r>
        <w:rPr>
          <w:iCs/>
          <w:sz w:val="20"/>
          <w:szCs w:val="20"/>
        </w:rPr>
        <w:t xml:space="preserve"> LS R3-253749 (R1-2505106) from RAN3 is sent to RAN1 </w:t>
      </w:r>
      <w:r>
        <w:rPr>
          <w:rFonts w:hint="eastAsia"/>
          <w:iCs/>
          <w:sz w:val="20"/>
          <w:szCs w:val="20"/>
        </w:rPr>
        <w:t>with regards to LMF-gNB interaction for SRS frequency hopping configuration for non-RedCap UEs, and RAN1 is asked to provide feedback if any.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D7D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872856B">
            <w:pPr>
              <w:keepNext/>
              <w:keepLines/>
              <w:widowControl w:val="0"/>
              <w:pBdr>
                <w:top w:val="single" w:color="auto" w:sz="12" w:space="3"/>
              </w:pBdr>
              <w:overflowPunct w:val="0"/>
              <w:snapToGrid w:val="0"/>
              <w:spacing w:after="60"/>
              <w:ind w:left="1134" w:hanging="1134"/>
              <w:textAlignment w:val="baseline"/>
              <w:outlineLvl w:val="0"/>
              <w:rPr>
                <w:rFonts w:ascii="Arial" w:hAnsi="Arial" w:eastAsia="等线"/>
                <w:sz w:val="36"/>
                <w:szCs w:val="20"/>
                <w:lang w:val="en-GB" w:eastAsia="en-GB"/>
              </w:rPr>
            </w:pPr>
            <w:r>
              <w:rPr>
                <w:rFonts w:ascii="Arial" w:hAnsi="Arial" w:eastAsia="等线"/>
                <w:sz w:val="36"/>
                <w:szCs w:val="20"/>
                <w:lang w:val="en-GB" w:eastAsia="en-GB"/>
              </w:rPr>
              <w:t>1</w:t>
            </w:r>
            <w:r>
              <w:rPr>
                <w:rFonts w:ascii="Arial" w:hAnsi="Arial" w:eastAsia="等线"/>
                <w:sz w:val="36"/>
                <w:szCs w:val="20"/>
                <w:lang w:val="en-GB" w:eastAsia="en-GB"/>
              </w:rPr>
              <w:tab/>
            </w:r>
            <w:r>
              <w:rPr>
                <w:rFonts w:ascii="Arial" w:hAnsi="Arial" w:eastAsia="等线"/>
                <w:sz w:val="36"/>
                <w:szCs w:val="20"/>
                <w:lang w:val="en-GB" w:eastAsia="en-GB"/>
              </w:rPr>
              <w:t>Overall description</w:t>
            </w:r>
          </w:p>
          <w:p w14:paraId="3C754758">
            <w:pPr>
              <w:widowControl w:val="0"/>
              <w:snapToGrid w:val="0"/>
              <w:spacing w:after="60"/>
              <w:rPr>
                <w:rFonts w:eastAsia="等线"/>
                <w:sz w:val="20"/>
                <w:szCs w:val="20"/>
              </w:rPr>
            </w:pPr>
            <w:r>
              <w:rPr>
                <w:rFonts w:eastAsia="等线"/>
                <w:sz w:val="20"/>
                <w:szCs w:val="20"/>
              </w:rPr>
              <w:t>RAN3 thanks RAN2 for the LS on non-RedCap UE UL SRS frequency hopping for positioning.</w:t>
            </w:r>
          </w:p>
          <w:p w14:paraId="7A3EBCE7">
            <w:pPr>
              <w:widowControl w:val="0"/>
              <w:snapToGrid w:val="0"/>
              <w:spacing w:after="60"/>
              <w:rPr>
                <w:rFonts w:eastAsia="等线"/>
                <w:sz w:val="20"/>
                <w:szCs w:val="20"/>
              </w:rPr>
            </w:pPr>
            <w:r>
              <w:rPr>
                <w:rFonts w:eastAsia="Times New Roman"/>
                <w:sz w:val="20"/>
                <w:szCs w:val="20"/>
                <w:lang w:val="en-GB"/>
              </w:rPr>
              <w:t>RAN3 has discussed whether this topic has any RAN3 specification impacts, but no consensus was reached whether additional LMF’s requirements are to be provided to the gNB for the positioning.</w:t>
            </w:r>
            <w:r>
              <w:rPr>
                <w:rFonts w:eastAsia="等线"/>
                <w:sz w:val="20"/>
                <w:szCs w:val="20"/>
              </w:rPr>
              <w:t xml:space="preserve"> </w:t>
            </w:r>
          </w:p>
          <w:p w14:paraId="53E1E420">
            <w:pPr>
              <w:keepNext/>
              <w:keepLines/>
              <w:widowControl w:val="0"/>
              <w:pBdr>
                <w:top w:val="single" w:color="auto" w:sz="12" w:space="3"/>
              </w:pBdr>
              <w:overflowPunct w:val="0"/>
              <w:snapToGrid w:val="0"/>
              <w:spacing w:after="60"/>
              <w:ind w:left="1134" w:hanging="1134"/>
              <w:textAlignment w:val="baseline"/>
              <w:outlineLvl w:val="0"/>
              <w:rPr>
                <w:rFonts w:ascii="Arial" w:hAnsi="Arial" w:eastAsia="等线"/>
                <w:sz w:val="36"/>
                <w:szCs w:val="20"/>
                <w:lang w:val="en-GB" w:eastAsia="en-GB"/>
              </w:rPr>
            </w:pPr>
            <w:r>
              <w:rPr>
                <w:rFonts w:ascii="Arial" w:hAnsi="Arial" w:eastAsia="等线"/>
                <w:sz w:val="36"/>
                <w:szCs w:val="20"/>
                <w:lang w:val="en-GB" w:eastAsia="en-GB"/>
              </w:rPr>
              <w:t>2</w:t>
            </w:r>
            <w:r>
              <w:rPr>
                <w:rFonts w:ascii="Arial" w:hAnsi="Arial" w:eastAsia="等线"/>
                <w:sz w:val="36"/>
                <w:szCs w:val="20"/>
                <w:lang w:val="en-GB" w:eastAsia="en-GB"/>
              </w:rPr>
              <w:tab/>
            </w:r>
            <w:r>
              <w:rPr>
                <w:rFonts w:ascii="Arial" w:hAnsi="Arial" w:eastAsia="等线"/>
                <w:sz w:val="36"/>
                <w:szCs w:val="20"/>
                <w:lang w:val="en-GB" w:eastAsia="en-GB"/>
              </w:rPr>
              <w:t>Actions</w:t>
            </w:r>
          </w:p>
          <w:p w14:paraId="1BF9835B">
            <w:pPr>
              <w:widowControl w:val="0"/>
              <w:overflowPunct w:val="0"/>
              <w:snapToGrid w:val="0"/>
              <w:spacing w:after="60"/>
              <w:ind w:left="993" w:hanging="993"/>
              <w:textAlignment w:val="baseline"/>
              <w:rPr>
                <w:rFonts w:ascii="Arial" w:hAnsi="Arial" w:eastAsia="等线" w:cs="Arial"/>
                <w:b/>
                <w:sz w:val="20"/>
                <w:szCs w:val="20"/>
                <w:lang w:val="en-GB" w:eastAsia="en-GB"/>
              </w:rPr>
            </w:pPr>
            <w:r>
              <w:rPr>
                <w:rFonts w:ascii="Arial" w:hAnsi="Arial" w:eastAsia="等线" w:cs="Arial"/>
                <w:b/>
                <w:sz w:val="20"/>
                <w:szCs w:val="20"/>
                <w:lang w:val="en-GB" w:eastAsia="en-GB"/>
              </w:rPr>
              <w:t>To RAN1:</w:t>
            </w:r>
          </w:p>
          <w:p w14:paraId="4E310AD5">
            <w:pPr>
              <w:widowControl w:val="0"/>
              <w:overflowPunct w:val="0"/>
              <w:snapToGrid w:val="0"/>
              <w:spacing w:after="60"/>
              <w:ind w:left="993" w:hanging="993"/>
              <w:textAlignment w:val="baseline"/>
              <w:rPr>
                <w:rFonts w:ascii="Arial" w:hAnsi="Arial" w:eastAsia="等线" w:cs="Arial"/>
                <w:b/>
                <w:sz w:val="20"/>
                <w:szCs w:val="20"/>
                <w:lang w:val="en-GB" w:eastAsia="en-GB"/>
              </w:rPr>
            </w:pPr>
            <w:r>
              <w:rPr>
                <w:rFonts w:ascii="Arial" w:hAnsi="Arial" w:eastAsia="等线" w:cs="Arial"/>
                <w:b/>
                <w:sz w:val="20"/>
                <w:szCs w:val="20"/>
                <w:lang w:val="en-GB" w:eastAsia="en-GB"/>
              </w:rPr>
              <w:t xml:space="preserve">ACTION: </w:t>
            </w:r>
            <w:r>
              <w:rPr>
                <w:rFonts w:ascii="Arial" w:hAnsi="Arial" w:eastAsia="等线" w:cs="Arial"/>
                <w:b/>
                <w:sz w:val="20"/>
                <w:szCs w:val="20"/>
                <w:lang w:val="en-GB" w:eastAsia="en-GB"/>
              </w:rPr>
              <w:tab/>
            </w:r>
            <w:r>
              <w:rPr>
                <w:rFonts w:ascii="Arial" w:hAnsi="Arial" w:eastAsia="等线" w:cs="Arial"/>
                <w:b/>
                <w:sz w:val="20"/>
                <w:szCs w:val="20"/>
                <w:lang w:val="en-GB" w:eastAsia="en-GB"/>
              </w:rPr>
              <w:t>RAN3 kindly asks RAN1 to take above information into account and provide feedback if any.</w:t>
            </w:r>
          </w:p>
          <w:p w14:paraId="4A795FE0">
            <w:pPr>
              <w:widowControl w:val="0"/>
              <w:overflowPunct w:val="0"/>
              <w:snapToGrid w:val="0"/>
              <w:spacing w:after="60"/>
              <w:ind w:left="993" w:hanging="993"/>
              <w:textAlignment w:val="baseline"/>
              <w:rPr>
                <w:rFonts w:ascii="Arial" w:hAnsi="Arial" w:eastAsia="等线" w:cs="Arial"/>
                <w:b/>
                <w:sz w:val="20"/>
                <w:szCs w:val="20"/>
                <w:lang w:val="en-GB"/>
              </w:rPr>
            </w:pPr>
          </w:p>
          <w:p w14:paraId="2D5FEDB1">
            <w:pPr>
              <w:widowControl w:val="0"/>
              <w:overflowPunct w:val="0"/>
              <w:snapToGrid w:val="0"/>
              <w:spacing w:after="60"/>
              <w:ind w:left="993" w:hanging="993"/>
              <w:textAlignment w:val="baseline"/>
              <w:rPr>
                <w:rFonts w:ascii="Arial" w:hAnsi="Arial" w:eastAsia="等线" w:cs="Arial"/>
                <w:b/>
                <w:sz w:val="20"/>
                <w:szCs w:val="20"/>
                <w:lang w:val="en-GB"/>
              </w:rPr>
            </w:pPr>
            <w:r>
              <w:rPr>
                <w:rFonts w:hint="eastAsia" w:ascii="Arial" w:hAnsi="Arial" w:eastAsia="等线" w:cs="Arial"/>
                <w:b/>
                <w:sz w:val="20"/>
                <w:szCs w:val="20"/>
                <w:lang w:val="en-GB"/>
              </w:rPr>
              <w:t>T</w:t>
            </w:r>
            <w:r>
              <w:rPr>
                <w:rFonts w:ascii="Arial" w:hAnsi="Arial" w:eastAsia="等线" w:cs="Arial"/>
                <w:b/>
                <w:sz w:val="20"/>
                <w:szCs w:val="20"/>
                <w:lang w:val="en-GB"/>
              </w:rPr>
              <w:t>o RAN2:</w:t>
            </w:r>
          </w:p>
          <w:p w14:paraId="760A8AD6">
            <w:pPr>
              <w:widowControl w:val="0"/>
              <w:overflowPunct w:val="0"/>
              <w:snapToGrid w:val="0"/>
              <w:spacing w:after="60"/>
              <w:ind w:left="993" w:hanging="993"/>
              <w:textAlignment w:val="baseline"/>
              <w:rPr>
                <w:rFonts w:ascii="Arial" w:hAnsi="Arial" w:eastAsia="等线" w:cs="Arial"/>
                <w:b/>
                <w:sz w:val="20"/>
                <w:szCs w:val="20"/>
                <w:lang w:val="en-GB"/>
              </w:rPr>
            </w:pPr>
            <w:r>
              <w:rPr>
                <w:rFonts w:hint="eastAsia" w:ascii="Arial" w:hAnsi="Arial" w:eastAsia="等线" w:cs="Arial"/>
                <w:b/>
                <w:sz w:val="20"/>
                <w:szCs w:val="20"/>
                <w:lang w:val="en-GB"/>
              </w:rPr>
              <w:t>A</w:t>
            </w:r>
            <w:r>
              <w:rPr>
                <w:rFonts w:ascii="Arial" w:hAnsi="Arial" w:eastAsia="等线" w:cs="Arial"/>
                <w:b/>
                <w:sz w:val="20"/>
                <w:szCs w:val="20"/>
                <w:lang w:val="en-GB"/>
              </w:rPr>
              <w:t>CTION:</w:t>
            </w:r>
            <w:r>
              <w:rPr>
                <w:rFonts w:ascii="Arial" w:hAnsi="Arial" w:eastAsia="等线" w:cs="Arial"/>
                <w:b/>
                <w:sz w:val="20"/>
                <w:szCs w:val="20"/>
                <w:lang w:val="en-GB"/>
              </w:rPr>
              <w:tab/>
            </w:r>
            <w:r>
              <w:rPr>
                <w:rFonts w:ascii="Arial" w:hAnsi="Arial" w:eastAsia="等线" w:cs="Arial"/>
                <w:b/>
                <w:sz w:val="20"/>
                <w:szCs w:val="20"/>
                <w:lang w:val="en-GB"/>
              </w:rPr>
              <w:t>RAN3 kindly asks RAN2 to take above information into consideration.</w:t>
            </w:r>
          </w:p>
        </w:tc>
      </w:tr>
    </w:tbl>
    <w:p w14:paraId="1116B116">
      <w:pPr>
        <w:snapToGrid w:val="0"/>
        <w:spacing w:before="180" w:beforeLines="50" w:after="180" w:afterLines="50"/>
        <w:jc w:val="both"/>
        <w:rPr>
          <w:iCs/>
          <w:sz w:val="21"/>
          <w:szCs w:val="21"/>
        </w:rPr>
      </w:pPr>
    </w:p>
    <w:bookmarkEnd w:id="6"/>
    <w:p w14:paraId="013DCE19">
      <w:pPr>
        <w:pStyle w:val="2"/>
        <w:snapToGrid w:val="0"/>
        <w:spacing w:before="120" w:after="180" w:afterLines="50"/>
        <w:ind w:left="431" w:hanging="431"/>
        <w:jc w:val="both"/>
        <w:rPr>
          <w:sz w:val="28"/>
          <w:lang w:val="en-US"/>
        </w:rPr>
      </w:pPr>
      <w:r>
        <w:rPr>
          <w:sz w:val="28"/>
          <w:lang w:val="en-US"/>
        </w:rPr>
        <w:t>Discussion</w:t>
      </w:r>
    </w:p>
    <w:p w14:paraId="0F9EE701">
      <w:pPr>
        <w:autoSpaceDE w:val="0"/>
        <w:autoSpaceDN w:val="0"/>
        <w:adjustRightInd w:val="0"/>
        <w:snapToGrid w:val="0"/>
        <w:spacing w:before="180" w:beforeLines="50" w:after="180" w:afterLines="50"/>
        <w:jc w:val="both"/>
        <w:outlineLvl w:val="1"/>
        <w:rPr>
          <w:b/>
          <w:bCs/>
          <w:iCs/>
        </w:rPr>
      </w:pPr>
      <w:r>
        <w:rPr>
          <w:rFonts w:hint="eastAsia"/>
          <w:b/>
          <w:bCs/>
          <w:iCs/>
        </w:rPr>
        <w:t>Summary of inputs</w:t>
      </w:r>
    </w:p>
    <w:p w14:paraId="20431545">
      <w:pPr>
        <w:autoSpaceDE w:val="0"/>
        <w:autoSpaceDN w:val="0"/>
        <w:adjustRightInd w:val="0"/>
        <w:snapToGrid w:val="0"/>
        <w:spacing w:before="180" w:beforeLines="50" w:after="180" w:afterLines="50"/>
        <w:jc w:val="both"/>
        <w:rPr>
          <w:iCs/>
          <w:sz w:val="20"/>
          <w:szCs w:val="20"/>
        </w:rPr>
      </w:pPr>
      <w:r>
        <w:rPr>
          <w:rFonts w:hint="eastAsia"/>
          <w:iCs/>
          <w:sz w:val="20"/>
          <w:szCs w:val="20"/>
        </w:rPr>
        <w:t>V</w:t>
      </w:r>
      <w:r>
        <w:rPr>
          <w:iCs/>
          <w:sz w:val="20"/>
          <w:szCs w:val="20"/>
        </w:rPr>
        <w:t>iews</w:t>
      </w:r>
      <w:r>
        <w:rPr>
          <w:rFonts w:hint="eastAsia"/>
          <w:iCs/>
          <w:sz w:val="20"/>
          <w:szCs w:val="20"/>
        </w:rPr>
        <w:t xml:space="preserve"> provided in this meeting</w:t>
      </w:r>
      <w:r>
        <w:rPr>
          <w:iCs/>
          <w:sz w:val="20"/>
          <w:szCs w:val="20"/>
        </w:rPr>
        <w:t xml:space="preserve"> are summarized as below:</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14:paraId="1A65E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14:paraId="569918B5">
            <w:pPr>
              <w:autoSpaceDE w:val="0"/>
              <w:autoSpaceDN w:val="0"/>
              <w:adjustRightInd w:val="0"/>
              <w:snapToGrid w:val="0"/>
              <w:jc w:val="both"/>
              <w:rPr>
                <w:iCs/>
                <w:sz w:val="20"/>
                <w:szCs w:val="20"/>
              </w:rPr>
            </w:pPr>
            <w:r>
              <w:rPr>
                <w:iCs/>
                <w:sz w:val="20"/>
                <w:szCs w:val="20"/>
              </w:rPr>
              <w:t>Huawei, HiSilicon</w:t>
            </w:r>
          </w:p>
        </w:tc>
        <w:tc>
          <w:tcPr>
            <w:tcW w:w="8221" w:type="dxa"/>
          </w:tcPr>
          <w:p w14:paraId="4C7B7AD2">
            <w:pPr>
              <w:snapToGrid w:val="0"/>
              <w:rPr>
                <w:sz w:val="20"/>
                <w:szCs w:val="20"/>
              </w:rPr>
            </w:pPr>
            <w:r>
              <w:rPr>
                <w:rFonts w:hint="eastAsia"/>
                <w:sz w:val="20"/>
                <w:szCs w:val="20"/>
              </w:rPr>
              <w:t>I</w:t>
            </w:r>
            <w:r>
              <w:rPr>
                <w:sz w:val="20"/>
                <w:szCs w:val="20"/>
              </w:rPr>
              <w:t xml:space="preserve">n our view, </w:t>
            </w:r>
            <w:r>
              <w:rPr>
                <w:kern w:val="2"/>
                <w:sz w:val="20"/>
                <w:szCs w:val="20"/>
              </w:rPr>
              <w:t>an explicit indication of SRS frequency hopping</w:t>
            </w:r>
            <w:r>
              <w:rPr>
                <w:sz w:val="20"/>
                <w:szCs w:val="20"/>
              </w:rPr>
              <w:t xml:space="preserve"> from LMF to gNB is not needed, based on the following considerations.</w:t>
            </w:r>
          </w:p>
          <w:p w14:paraId="2606E8FA">
            <w:pPr>
              <w:pStyle w:val="93"/>
              <w:numPr>
                <w:ilvl w:val="0"/>
                <w:numId w:val="3"/>
              </w:numPr>
              <w:snapToGrid w:val="0"/>
              <w:spacing w:after="0"/>
              <w:rPr>
                <w:sz w:val="20"/>
              </w:rPr>
            </w:pPr>
            <w:r>
              <w:rPr>
                <w:rFonts w:hint="eastAsia"/>
                <w:sz w:val="20"/>
              </w:rPr>
              <w:t>F</w:t>
            </w:r>
            <w:r>
              <w:rPr>
                <w:sz w:val="20"/>
              </w:rPr>
              <w:t xml:space="preserve">requency hopping configuration is too much a detailed implementation that should be transparent to the service requirement that LMF can manage. This principle is basically aligned with legacy that only the overall bandwidth requirement from LMF to gNB is included in the SRS transmission characteristics for </w:t>
            </w:r>
            <w:r>
              <w:rPr>
                <w:rFonts w:hint="eastAsia"/>
                <w:sz w:val="20"/>
              </w:rPr>
              <w:t>eMBB</w:t>
            </w:r>
            <w:r>
              <w:rPr>
                <w:sz w:val="20"/>
              </w:rPr>
              <w:t xml:space="preserve"> and RedCap UEs.</w:t>
            </w:r>
          </w:p>
          <w:p w14:paraId="624202E4">
            <w:pPr>
              <w:pStyle w:val="93"/>
              <w:numPr>
                <w:ilvl w:val="0"/>
                <w:numId w:val="3"/>
              </w:numPr>
              <w:snapToGrid w:val="0"/>
              <w:spacing w:after="0"/>
              <w:rPr>
                <w:sz w:val="20"/>
              </w:rPr>
            </w:pPr>
            <w:r>
              <w:rPr>
                <w:sz w:val="20"/>
              </w:rPr>
              <w:t>The introduction of the positioning SRS with frequency hopping for non-RedCap UE is motivated by harmonizing the different requirements between communication and positioning. For example, a UE could be operated in a 20MHz active BWP for communication power saving, while a new positioning service would require 100MHz SRS. Configuring positioning SRS with frequency hopping could keep the communication BWP unchanged while meeting the positioning requirement, so that interruption to communication would be minimized.</w:t>
            </w:r>
          </w:p>
          <w:p w14:paraId="1434495B">
            <w:pPr>
              <w:snapToGrid w:val="0"/>
              <w:rPr>
                <w:iCs/>
                <w:sz w:val="20"/>
                <w:szCs w:val="20"/>
              </w:rPr>
            </w:pPr>
            <w:r>
              <w:rPr>
                <w:sz w:val="20"/>
                <w:szCs w:val="20"/>
              </w:rPr>
              <w:t xml:space="preserve">Given that it is not LMF’s interest on whether positioning SRS is contiguous or frequency hopping an dit is not LMF’s knowledge on the communication BWP configuration for the UE, LMF should not provide </w:t>
            </w:r>
            <w:r>
              <w:rPr>
                <w:rFonts w:hint="eastAsia"/>
                <w:sz w:val="20"/>
                <w:szCs w:val="20"/>
              </w:rPr>
              <w:t>gNB</w:t>
            </w:r>
            <w:r>
              <w:rPr>
                <w:sz w:val="20"/>
                <w:szCs w:val="20"/>
              </w:rPr>
              <w:t xml:space="preserve"> any requirements such as an explicit indication of SRS frequency hopping. gNB should be able to balance the positioning BW requirement, the UE capability, and the current communication condition to properly configure the SRS.</w:t>
            </w:r>
          </w:p>
          <w:p w14:paraId="06D69F20">
            <w:pPr>
              <w:snapToGrid w:val="0"/>
              <w:rPr>
                <w:b/>
                <w:bCs/>
                <w:sz w:val="20"/>
                <w:szCs w:val="20"/>
              </w:rPr>
            </w:pPr>
            <w:r>
              <w:rPr>
                <w:rFonts w:hint="eastAsia"/>
                <w:b/>
                <w:bCs/>
                <w:sz w:val="20"/>
                <w:szCs w:val="20"/>
              </w:rPr>
              <w:t>P</w:t>
            </w:r>
            <w:r>
              <w:rPr>
                <w:b/>
                <w:bCs/>
                <w:sz w:val="20"/>
                <w:szCs w:val="20"/>
              </w:rPr>
              <w:t>roposal: RAN1 to reply to RAN3 that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14:paraId="2358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B1AD7E4">
                  <w:pPr>
                    <w:widowControl w:val="0"/>
                    <w:snapToGrid w:val="0"/>
                    <w:rPr>
                      <w:sz w:val="20"/>
                      <w:szCs w:val="20"/>
                    </w:rPr>
                  </w:pPr>
                  <w:r>
                    <w:rPr>
                      <w:rFonts w:hint="eastAsia"/>
                      <w:sz w:val="20"/>
                      <w:szCs w:val="20"/>
                    </w:rPr>
                    <w:t>R</w:t>
                  </w:r>
                  <w:r>
                    <w:rPr>
                      <w:sz w:val="20"/>
                      <w:szCs w:val="20"/>
                    </w:rPr>
                    <w:t>AN1 thanks RAN3 for the question.</w:t>
                  </w:r>
                </w:p>
                <w:p w14:paraId="1FE2A2B9">
                  <w:pPr>
                    <w:widowControl w:val="0"/>
                    <w:snapToGrid w:val="0"/>
                    <w:rPr>
                      <w:b/>
                      <w:bCs/>
                      <w:sz w:val="20"/>
                      <w:szCs w:val="20"/>
                    </w:rPr>
                  </w:pPr>
                  <w:r>
                    <w:rPr>
                      <w:sz w:val="20"/>
                      <w:szCs w:val="20"/>
                    </w:rPr>
                    <w:t>RAN1 has discussed this matter and agreed that no additional LMF requirements are to be provided to the gNB in requesting the UL SRS configuration with or without SRS frequency hopping for the non-RedCap UEs.</w:t>
                  </w:r>
                </w:p>
              </w:tc>
            </w:tr>
          </w:tbl>
          <w:p w14:paraId="0F689D15">
            <w:pPr>
              <w:autoSpaceDE w:val="0"/>
              <w:autoSpaceDN w:val="0"/>
              <w:adjustRightInd w:val="0"/>
              <w:snapToGrid w:val="0"/>
              <w:jc w:val="both"/>
              <w:rPr>
                <w:iCs/>
                <w:sz w:val="20"/>
                <w:szCs w:val="20"/>
              </w:rPr>
            </w:pPr>
          </w:p>
        </w:tc>
      </w:tr>
      <w:tr w14:paraId="00987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14:paraId="1824FEB9">
            <w:pPr>
              <w:autoSpaceDE w:val="0"/>
              <w:autoSpaceDN w:val="0"/>
              <w:adjustRightInd w:val="0"/>
              <w:snapToGrid w:val="0"/>
              <w:jc w:val="both"/>
              <w:rPr>
                <w:iCs/>
                <w:sz w:val="20"/>
                <w:szCs w:val="20"/>
              </w:rPr>
            </w:pPr>
            <w:r>
              <w:rPr>
                <w:rFonts w:hint="eastAsia"/>
                <w:iCs/>
                <w:sz w:val="20"/>
                <w:szCs w:val="20"/>
              </w:rPr>
              <w:t>Z</w:t>
            </w:r>
            <w:r>
              <w:rPr>
                <w:iCs/>
                <w:sz w:val="20"/>
                <w:szCs w:val="20"/>
              </w:rPr>
              <w:t>TE</w:t>
            </w:r>
          </w:p>
        </w:tc>
        <w:tc>
          <w:tcPr>
            <w:tcW w:w="8221" w:type="dxa"/>
          </w:tcPr>
          <w:p w14:paraId="7CC19B3F">
            <w:pPr>
              <w:pStyle w:val="93"/>
              <w:numPr>
                <w:ilvl w:val="0"/>
                <w:numId w:val="4"/>
              </w:numPr>
              <w:snapToGrid w:val="0"/>
              <w:spacing w:before="180" w:beforeLines="50" w:afterLines="50"/>
              <w:jc w:val="both"/>
              <w:rPr>
                <w:iCs/>
                <w:sz w:val="20"/>
                <w:lang w:val="en-GB"/>
              </w:rPr>
            </w:pPr>
            <w:r>
              <w:rPr>
                <w:iCs/>
                <w:sz w:val="20"/>
                <w:lang w:val="en-GB" w:eastAsia="zh-CN"/>
              </w:rPr>
              <w:t xml:space="preserve">Based on </w:t>
            </w:r>
            <w:r>
              <w:rPr>
                <w:rFonts w:hint="eastAsia"/>
                <w:iCs/>
                <w:sz w:val="20"/>
                <w:lang w:eastAsia="zh-CN"/>
              </w:rPr>
              <w:t xml:space="preserve">the </w:t>
            </w:r>
            <w:r>
              <w:rPr>
                <w:iCs/>
                <w:sz w:val="20"/>
                <w:lang w:val="en-GB" w:eastAsia="zh-CN"/>
              </w:rPr>
              <w:t>agreed UE capability, UE (both RedCap UE and non-RedCap UE) will provide its “</w:t>
            </w:r>
            <w:bookmarkStart w:id="7" w:name="_Hlk204763478"/>
            <w:r>
              <w:rPr>
                <w:iCs/>
                <w:sz w:val="20"/>
                <w:lang w:val="en-GB" w:eastAsia="zh-CN"/>
              </w:rPr>
              <w:t>positioning SRS with Tx frequency hopping</w:t>
            </w:r>
            <w:bookmarkEnd w:id="7"/>
            <w:r>
              <w:rPr>
                <w:iCs/>
                <w:sz w:val="20"/>
                <w:lang w:val="en-GB" w:eastAsia="zh-CN"/>
              </w:rPr>
              <w:t>” related capability to LMF.</w:t>
            </w:r>
          </w:p>
          <w:p w14:paraId="63EC6915">
            <w:pPr>
              <w:pStyle w:val="93"/>
              <w:numPr>
                <w:ilvl w:val="0"/>
                <w:numId w:val="4"/>
              </w:numPr>
              <w:snapToGrid w:val="0"/>
              <w:spacing w:before="180" w:beforeLines="50" w:afterLines="50"/>
              <w:jc w:val="both"/>
              <w:rPr>
                <w:iCs/>
                <w:sz w:val="20"/>
                <w:lang w:val="en-GB"/>
              </w:rPr>
            </w:pPr>
            <w:r>
              <w:rPr>
                <w:iCs/>
                <w:sz w:val="20"/>
                <w:lang w:val="en-GB"/>
              </w:rPr>
              <w:t>Benefit of power boosting:</w:t>
            </w:r>
            <w:r>
              <w:rPr>
                <w:rFonts w:hint="eastAsia"/>
                <w:iCs/>
                <w:sz w:val="20"/>
                <w:lang w:val="en-GB"/>
              </w:rPr>
              <w:t xml:space="preserve"> </w:t>
            </w:r>
            <w:r>
              <w:rPr>
                <w:iCs/>
                <w:sz w:val="20"/>
                <w:lang w:val="en-GB"/>
              </w:rPr>
              <w:t xml:space="preserve">Unlike wideband SRS that distribute transmit power across a wide frequency, FH distributes energy across multiple narrowband channels over time. Since its instantaneous power is concentrated in narrower band during each hop, it can operate at higher peak power level compared to wideband </w:t>
            </w:r>
            <w:r>
              <w:rPr>
                <w:rFonts w:hint="eastAsia"/>
                <w:iCs/>
                <w:sz w:val="20"/>
                <w:lang w:eastAsia="zh-CN"/>
              </w:rPr>
              <w:t>SRS</w:t>
            </w:r>
            <w:r>
              <w:rPr>
                <w:iCs/>
                <w:sz w:val="20"/>
                <w:lang w:val="en-GB"/>
              </w:rPr>
              <w:t>, translating to extended coverage.</w:t>
            </w:r>
          </w:p>
          <w:p w14:paraId="16D86F7C">
            <w:pPr>
              <w:pStyle w:val="93"/>
              <w:numPr>
                <w:ilvl w:val="0"/>
                <w:numId w:val="4"/>
              </w:numPr>
              <w:snapToGrid w:val="0"/>
              <w:spacing w:before="180" w:beforeLines="50" w:afterLines="50"/>
              <w:jc w:val="both"/>
              <w:rPr>
                <w:iCs/>
                <w:sz w:val="20"/>
                <w:lang w:val="en-GB"/>
              </w:rPr>
            </w:pPr>
            <w:r>
              <w:rPr>
                <w:iCs/>
                <w:sz w:val="20"/>
                <w:lang w:val="en-GB"/>
              </w:rPr>
              <w:t>When the existing Bandwidth IE in the Requested SRS Transmission Characteristics IE exceeds the bandwidth capability of the RedCap UE, the serving gNB implicitly understands that Tx hopping configuration is needed. However, for non-RedCap UE, requesting SRS frequency hopping based solely on the Bandwidth IE is no longer sufficient. A new explicit indication is needed to request Tx hopping configuration for non-RedCap UE in Rel-19.</w:t>
            </w:r>
          </w:p>
          <w:p w14:paraId="401CD248">
            <w:pPr>
              <w:snapToGrid w:val="0"/>
              <w:spacing w:before="180" w:beforeLines="50" w:after="180" w:afterLines="50"/>
              <w:jc w:val="both"/>
              <w:rPr>
                <w:iCs/>
                <w:sz w:val="20"/>
                <w:lang w:val="en-GB"/>
              </w:rPr>
            </w:pPr>
            <w:r>
              <w:rPr>
                <w:rFonts w:hint="eastAsia"/>
                <w:iCs/>
                <w:sz w:val="20"/>
                <w:lang w:val="en-GB"/>
              </w:rPr>
              <w:t>B</w:t>
            </w:r>
            <w:r>
              <w:rPr>
                <w:iCs/>
                <w:sz w:val="20"/>
                <w:lang w:val="en-GB"/>
              </w:rPr>
              <w:t>ased on the above analysis, it is beneficial to have an indicator sent from LMF to gNB to request positioning SRS with Tx frequency hopping for non-RedCap UE.</w:t>
            </w:r>
          </w:p>
          <w:p w14:paraId="37BD5F09">
            <w:pPr>
              <w:snapToGrid w:val="0"/>
              <w:spacing w:before="180" w:beforeLines="50" w:after="180" w:afterLines="50"/>
              <w:jc w:val="both"/>
              <w:rPr>
                <w:iCs/>
                <w:sz w:val="20"/>
                <w:szCs w:val="20"/>
              </w:rPr>
            </w:pPr>
            <w:r>
              <w:rPr>
                <w:rFonts w:hint="eastAsia" w:eastAsiaTheme="minorEastAsia"/>
                <w:b/>
                <w:sz w:val="20"/>
                <w:szCs w:val="20"/>
                <w:lang w:bidi="ar"/>
              </w:rPr>
              <w:t>P</w:t>
            </w:r>
            <w:r>
              <w:rPr>
                <w:rFonts w:eastAsiaTheme="minorEastAsia"/>
                <w:b/>
                <w:sz w:val="20"/>
                <w:szCs w:val="20"/>
                <w:lang w:bidi="ar"/>
              </w:rPr>
              <w:t>roposal 1:</w:t>
            </w:r>
            <w:r>
              <w:t xml:space="preserve"> </w:t>
            </w:r>
            <w:r>
              <w:rPr>
                <w:rFonts w:eastAsiaTheme="minorEastAsia"/>
                <w:b/>
                <w:sz w:val="20"/>
                <w:szCs w:val="20"/>
                <w:lang w:bidi="ar"/>
              </w:rPr>
              <w:t>Introduce an indicator sent from LMF to gNB to request positioning SRS with Tx frequency hopping for non-RedCap UE.</w:t>
            </w:r>
          </w:p>
        </w:tc>
      </w:tr>
      <w:tr w14:paraId="43CAF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14:paraId="78F3AB41">
            <w:pPr>
              <w:autoSpaceDE w:val="0"/>
              <w:autoSpaceDN w:val="0"/>
              <w:adjustRightInd w:val="0"/>
              <w:snapToGrid w:val="0"/>
              <w:jc w:val="both"/>
              <w:rPr>
                <w:rFonts w:hint="eastAsia"/>
                <w:iCs/>
                <w:sz w:val="20"/>
                <w:szCs w:val="20"/>
              </w:rPr>
            </w:pPr>
            <w:r>
              <w:rPr>
                <w:iCs/>
                <w:sz w:val="20"/>
                <w:szCs w:val="20"/>
              </w:rPr>
              <w:t>Qualcomm</w:t>
            </w:r>
          </w:p>
        </w:tc>
        <w:tc>
          <w:tcPr>
            <w:tcW w:w="8221" w:type="dxa"/>
          </w:tcPr>
          <w:p w14:paraId="36FDDB18">
            <w:pPr>
              <w:snapToGrid w:val="0"/>
              <w:spacing w:before="180" w:beforeLines="50" w:after="180" w:afterLines="50"/>
              <w:jc w:val="both"/>
              <w:rPr>
                <w:iCs/>
                <w:sz w:val="20"/>
                <w:lang w:val="en-GB"/>
              </w:rPr>
            </w:pPr>
            <w:r>
              <w:rPr>
                <w:iCs/>
                <w:sz w:val="20"/>
                <w:lang w:val="en-GB"/>
              </w:rPr>
              <w:t xml:space="preserve">Even though we sympathize with both arguments presented above, we don’t consider it an essential addition at this point, and we believe that the system will work well without adding a frequency hopping indication for a nonRedcap UE. So, our preference is to not introduce such a request. </w:t>
            </w:r>
          </w:p>
        </w:tc>
      </w:tr>
    </w:tbl>
    <w:p w14:paraId="555EDC57">
      <w:pPr>
        <w:snapToGrid w:val="0"/>
        <w:rPr>
          <w:sz w:val="20"/>
          <w:szCs w:val="20"/>
        </w:rPr>
      </w:pPr>
    </w:p>
    <w:p w14:paraId="416A5CFF">
      <w:pPr>
        <w:snapToGrid w:val="0"/>
        <w:rPr>
          <w:sz w:val="20"/>
          <w:szCs w:val="20"/>
        </w:rPr>
      </w:pPr>
      <w:r>
        <w:rPr>
          <w:rFonts w:hint="eastAsia"/>
          <w:sz w:val="20"/>
          <w:szCs w:val="20"/>
        </w:rPr>
        <w:t>Based on contributions submitted in this meeting and off-offline discussion with companies, it is suggested to go with HW</w:t>
      </w:r>
      <w:r>
        <w:rPr>
          <w:sz w:val="20"/>
          <w:szCs w:val="20"/>
        </w:rPr>
        <w:t>’</w:t>
      </w:r>
      <w:r>
        <w:rPr>
          <w:rFonts w:hint="eastAsia"/>
          <w:sz w:val="20"/>
          <w:szCs w:val="20"/>
        </w:rPr>
        <w:t>s proposal:</w:t>
      </w:r>
    </w:p>
    <w:p w14:paraId="3BEC7F0E">
      <w:pPr>
        <w:autoSpaceDE w:val="0"/>
        <w:autoSpaceDN w:val="0"/>
        <w:adjustRightInd w:val="0"/>
        <w:snapToGrid w:val="0"/>
        <w:spacing w:before="180" w:beforeLines="50" w:after="180" w:afterLines="50"/>
        <w:jc w:val="both"/>
        <w:rPr>
          <w:iCs/>
          <w:sz w:val="20"/>
          <w:szCs w:val="20"/>
        </w:rPr>
      </w:pPr>
    </w:p>
    <w:p w14:paraId="03A5B142">
      <w:pPr>
        <w:autoSpaceDE w:val="0"/>
        <w:autoSpaceDN w:val="0"/>
        <w:adjustRightInd w:val="0"/>
        <w:snapToGrid w:val="0"/>
        <w:spacing w:before="180" w:beforeLines="50" w:after="180" w:afterLines="50"/>
        <w:jc w:val="both"/>
        <w:outlineLvl w:val="1"/>
        <w:rPr>
          <w:b/>
          <w:iCs/>
        </w:rPr>
      </w:pPr>
      <w:r>
        <w:rPr>
          <w:rFonts w:hint="eastAsia"/>
          <w:b/>
          <w:iCs/>
        </w:rPr>
        <w:t>Proposal</w:t>
      </w:r>
    </w:p>
    <w:p w14:paraId="55B153B9">
      <w:pPr>
        <w:snapToGrid w:val="0"/>
        <w:rPr>
          <w:b/>
          <w:bCs/>
          <w:sz w:val="20"/>
          <w:szCs w:val="20"/>
        </w:rPr>
      </w:pPr>
    </w:p>
    <w:p w14:paraId="7996CE77">
      <w:pPr>
        <w:snapToGrid w:val="0"/>
        <w:rPr>
          <w:b/>
          <w:bCs/>
          <w:sz w:val="20"/>
          <w:szCs w:val="20"/>
        </w:rPr>
      </w:pPr>
      <w:r>
        <w:rPr>
          <w:b/>
          <w:bCs/>
          <w:sz w:val="20"/>
          <w:szCs w:val="20"/>
        </w:rPr>
        <w:t>RAN1 to reply to RAN3 that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DAE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51C28D9">
            <w:pPr>
              <w:widowControl w:val="0"/>
              <w:snapToGrid w:val="0"/>
              <w:rPr>
                <w:sz w:val="20"/>
                <w:szCs w:val="20"/>
              </w:rPr>
            </w:pPr>
            <w:r>
              <w:rPr>
                <w:rFonts w:hint="eastAsia"/>
                <w:sz w:val="20"/>
                <w:szCs w:val="20"/>
              </w:rPr>
              <w:t>R</w:t>
            </w:r>
            <w:r>
              <w:rPr>
                <w:sz w:val="20"/>
                <w:szCs w:val="20"/>
              </w:rPr>
              <w:t>AN1 thanks RAN3 for the question.</w:t>
            </w:r>
          </w:p>
          <w:p w14:paraId="1ACC53A8">
            <w:pPr>
              <w:widowControl w:val="0"/>
              <w:snapToGrid w:val="0"/>
              <w:rPr>
                <w:b/>
                <w:bCs/>
                <w:sz w:val="20"/>
                <w:szCs w:val="20"/>
              </w:rPr>
            </w:pPr>
            <w:r>
              <w:rPr>
                <w:sz w:val="20"/>
                <w:szCs w:val="20"/>
              </w:rPr>
              <w:t>RAN1 has discussed this matter and agreed that no additional LMF requirements are to be provided to the gNB in requesting the UL SRS configuration with or without SRS frequency hopping for the non-RedCap UEs.</w:t>
            </w:r>
          </w:p>
        </w:tc>
      </w:tr>
    </w:tbl>
    <w:p w14:paraId="770DB9FA">
      <w:pPr>
        <w:autoSpaceDE w:val="0"/>
        <w:autoSpaceDN w:val="0"/>
        <w:adjustRightInd w:val="0"/>
        <w:snapToGrid w:val="0"/>
        <w:spacing w:before="180" w:beforeLines="50" w:after="180" w:afterLines="50"/>
        <w:jc w:val="both"/>
        <w:rPr>
          <w:b/>
          <w:iCs/>
          <w:sz w:val="20"/>
          <w:szCs w:val="20"/>
        </w:rPr>
      </w:pPr>
    </w:p>
    <w:p w14:paraId="63FAAEFF">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the above proposal (draft LS reply provided in Annex)</w:t>
      </w:r>
      <w:r>
        <w:rPr>
          <w:b/>
          <w:iCs/>
          <w:sz w:val="20"/>
          <w:szCs w:val="20"/>
        </w:rPr>
        <w:t>:</w:t>
      </w:r>
    </w:p>
    <w:tbl>
      <w:tblPr>
        <w:tblStyle w:val="25"/>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14:paraId="67A64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14:paraId="251689F1">
            <w:pPr>
              <w:snapToGrid w:val="0"/>
              <w:rPr>
                <w:b/>
                <w:iCs/>
                <w:sz w:val="18"/>
                <w:szCs w:val="18"/>
              </w:rPr>
            </w:pPr>
            <w:r>
              <w:rPr>
                <w:rFonts w:hint="eastAsia"/>
                <w:b/>
                <w:iCs/>
                <w:sz w:val="18"/>
                <w:szCs w:val="18"/>
              </w:rPr>
              <w:t>Company</w:t>
            </w:r>
          </w:p>
        </w:tc>
        <w:tc>
          <w:tcPr>
            <w:tcW w:w="2185" w:type="dxa"/>
            <w:vAlign w:val="center"/>
          </w:tcPr>
          <w:p w14:paraId="588CBE0D">
            <w:pPr>
              <w:snapToGrid w:val="0"/>
              <w:rPr>
                <w:b/>
                <w:iCs/>
                <w:sz w:val="18"/>
                <w:szCs w:val="18"/>
              </w:rPr>
            </w:pPr>
            <w:r>
              <w:rPr>
                <w:rFonts w:hint="eastAsia"/>
                <w:b/>
                <w:iCs/>
                <w:sz w:val="18"/>
                <w:szCs w:val="18"/>
              </w:rPr>
              <w:t>Yes or no</w:t>
            </w:r>
          </w:p>
        </w:tc>
        <w:tc>
          <w:tcPr>
            <w:tcW w:w="5888" w:type="dxa"/>
            <w:vAlign w:val="center"/>
          </w:tcPr>
          <w:p w14:paraId="0DABEF4F">
            <w:pPr>
              <w:snapToGrid w:val="0"/>
              <w:rPr>
                <w:b/>
                <w:iCs/>
                <w:sz w:val="18"/>
                <w:szCs w:val="18"/>
              </w:rPr>
            </w:pPr>
            <w:r>
              <w:rPr>
                <w:rFonts w:hint="eastAsia"/>
                <w:b/>
                <w:iCs/>
                <w:sz w:val="18"/>
                <w:szCs w:val="18"/>
              </w:rPr>
              <w:t>Comments if any</w:t>
            </w:r>
          </w:p>
        </w:tc>
      </w:tr>
      <w:tr w14:paraId="2F9BD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14:paraId="16AB88D5">
            <w:pPr>
              <w:snapToGrid w:val="0"/>
              <w:rPr>
                <w:rFonts w:eastAsiaTheme="minorEastAsia"/>
                <w:bCs/>
                <w:iCs/>
                <w:sz w:val="20"/>
                <w:szCs w:val="20"/>
              </w:rPr>
            </w:pPr>
            <w:r>
              <w:rPr>
                <w:rFonts w:hint="eastAsia" w:eastAsiaTheme="minorEastAsia"/>
                <w:bCs/>
                <w:iCs/>
                <w:sz w:val="20"/>
                <w:szCs w:val="20"/>
              </w:rPr>
              <w:t>H</w:t>
            </w:r>
            <w:r>
              <w:rPr>
                <w:rFonts w:eastAsiaTheme="minorEastAsia"/>
                <w:bCs/>
                <w:iCs/>
                <w:sz w:val="20"/>
                <w:szCs w:val="20"/>
              </w:rPr>
              <w:t>uawei, HiSilicon</w:t>
            </w:r>
          </w:p>
        </w:tc>
        <w:tc>
          <w:tcPr>
            <w:tcW w:w="2185" w:type="dxa"/>
            <w:vAlign w:val="center"/>
          </w:tcPr>
          <w:p w14:paraId="1CE4C961">
            <w:pPr>
              <w:snapToGrid w:val="0"/>
              <w:rPr>
                <w:rFonts w:eastAsiaTheme="minorEastAsia"/>
                <w:bCs/>
                <w:iCs/>
                <w:sz w:val="20"/>
                <w:szCs w:val="20"/>
              </w:rPr>
            </w:pPr>
            <w:r>
              <w:rPr>
                <w:rFonts w:hint="eastAsia" w:eastAsiaTheme="minorEastAsia"/>
                <w:bCs/>
                <w:iCs/>
                <w:sz w:val="20"/>
                <w:szCs w:val="20"/>
              </w:rPr>
              <w:t>Y</w:t>
            </w:r>
            <w:r>
              <w:rPr>
                <w:rFonts w:eastAsiaTheme="minorEastAsia"/>
                <w:bCs/>
                <w:iCs/>
                <w:sz w:val="20"/>
                <w:szCs w:val="20"/>
              </w:rPr>
              <w:t>es</w:t>
            </w:r>
          </w:p>
        </w:tc>
        <w:tc>
          <w:tcPr>
            <w:tcW w:w="5888" w:type="dxa"/>
            <w:vAlign w:val="center"/>
          </w:tcPr>
          <w:p w14:paraId="1A25EE68">
            <w:pPr>
              <w:pStyle w:val="93"/>
              <w:snapToGrid w:val="0"/>
              <w:spacing w:after="0"/>
              <w:ind w:left="0"/>
              <w:rPr>
                <w:rFonts w:eastAsiaTheme="minorEastAsia"/>
                <w:bCs/>
                <w:iCs/>
                <w:sz w:val="20"/>
                <w:lang w:eastAsia="zh-CN"/>
              </w:rPr>
            </w:pPr>
          </w:p>
        </w:tc>
      </w:tr>
      <w:tr w14:paraId="54AE2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14:paraId="3A83D77F">
            <w:pPr>
              <w:snapToGrid w:val="0"/>
              <w:rPr>
                <w:rFonts w:eastAsia="MS Mincho"/>
                <w:bCs/>
                <w:iCs/>
                <w:sz w:val="20"/>
                <w:szCs w:val="20"/>
                <w:lang w:eastAsia="ja-JP"/>
              </w:rPr>
            </w:pPr>
            <w:r>
              <w:rPr>
                <w:rFonts w:eastAsia="MS Mincho"/>
                <w:bCs/>
                <w:iCs/>
                <w:sz w:val="20"/>
                <w:szCs w:val="20"/>
                <w:lang w:eastAsia="ja-JP"/>
              </w:rPr>
              <w:t>Qualcomm</w:t>
            </w:r>
          </w:p>
        </w:tc>
        <w:tc>
          <w:tcPr>
            <w:tcW w:w="2185" w:type="dxa"/>
            <w:vAlign w:val="center"/>
          </w:tcPr>
          <w:p w14:paraId="497B48AA">
            <w:pPr>
              <w:snapToGrid w:val="0"/>
              <w:rPr>
                <w:rFonts w:eastAsia="MS Mincho"/>
                <w:bCs/>
                <w:iCs/>
                <w:sz w:val="20"/>
                <w:szCs w:val="20"/>
                <w:lang w:eastAsia="ja-JP"/>
              </w:rPr>
            </w:pPr>
            <w:r>
              <w:rPr>
                <w:rFonts w:eastAsia="MS Mincho"/>
                <w:bCs/>
                <w:iCs/>
                <w:sz w:val="20"/>
                <w:szCs w:val="20"/>
                <w:lang w:eastAsia="ja-JP"/>
              </w:rPr>
              <w:t>Yes</w:t>
            </w:r>
          </w:p>
        </w:tc>
        <w:tc>
          <w:tcPr>
            <w:tcW w:w="5888" w:type="dxa"/>
            <w:vAlign w:val="center"/>
          </w:tcPr>
          <w:p w14:paraId="7E4DC66C">
            <w:pPr>
              <w:pStyle w:val="93"/>
              <w:snapToGrid w:val="0"/>
              <w:spacing w:after="0"/>
              <w:ind w:left="0"/>
              <w:rPr>
                <w:rFonts w:eastAsia="MS Mincho"/>
                <w:bCs/>
                <w:iCs/>
                <w:sz w:val="20"/>
              </w:rPr>
            </w:pPr>
          </w:p>
        </w:tc>
      </w:tr>
    </w:tbl>
    <w:p w14:paraId="41101462">
      <w:pPr>
        <w:autoSpaceDE w:val="0"/>
        <w:autoSpaceDN w:val="0"/>
        <w:adjustRightInd w:val="0"/>
        <w:snapToGrid w:val="0"/>
        <w:spacing w:before="180" w:beforeLines="50" w:after="180" w:afterLines="50"/>
        <w:jc w:val="both"/>
        <w:rPr>
          <w:iCs/>
          <w:sz w:val="20"/>
          <w:szCs w:val="20"/>
        </w:rPr>
      </w:pPr>
    </w:p>
    <w:p w14:paraId="59E4F5EE">
      <w:pPr>
        <w:pStyle w:val="2"/>
        <w:snapToGrid w:val="0"/>
        <w:spacing w:before="120" w:after="180" w:afterLines="50"/>
        <w:ind w:left="431" w:hanging="431"/>
        <w:jc w:val="both"/>
        <w:rPr>
          <w:sz w:val="28"/>
          <w:lang w:val="en-US"/>
        </w:rPr>
      </w:pPr>
      <w:r>
        <w:rPr>
          <w:rFonts w:hint="eastAsia"/>
          <w:sz w:val="28"/>
          <w:lang w:val="en-US"/>
        </w:rPr>
        <w:t>Annex (Draft LS reply)</w:t>
      </w:r>
    </w:p>
    <w:p w14:paraId="1959BE97">
      <w:pPr>
        <w:rPr>
          <w:sz w:val="20"/>
        </w:rPr>
      </w:pPr>
    </w:p>
    <w:tbl>
      <w:tblPr>
        <w:tblStyle w:val="25"/>
        <w:tblW w:w="10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5"/>
      </w:tblGrid>
      <w:tr w14:paraId="520C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5" w:type="dxa"/>
          </w:tcPr>
          <w:p w14:paraId="0811A3DD">
            <w:pPr>
              <w:tabs>
                <w:tab w:val="right" w:pos="9630"/>
              </w:tabs>
              <w:rPr>
                <w:rFonts w:ascii="Arial" w:hAnsi="Arial" w:cs="Arial"/>
                <w:b/>
                <w:sz w:val="20"/>
                <w:szCs w:val="20"/>
              </w:rPr>
            </w:pPr>
            <w:r>
              <w:rPr>
                <w:rFonts w:ascii="Arial" w:hAnsi="Arial"/>
                <w:b/>
                <w:sz w:val="20"/>
                <w:szCs w:val="20"/>
                <w:lang w:eastAsia="ja-JP"/>
              </w:rPr>
              <w:t xml:space="preserve">3GPP TSG RAN WG1 #122   </w:t>
            </w:r>
            <w:r>
              <w:rPr>
                <w:rFonts w:ascii="Arial" w:hAnsi="Arial" w:cs="Arial"/>
                <w:b/>
                <w:sz w:val="20"/>
                <w:szCs w:val="20"/>
              </w:rPr>
              <w:t xml:space="preserve">                                                       </w:t>
            </w:r>
            <w:r>
              <w:rPr>
                <w:rFonts w:hint="eastAsia" w:ascii="Arial" w:hAnsi="Arial" w:cs="Arial"/>
                <w:b/>
                <w:sz w:val="20"/>
                <w:szCs w:val="20"/>
              </w:rPr>
              <w:t xml:space="preserve">    </w:t>
            </w:r>
            <w:r>
              <w:rPr>
                <w:rFonts w:ascii="Arial" w:hAnsi="Arial" w:cs="Arial"/>
                <w:b/>
                <w:sz w:val="20"/>
                <w:szCs w:val="20"/>
              </w:rPr>
              <w:tab/>
            </w:r>
            <w:r>
              <w:rPr>
                <w:rFonts w:ascii="Arial" w:hAnsi="Arial" w:cs="Arial"/>
                <w:b/>
                <w:sz w:val="20"/>
                <w:szCs w:val="20"/>
              </w:rPr>
              <w:t xml:space="preserve">     </w:t>
            </w:r>
            <w:r>
              <w:rPr>
                <w:rFonts w:hint="eastAsia" w:ascii="Arial" w:hAnsi="Arial" w:cs="Arial"/>
                <w:b/>
                <w:sz w:val="20"/>
                <w:szCs w:val="20"/>
              </w:rPr>
              <w:t xml:space="preserve">       R1-2</w:t>
            </w:r>
            <w:r>
              <w:rPr>
                <w:rFonts w:ascii="Arial" w:hAnsi="Arial" w:cs="Arial"/>
                <w:b/>
                <w:sz w:val="20"/>
                <w:szCs w:val="20"/>
              </w:rPr>
              <w:t>50</w:t>
            </w:r>
            <w:r>
              <w:rPr>
                <w:rFonts w:hint="eastAsia" w:ascii="Arial" w:hAnsi="Arial" w:cs="Arial"/>
                <w:b/>
                <w:sz w:val="20"/>
                <w:szCs w:val="20"/>
                <w:highlight w:val="yellow"/>
              </w:rPr>
              <w:t>xxxx</w:t>
            </w:r>
          </w:p>
          <w:p w14:paraId="55125BDC">
            <w:pPr>
              <w:rPr>
                <w:rFonts w:ascii="Arial" w:hAnsi="Arial" w:cs="Arial"/>
                <w:b/>
                <w:sz w:val="20"/>
                <w:szCs w:val="20"/>
              </w:rPr>
            </w:pPr>
            <w:r>
              <w:rPr>
                <w:rFonts w:ascii="Arial" w:hAnsi="Arial" w:cs="Arial"/>
                <w:b/>
                <w:sz w:val="20"/>
                <w:szCs w:val="20"/>
              </w:rPr>
              <w:t>Bengaluru, India, Aug 25</w:t>
            </w:r>
            <w:r>
              <w:rPr>
                <w:rFonts w:ascii="Arial" w:hAnsi="Arial" w:cs="Arial"/>
                <w:b/>
                <w:sz w:val="20"/>
                <w:szCs w:val="20"/>
                <w:vertAlign w:val="superscript"/>
              </w:rPr>
              <w:t>th</w:t>
            </w:r>
            <w:r>
              <w:rPr>
                <w:rFonts w:ascii="Arial" w:hAnsi="Arial" w:cs="Arial"/>
                <w:b/>
                <w:sz w:val="20"/>
                <w:szCs w:val="20"/>
              </w:rPr>
              <w:t xml:space="preserve"> – 29</w:t>
            </w:r>
            <w:r>
              <w:rPr>
                <w:rFonts w:ascii="Arial" w:hAnsi="Arial" w:cs="Arial"/>
                <w:b/>
                <w:sz w:val="20"/>
                <w:szCs w:val="20"/>
                <w:vertAlign w:val="superscript"/>
              </w:rPr>
              <w:t>th</w:t>
            </w:r>
            <w:r>
              <w:rPr>
                <w:rFonts w:ascii="Arial" w:hAnsi="Arial" w:cs="Arial"/>
                <w:b/>
                <w:sz w:val="20"/>
                <w:szCs w:val="20"/>
              </w:rPr>
              <w:t>, 2025</w:t>
            </w:r>
          </w:p>
          <w:p w14:paraId="5D94252D">
            <w:pPr>
              <w:rPr>
                <w:rFonts w:ascii="Arial" w:hAnsi="Arial" w:cs="Arial"/>
                <w:sz w:val="20"/>
                <w:szCs w:val="20"/>
              </w:rPr>
            </w:pPr>
          </w:p>
          <w:p w14:paraId="745533AE">
            <w:pPr>
              <w:rPr>
                <w:rFonts w:ascii="Arial" w:hAnsi="Arial" w:cs="Arial"/>
                <w:sz w:val="21"/>
                <w:szCs w:val="21"/>
              </w:rPr>
            </w:pPr>
          </w:p>
          <w:p w14:paraId="12CB8EB5">
            <w:pPr>
              <w:spacing w:after="60"/>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hint="eastAsia" w:ascii="Arial" w:hAnsi="Arial" w:cs="Arial"/>
                <w:b/>
                <w:sz w:val="21"/>
                <w:szCs w:val="21"/>
              </w:rPr>
              <w:t xml:space="preserve"> </w:t>
            </w:r>
            <w:r>
              <w:rPr>
                <w:rFonts w:ascii="Arial" w:hAnsi="Arial" w:cs="Arial"/>
                <w:bCs/>
                <w:sz w:val="21"/>
                <w:szCs w:val="21"/>
              </w:rPr>
              <w:t>Draft reply LS on non-RedCap UE UL SRS frequency hopping for positioning</w:t>
            </w:r>
          </w:p>
          <w:p w14:paraId="464CC4E9">
            <w:pPr>
              <w:rPr>
                <w:rFonts w:ascii="Arial" w:hAnsi="Arial" w:cs="Arial"/>
                <w:bCs/>
                <w:sz w:val="21"/>
                <w:szCs w:val="21"/>
              </w:rPr>
            </w:pPr>
            <w:r>
              <w:rPr>
                <w:rFonts w:ascii="Arial" w:hAnsi="Arial" w:cs="Arial"/>
                <w:b/>
                <w:sz w:val="21"/>
                <w:szCs w:val="21"/>
              </w:rPr>
              <w:t>Response to:</w:t>
            </w:r>
            <w:r>
              <w:rPr>
                <w:rFonts w:ascii="Arial" w:hAnsi="Arial" w:cs="Arial"/>
                <w:bCs/>
                <w:sz w:val="21"/>
                <w:szCs w:val="21"/>
              </w:rPr>
              <w:tab/>
            </w:r>
            <w:r>
              <w:rPr>
                <w:rFonts w:hint="eastAsia" w:ascii="Arial" w:hAnsi="Arial" w:cs="Arial"/>
                <w:bCs/>
                <w:sz w:val="21"/>
                <w:szCs w:val="21"/>
              </w:rPr>
              <w:t xml:space="preserve">       </w:t>
            </w:r>
            <w:r>
              <w:rPr>
                <w:rFonts w:ascii="Arial" w:hAnsi="Arial" w:cs="Arial"/>
                <w:bCs/>
                <w:sz w:val="21"/>
                <w:szCs w:val="21"/>
              </w:rPr>
              <w:t>R3-253749 (R1-2505106)</w:t>
            </w:r>
          </w:p>
          <w:p w14:paraId="1944DC44">
            <w:pPr>
              <w:spacing w:after="60"/>
              <w:ind w:left="1985" w:hanging="1985"/>
              <w:rPr>
                <w:rFonts w:ascii="Arial" w:hAnsi="Arial" w:cs="Arial"/>
                <w:bCs/>
                <w:sz w:val="21"/>
                <w:szCs w:val="21"/>
              </w:rPr>
            </w:pPr>
            <w:r>
              <w:rPr>
                <w:rFonts w:ascii="Arial" w:hAnsi="Arial" w:cs="Arial"/>
                <w:bCs/>
                <w:sz w:val="21"/>
                <w:szCs w:val="21"/>
              </w:rPr>
              <w:t>Release:</w:t>
            </w:r>
            <w:r>
              <w:rPr>
                <w:rFonts w:ascii="Arial" w:hAnsi="Arial" w:cs="Arial"/>
                <w:bCs/>
                <w:sz w:val="21"/>
                <w:szCs w:val="21"/>
              </w:rPr>
              <w:tab/>
            </w:r>
            <w:r>
              <w:rPr>
                <w:rFonts w:hint="eastAsia" w:ascii="Arial" w:hAnsi="Arial" w:cs="Arial"/>
                <w:bCs/>
                <w:sz w:val="21"/>
                <w:szCs w:val="21"/>
              </w:rPr>
              <w:t xml:space="preserve">  </w:t>
            </w:r>
            <w:r>
              <w:rPr>
                <w:rFonts w:ascii="Arial" w:hAnsi="Arial" w:cs="Arial"/>
                <w:bCs/>
                <w:sz w:val="21"/>
                <w:szCs w:val="21"/>
              </w:rPr>
              <w:t>Release 19</w:t>
            </w:r>
          </w:p>
          <w:p w14:paraId="6DFE6809">
            <w:pPr>
              <w:rPr>
                <w:sz w:val="21"/>
                <w:szCs w:val="21"/>
              </w:rPr>
            </w:pPr>
            <w:r>
              <w:rPr>
                <w:rFonts w:ascii="Arial" w:hAnsi="Arial" w:cs="Arial"/>
                <w:b/>
                <w:sz w:val="21"/>
                <w:szCs w:val="21"/>
              </w:rPr>
              <w:t>Work Item:</w:t>
            </w:r>
            <w:r>
              <w:rPr>
                <w:rFonts w:ascii="Arial" w:hAnsi="Arial" w:cs="Arial"/>
                <w:bCs/>
                <w:sz w:val="21"/>
                <w:szCs w:val="21"/>
              </w:rPr>
              <w:tab/>
            </w:r>
            <w:r>
              <w:rPr>
                <w:rFonts w:ascii="Arial" w:hAnsi="Arial" w:cs="Arial"/>
                <w:bCs/>
                <w:sz w:val="21"/>
                <w:szCs w:val="21"/>
              </w:rPr>
              <w:t xml:space="preserve">      TEI19</w:t>
            </w:r>
          </w:p>
          <w:p w14:paraId="2A574D6B">
            <w:pPr>
              <w:spacing w:after="60"/>
              <w:ind w:left="1985" w:hanging="1985"/>
              <w:rPr>
                <w:rFonts w:ascii="Arial" w:hAnsi="Arial" w:cs="Arial"/>
                <w:b/>
                <w:sz w:val="21"/>
                <w:szCs w:val="21"/>
              </w:rPr>
            </w:pPr>
          </w:p>
          <w:p w14:paraId="3C097774">
            <w:pPr>
              <w:spacing w:after="60"/>
              <w:ind w:left="1985" w:hanging="1985"/>
              <w:rPr>
                <w:rFonts w:ascii="Arial" w:hAnsi="Arial" w:cs="Arial"/>
                <w:bCs/>
                <w:sz w:val="21"/>
                <w:szCs w:val="21"/>
              </w:rPr>
            </w:pPr>
            <w:r>
              <w:rPr>
                <w:rFonts w:ascii="Arial" w:hAnsi="Arial" w:cs="Arial"/>
                <w:b/>
                <w:sz w:val="21"/>
                <w:szCs w:val="21"/>
              </w:rPr>
              <w:t>Source:</w:t>
            </w:r>
            <w:r>
              <w:rPr>
                <w:rFonts w:ascii="Arial" w:hAnsi="Arial" w:cs="Arial"/>
                <w:bCs/>
                <w:color w:val="FF0000"/>
                <w:sz w:val="21"/>
                <w:szCs w:val="21"/>
              </w:rPr>
              <w:tab/>
            </w:r>
            <w:r>
              <w:rPr>
                <w:rFonts w:hint="eastAsia" w:ascii="Arial" w:hAnsi="Arial" w:cs="Arial"/>
                <w:bCs/>
                <w:sz w:val="21"/>
                <w:szCs w:val="21"/>
              </w:rPr>
              <w:t>RAN1</w:t>
            </w:r>
          </w:p>
          <w:p w14:paraId="22BBFB0F">
            <w:pPr>
              <w:spacing w:after="60"/>
              <w:ind w:left="1985" w:hanging="1985"/>
              <w:rPr>
                <w:rFonts w:ascii="Arial" w:hAnsi="Arial" w:cs="Arial"/>
                <w:bCs/>
                <w:sz w:val="21"/>
                <w:szCs w:val="21"/>
              </w:rPr>
            </w:pPr>
            <w:r>
              <w:rPr>
                <w:rFonts w:ascii="Arial" w:hAnsi="Arial" w:cs="Arial"/>
                <w:b/>
                <w:sz w:val="21"/>
                <w:szCs w:val="21"/>
              </w:rPr>
              <w:t>To:</w:t>
            </w:r>
            <w:r>
              <w:rPr>
                <w:rFonts w:ascii="Arial" w:hAnsi="Arial" w:cs="Arial"/>
                <w:bCs/>
                <w:sz w:val="21"/>
                <w:szCs w:val="21"/>
              </w:rPr>
              <w:tab/>
            </w:r>
            <w:r>
              <w:rPr>
                <w:rFonts w:hint="eastAsia" w:ascii="Arial" w:hAnsi="Arial" w:cs="Arial"/>
                <w:bCs/>
                <w:sz w:val="21"/>
                <w:szCs w:val="21"/>
              </w:rPr>
              <w:t>RAN</w:t>
            </w:r>
            <w:r>
              <w:rPr>
                <w:rFonts w:ascii="Arial" w:hAnsi="Arial" w:cs="Arial"/>
                <w:bCs/>
                <w:sz w:val="21"/>
                <w:szCs w:val="21"/>
              </w:rPr>
              <w:t>3</w:t>
            </w:r>
          </w:p>
          <w:p w14:paraId="63AA6D70">
            <w:pPr>
              <w:spacing w:after="60"/>
              <w:ind w:left="1985" w:hanging="1985"/>
              <w:rPr>
                <w:rFonts w:ascii="Arial" w:hAnsi="Arial" w:cs="Arial"/>
                <w:bCs/>
                <w:sz w:val="21"/>
                <w:szCs w:val="21"/>
              </w:rPr>
            </w:pPr>
            <w:r>
              <w:rPr>
                <w:rFonts w:ascii="Arial" w:hAnsi="Arial" w:cs="Arial"/>
                <w:b/>
                <w:sz w:val="21"/>
                <w:szCs w:val="21"/>
              </w:rPr>
              <w:t>Cc:</w:t>
            </w:r>
            <w:r>
              <w:rPr>
                <w:rFonts w:ascii="Arial" w:hAnsi="Arial" w:cs="Arial"/>
                <w:bCs/>
                <w:sz w:val="21"/>
                <w:szCs w:val="21"/>
              </w:rPr>
              <w:tab/>
            </w:r>
            <w:r>
              <w:rPr>
                <w:rFonts w:hint="eastAsia" w:ascii="Arial" w:hAnsi="Arial" w:cs="Arial"/>
                <w:bCs/>
                <w:sz w:val="21"/>
                <w:szCs w:val="21"/>
              </w:rPr>
              <w:t>RAN</w:t>
            </w:r>
            <w:r>
              <w:rPr>
                <w:rFonts w:ascii="Arial" w:hAnsi="Arial" w:cs="Arial"/>
                <w:bCs/>
                <w:sz w:val="21"/>
                <w:szCs w:val="21"/>
              </w:rPr>
              <w:t>2</w:t>
            </w:r>
          </w:p>
          <w:p w14:paraId="452B5FE0">
            <w:pPr>
              <w:spacing w:after="60"/>
              <w:ind w:left="1985" w:hanging="1985"/>
              <w:rPr>
                <w:rFonts w:ascii="Arial" w:hAnsi="Arial" w:cs="Arial"/>
                <w:bCs/>
                <w:sz w:val="21"/>
                <w:szCs w:val="21"/>
              </w:rPr>
            </w:pPr>
          </w:p>
          <w:p w14:paraId="4DFF4E68">
            <w:pPr>
              <w:tabs>
                <w:tab w:val="left" w:pos="2268"/>
              </w:tabs>
              <w:rPr>
                <w:rFonts w:ascii="Arial" w:hAnsi="Arial" w:cs="Arial"/>
                <w:bCs/>
                <w:sz w:val="21"/>
                <w:szCs w:val="21"/>
              </w:rPr>
            </w:pPr>
            <w:r>
              <w:rPr>
                <w:rFonts w:ascii="Arial" w:hAnsi="Arial" w:cs="Arial"/>
                <w:b/>
                <w:sz w:val="21"/>
                <w:szCs w:val="21"/>
              </w:rPr>
              <w:t>Contact Person:</w:t>
            </w:r>
            <w:r>
              <w:rPr>
                <w:rFonts w:ascii="Arial" w:hAnsi="Arial" w:cs="Arial"/>
                <w:bCs/>
                <w:sz w:val="21"/>
                <w:szCs w:val="21"/>
              </w:rPr>
              <w:tab/>
            </w:r>
          </w:p>
          <w:p w14:paraId="6FA0EA27">
            <w:pPr>
              <w:pStyle w:val="5"/>
              <w:tabs>
                <w:tab w:val="left" w:pos="2268"/>
                <w:tab w:val="left" w:pos="2694"/>
              </w:tabs>
              <w:ind w:left="943" w:leftChars="253" w:hanging="336" w:hangingChars="153"/>
              <w:rPr>
                <w:rFonts w:cs="Arial"/>
                <w:bCs/>
                <w:sz w:val="22"/>
                <w:szCs w:val="22"/>
              </w:rPr>
            </w:pPr>
            <w:r>
              <w:rPr>
                <w:rFonts w:cs="Arial"/>
                <w:sz w:val="22"/>
                <w:szCs w:val="22"/>
              </w:rPr>
              <w:t>Name:</w:t>
            </w:r>
            <w:r>
              <w:rPr>
                <w:rFonts w:cs="Arial"/>
                <w:bCs/>
                <w:sz w:val="22"/>
                <w:szCs w:val="22"/>
              </w:rPr>
              <w:tab/>
            </w:r>
            <w:r>
              <w:rPr>
                <w:rFonts w:cs="Arial"/>
                <w:bCs/>
                <w:sz w:val="22"/>
                <w:szCs w:val="22"/>
              </w:rPr>
              <w:t>Li Mengzhen</w:t>
            </w:r>
          </w:p>
          <w:p w14:paraId="1360D1D7">
            <w:pPr>
              <w:tabs>
                <w:tab w:val="left" w:pos="2268"/>
                <w:tab w:val="left" w:pos="2694"/>
              </w:tabs>
              <w:ind w:left="567"/>
              <w:rPr>
                <w:rFonts w:ascii="Arial" w:hAnsi="Arial" w:cs="Arial"/>
                <w:bCs/>
                <w:sz w:val="21"/>
                <w:szCs w:val="21"/>
              </w:rPr>
            </w:pPr>
            <w:r>
              <w:rPr>
                <w:rFonts w:ascii="Arial" w:hAnsi="Arial" w:cs="Arial"/>
                <w:b/>
                <w:sz w:val="21"/>
                <w:szCs w:val="21"/>
              </w:rPr>
              <w:t>Tel. Number:</w:t>
            </w:r>
            <w:r>
              <w:rPr>
                <w:rFonts w:ascii="Arial" w:hAnsi="Arial" w:cs="Arial"/>
                <w:bCs/>
                <w:sz w:val="21"/>
                <w:szCs w:val="21"/>
              </w:rPr>
              <w:tab/>
            </w:r>
          </w:p>
          <w:p w14:paraId="229CB502">
            <w:pPr>
              <w:pStyle w:val="7"/>
              <w:tabs>
                <w:tab w:val="left" w:pos="2268"/>
              </w:tabs>
              <w:ind w:left="567"/>
              <w:rPr>
                <w:rFonts w:cs="Arial"/>
                <w:b w:val="0"/>
                <w:bCs/>
                <w:sz w:val="21"/>
                <w:szCs w:val="21"/>
              </w:rPr>
            </w:pPr>
            <w:r>
              <w:rPr>
                <w:rFonts w:cs="Arial"/>
                <w:sz w:val="21"/>
                <w:szCs w:val="21"/>
              </w:rPr>
              <w:t>E-mail Address:</w:t>
            </w:r>
            <w:r>
              <w:rPr>
                <w:rFonts w:cs="Arial"/>
                <w:b w:val="0"/>
                <w:bCs/>
                <w:sz w:val="21"/>
                <w:szCs w:val="21"/>
              </w:rPr>
              <w:tab/>
            </w:r>
            <w:r>
              <w:rPr>
                <w:rFonts w:cs="Arial"/>
                <w:b w:val="0"/>
                <w:bCs/>
                <w:sz w:val="21"/>
                <w:szCs w:val="21"/>
              </w:rPr>
              <w:t>li.mengzhen@zte.com.cn</w:t>
            </w:r>
          </w:p>
          <w:p w14:paraId="14D50C18">
            <w:pPr>
              <w:spacing w:after="60"/>
              <w:ind w:left="1985" w:hanging="1985"/>
              <w:rPr>
                <w:rFonts w:ascii="Arial" w:hAnsi="Arial" w:cs="Arial"/>
                <w:b/>
                <w:sz w:val="21"/>
                <w:szCs w:val="21"/>
              </w:rPr>
            </w:pPr>
          </w:p>
          <w:p w14:paraId="144A4D50">
            <w:pPr>
              <w:tabs>
                <w:tab w:val="left" w:pos="2268"/>
              </w:tabs>
              <w:rPr>
                <w:rFonts w:ascii="Arial" w:hAnsi="Arial" w:cs="Arial"/>
                <w:bCs/>
                <w:sz w:val="21"/>
                <w:szCs w:val="21"/>
              </w:rPr>
            </w:pPr>
            <w:r>
              <w:rPr>
                <w:rFonts w:ascii="Arial" w:hAnsi="Arial" w:cs="Arial"/>
                <w:b/>
                <w:sz w:val="21"/>
                <w:szCs w:val="21"/>
              </w:rPr>
              <w:t>Send any reply LS to:</w:t>
            </w:r>
            <w:r>
              <w:rPr>
                <w:rFonts w:ascii="Arial" w:hAnsi="Arial" w:cs="Arial"/>
                <w:b/>
                <w:sz w:val="21"/>
                <w:szCs w:val="21"/>
              </w:rPr>
              <w:tab/>
            </w:r>
            <w:r>
              <w:rPr>
                <w:rFonts w:ascii="Arial" w:hAnsi="Arial" w:cs="Arial"/>
                <w:b/>
                <w:sz w:val="21"/>
                <w:szCs w:val="21"/>
              </w:rPr>
              <w:t xml:space="preserve">3GPP Liaisons Coordinator, </w:t>
            </w:r>
            <w:r>
              <w:fldChar w:fldCharType="begin"/>
            </w:r>
            <w:r>
              <w:instrText xml:space="preserve"> HYPERLINK "mailto:3GPPLiaison@etsi.org" </w:instrText>
            </w:r>
            <w:r>
              <w:fldChar w:fldCharType="separate"/>
            </w:r>
            <w:r>
              <w:rPr>
                <w:rStyle w:val="28"/>
                <w:rFonts w:ascii="Arial" w:hAnsi="Arial" w:cs="Arial"/>
                <w:b/>
                <w:sz w:val="21"/>
                <w:szCs w:val="21"/>
              </w:rPr>
              <w:t>mailto:3GPPLiaison@etsi.org</w:t>
            </w:r>
            <w:r>
              <w:rPr>
                <w:rStyle w:val="28"/>
                <w:rFonts w:ascii="Arial" w:hAnsi="Arial" w:cs="Arial"/>
                <w:b/>
                <w:sz w:val="21"/>
                <w:szCs w:val="21"/>
              </w:rPr>
              <w:fldChar w:fldCharType="end"/>
            </w:r>
            <w:r>
              <w:rPr>
                <w:rFonts w:ascii="Arial" w:hAnsi="Arial" w:cs="Arial"/>
                <w:b/>
                <w:sz w:val="21"/>
                <w:szCs w:val="21"/>
              </w:rPr>
              <w:t xml:space="preserve"> </w:t>
            </w:r>
            <w:r>
              <w:rPr>
                <w:rFonts w:ascii="Arial" w:hAnsi="Arial" w:cs="Arial"/>
                <w:bCs/>
                <w:sz w:val="21"/>
                <w:szCs w:val="21"/>
              </w:rPr>
              <w:tab/>
            </w:r>
          </w:p>
          <w:p w14:paraId="26B34103">
            <w:pPr>
              <w:spacing w:after="60"/>
              <w:ind w:left="1985" w:hanging="1985"/>
              <w:rPr>
                <w:rFonts w:ascii="Arial" w:hAnsi="Arial" w:cs="Arial"/>
                <w:b/>
                <w:sz w:val="21"/>
                <w:szCs w:val="21"/>
              </w:rPr>
            </w:pPr>
          </w:p>
          <w:p w14:paraId="278CA542">
            <w:pPr>
              <w:spacing w:after="60"/>
              <w:ind w:left="1985" w:hanging="1985"/>
              <w:rPr>
                <w:rFonts w:ascii="Arial" w:hAnsi="Arial" w:cs="Arial"/>
                <w:bCs/>
                <w:sz w:val="21"/>
                <w:szCs w:val="21"/>
              </w:rPr>
            </w:pPr>
            <w:r>
              <w:rPr>
                <w:rFonts w:ascii="Arial" w:hAnsi="Arial" w:cs="Arial"/>
                <w:b/>
                <w:sz w:val="21"/>
                <w:szCs w:val="21"/>
              </w:rPr>
              <w:t>Attachments:</w:t>
            </w:r>
            <w:r>
              <w:rPr>
                <w:rFonts w:ascii="Arial" w:hAnsi="Arial" w:cs="Arial"/>
                <w:bCs/>
                <w:sz w:val="21"/>
                <w:szCs w:val="21"/>
              </w:rPr>
              <w:tab/>
            </w:r>
          </w:p>
          <w:p w14:paraId="21B30592">
            <w:pPr>
              <w:pBdr>
                <w:bottom w:val="single" w:color="auto" w:sz="4" w:space="1"/>
              </w:pBdr>
              <w:rPr>
                <w:rFonts w:ascii="Arial" w:hAnsi="Arial" w:cs="Arial"/>
                <w:sz w:val="21"/>
                <w:szCs w:val="21"/>
              </w:rPr>
            </w:pPr>
          </w:p>
          <w:p w14:paraId="7768A108">
            <w:pPr>
              <w:rPr>
                <w:rFonts w:ascii="Arial" w:hAnsi="Arial" w:cs="Arial"/>
                <w:sz w:val="21"/>
                <w:szCs w:val="21"/>
              </w:rPr>
            </w:pPr>
          </w:p>
          <w:p w14:paraId="0863230F">
            <w:pPr>
              <w:spacing w:after="120"/>
              <w:rPr>
                <w:rFonts w:ascii="Arial" w:hAnsi="Arial" w:cs="Arial"/>
                <w:b/>
                <w:sz w:val="21"/>
                <w:szCs w:val="21"/>
              </w:rPr>
            </w:pPr>
            <w:r>
              <w:rPr>
                <w:rFonts w:ascii="Arial" w:hAnsi="Arial" w:cs="Arial"/>
                <w:b/>
                <w:sz w:val="21"/>
                <w:szCs w:val="21"/>
              </w:rPr>
              <w:t>1. Overall Description:</w:t>
            </w:r>
          </w:p>
          <w:p w14:paraId="2EE0B826">
            <w:pPr>
              <w:pStyle w:val="93"/>
              <w:spacing w:after="120"/>
              <w:ind w:left="0"/>
              <w:rPr>
                <w:bCs/>
                <w:sz w:val="21"/>
                <w:szCs w:val="16"/>
                <w:lang w:val="en-GB"/>
              </w:rPr>
            </w:pPr>
            <w:r>
              <w:rPr>
                <w:rFonts w:hint="eastAsia"/>
                <w:bCs/>
                <w:sz w:val="21"/>
                <w:szCs w:val="16"/>
                <w:lang w:val="en-GB"/>
              </w:rPr>
              <w:t>RAN1 thanks RAN3 for the question.</w:t>
            </w:r>
          </w:p>
          <w:p w14:paraId="1FF6713F">
            <w:pPr>
              <w:pStyle w:val="93"/>
              <w:spacing w:after="120"/>
              <w:ind w:left="0"/>
              <w:rPr>
                <w:bCs/>
                <w:sz w:val="21"/>
                <w:szCs w:val="16"/>
                <w:lang w:val="en-GB"/>
              </w:rPr>
            </w:pPr>
            <w:r>
              <w:rPr>
                <w:rFonts w:hint="eastAsia"/>
                <w:bCs/>
                <w:sz w:val="21"/>
                <w:szCs w:val="16"/>
                <w:lang w:val="en-GB"/>
              </w:rPr>
              <w:t>RAN1 has discussed this matter and agreed that no additional LMF requirements are to be provided to the gNB in requesting the UL SRS configuration with or without SRS frequency hopping for the non-RedCap UEs.</w:t>
            </w:r>
          </w:p>
          <w:p w14:paraId="366DAEE1">
            <w:pPr>
              <w:pStyle w:val="93"/>
              <w:spacing w:after="120"/>
              <w:ind w:left="0"/>
              <w:rPr>
                <w:b/>
                <w:sz w:val="21"/>
                <w:szCs w:val="16"/>
                <w:lang w:val="en-GB"/>
              </w:rPr>
            </w:pPr>
          </w:p>
          <w:p w14:paraId="7E4D5D7E">
            <w:pPr>
              <w:spacing w:after="120"/>
              <w:rPr>
                <w:rFonts w:ascii="Arial" w:hAnsi="Arial" w:cs="Arial"/>
                <w:b/>
                <w:sz w:val="21"/>
                <w:szCs w:val="21"/>
              </w:rPr>
            </w:pPr>
            <w:r>
              <w:rPr>
                <w:rFonts w:ascii="Arial" w:hAnsi="Arial" w:cs="Arial"/>
                <w:b/>
                <w:sz w:val="21"/>
                <w:szCs w:val="21"/>
              </w:rPr>
              <w:t>2. Actions:</w:t>
            </w:r>
          </w:p>
          <w:p w14:paraId="15941AB9">
            <w:pPr>
              <w:adjustRightInd w:val="0"/>
              <w:snapToGrid w:val="0"/>
              <w:spacing w:before="120" w:after="180" w:afterLines="50"/>
              <w:jc w:val="both"/>
              <w:rPr>
                <w:b/>
                <w:sz w:val="21"/>
                <w:szCs w:val="21"/>
              </w:rPr>
            </w:pPr>
            <w:r>
              <w:rPr>
                <w:b/>
                <w:sz w:val="21"/>
                <w:szCs w:val="21"/>
              </w:rPr>
              <w:t xml:space="preserve">To </w:t>
            </w:r>
            <w:r>
              <w:rPr>
                <w:rFonts w:hint="eastAsia"/>
                <w:b/>
                <w:sz w:val="21"/>
                <w:szCs w:val="21"/>
              </w:rPr>
              <w:t>RAN</w:t>
            </w:r>
            <w:r>
              <w:rPr>
                <w:rFonts w:ascii="等线" w:hAnsi="等线" w:eastAsia="等线"/>
                <w:b/>
                <w:sz w:val="21"/>
                <w:szCs w:val="21"/>
              </w:rPr>
              <w:t>3</w:t>
            </w:r>
          </w:p>
          <w:p w14:paraId="6C4A5E20">
            <w:pPr>
              <w:snapToGrid w:val="0"/>
              <w:spacing w:before="180" w:beforeLines="50" w:after="180" w:afterLines="50"/>
              <w:jc w:val="both"/>
              <w:rPr>
                <w:sz w:val="21"/>
                <w:szCs w:val="21"/>
              </w:rPr>
            </w:pPr>
            <w:r>
              <w:rPr>
                <w:b/>
                <w:sz w:val="21"/>
                <w:szCs w:val="21"/>
              </w:rPr>
              <w:t>ACTION:</w:t>
            </w:r>
            <w:r>
              <w:rPr>
                <w:rFonts w:eastAsia="MS Mincho"/>
                <w:sz w:val="21"/>
                <w:szCs w:val="21"/>
                <w:lang w:bidi="ar"/>
              </w:rPr>
              <w:t xml:space="preserve"> </w:t>
            </w:r>
            <w:r>
              <w:rPr>
                <w:rFonts w:hint="eastAsia" w:eastAsia="MS Mincho"/>
                <w:sz w:val="21"/>
                <w:szCs w:val="21"/>
                <w:lang w:bidi="ar"/>
              </w:rPr>
              <w:t>RAN1 respectfully requests RAN3 to take above feedback into consideration.</w:t>
            </w:r>
          </w:p>
          <w:p w14:paraId="3331D1B6">
            <w:pPr>
              <w:spacing w:after="120"/>
              <w:ind w:left="993" w:hanging="993"/>
              <w:rPr>
                <w:rFonts w:ascii="Arial" w:hAnsi="Arial" w:cs="Arial"/>
                <w:sz w:val="21"/>
                <w:szCs w:val="21"/>
              </w:rPr>
            </w:pPr>
          </w:p>
          <w:p w14:paraId="706A968E">
            <w:pPr>
              <w:spacing w:after="120"/>
              <w:rPr>
                <w:rFonts w:ascii="Arial" w:hAnsi="Arial" w:cs="Arial"/>
                <w:b/>
                <w:sz w:val="21"/>
                <w:szCs w:val="21"/>
              </w:rPr>
            </w:pPr>
            <w:r>
              <w:rPr>
                <w:rFonts w:ascii="Arial" w:hAnsi="Arial" w:cs="Arial"/>
                <w:b/>
                <w:sz w:val="21"/>
                <w:szCs w:val="21"/>
              </w:rPr>
              <w:t>3. Date of Next TSG-WG1 Meetings:</w:t>
            </w:r>
          </w:p>
          <w:p w14:paraId="262EE6A7">
            <w:pPr>
              <w:rPr>
                <w:sz w:val="21"/>
                <w:szCs w:val="21"/>
              </w:rPr>
            </w:pPr>
            <w:r>
              <w:rPr>
                <w:rFonts w:ascii="Arial" w:hAnsi="Arial" w:eastAsia="Arial" w:cs="Arial"/>
                <w:color w:val="000000"/>
                <w:sz w:val="21"/>
                <w:szCs w:val="21"/>
              </w:rPr>
              <w:t>TSG RAN WG</w:t>
            </w:r>
            <w:r>
              <w:rPr>
                <w:rFonts w:hint="eastAsia" w:ascii="Arial" w:hAnsi="Arial" w:cs="Arial"/>
                <w:color w:val="000000"/>
                <w:sz w:val="21"/>
                <w:szCs w:val="21"/>
              </w:rPr>
              <w:t>1</w:t>
            </w:r>
            <w:r>
              <w:rPr>
                <w:rFonts w:ascii="Arial" w:hAnsi="Arial" w:eastAsia="Arial" w:cs="Arial"/>
                <w:color w:val="000000"/>
                <w:sz w:val="21"/>
                <w:szCs w:val="21"/>
              </w:rPr>
              <w:t xml:space="preserve"> Meeting #1</w:t>
            </w:r>
            <w:r>
              <w:rPr>
                <w:rFonts w:ascii="Arial" w:hAnsi="Arial" w:cs="Arial"/>
                <w:color w:val="000000"/>
                <w:sz w:val="21"/>
                <w:szCs w:val="21"/>
              </w:rPr>
              <w:t xml:space="preserve">22-bis </w:t>
            </w:r>
            <w:r>
              <w:rPr>
                <w:rFonts w:hint="eastAsia" w:ascii="Arial" w:hAnsi="Arial" w:cs="Arial"/>
                <w:color w:val="000000"/>
                <w:sz w:val="21"/>
                <w:szCs w:val="21"/>
              </w:rPr>
              <w:t xml:space="preserve">    </w:t>
            </w:r>
            <w:r>
              <w:rPr>
                <w:rFonts w:ascii="Arial" w:hAnsi="Arial" w:eastAsia="Arial" w:cs="Arial"/>
                <w:color w:val="000000"/>
                <w:sz w:val="21"/>
                <w:szCs w:val="21"/>
              </w:rPr>
              <w:tab/>
            </w:r>
            <w:r>
              <w:rPr>
                <w:rFonts w:ascii="Arial" w:hAnsi="Arial" w:cs="Arial"/>
                <w:color w:val="000000"/>
                <w:sz w:val="21"/>
                <w:szCs w:val="21"/>
              </w:rPr>
              <w:t>13</w:t>
            </w:r>
            <w:r>
              <w:rPr>
                <w:rFonts w:ascii="Arial" w:hAnsi="Arial" w:cs="Arial"/>
                <w:color w:val="000000"/>
                <w:sz w:val="21"/>
                <w:szCs w:val="21"/>
                <w:vertAlign w:val="superscript"/>
              </w:rPr>
              <w:t>th</w:t>
            </w:r>
            <w:r>
              <w:rPr>
                <w:rFonts w:ascii="Arial" w:hAnsi="Arial" w:cs="Arial"/>
                <w:color w:val="000000"/>
                <w:sz w:val="21"/>
                <w:szCs w:val="21"/>
              </w:rPr>
              <w:t xml:space="preserve"> – 17</w:t>
            </w:r>
            <w:r>
              <w:rPr>
                <w:rFonts w:ascii="Arial" w:hAnsi="Arial" w:cs="Arial"/>
                <w:color w:val="000000"/>
                <w:sz w:val="21"/>
                <w:szCs w:val="21"/>
                <w:vertAlign w:val="superscript"/>
              </w:rPr>
              <w:t>th</w:t>
            </w:r>
            <w:r>
              <w:rPr>
                <w:rFonts w:ascii="Arial" w:hAnsi="Arial" w:cs="Arial"/>
                <w:color w:val="000000"/>
                <w:sz w:val="21"/>
                <w:szCs w:val="21"/>
              </w:rPr>
              <w:t xml:space="preserve"> October, </w:t>
            </w:r>
            <w:r>
              <w:rPr>
                <w:rFonts w:ascii="Arial" w:hAnsi="Arial" w:eastAsia="Arial" w:cs="Arial"/>
                <w:color w:val="000000"/>
                <w:sz w:val="21"/>
                <w:szCs w:val="21"/>
              </w:rPr>
              <w:t>2025</w:t>
            </w:r>
            <w:r>
              <w:rPr>
                <w:rFonts w:ascii="Arial" w:hAnsi="Arial" w:cs="Arial"/>
                <w:sz w:val="21"/>
                <w:szCs w:val="21"/>
              </w:rPr>
              <w:t xml:space="preserve">                   Prague, Czech Republic</w:t>
            </w:r>
          </w:p>
          <w:p w14:paraId="0EF43E29">
            <w:pPr>
              <w:rPr>
                <w:sz w:val="21"/>
                <w:szCs w:val="21"/>
              </w:rPr>
            </w:pPr>
            <w:r>
              <w:rPr>
                <w:rFonts w:ascii="Arial" w:hAnsi="Arial" w:eastAsia="Arial" w:cs="Arial"/>
                <w:color w:val="000000"/>
                <w:sz w:val="21"/>
                <w:szCs w:val="21"/>
              </w:rPr>
              <w:t>TSG RAN WG</w:t>
            </w:r>
            <w:r>
              <w:rPr>
                <w:rFonts w:hint="eastAsia" w:ascii="Arial" w:hAnsi="Arial" w:cs="Arial"/>
                <w:color w:val="000000"/>
                <w:sz w:val="21"/>
                <w:szCs w:val="21"/>
              </w:rPr>
              <w:t>1</w:t>
            </w:r>
            <w:r>
              <w:rPr>
                <w:rFonts w:ascii="Arial" w:hAnsi="Arial" w:eastAsia="Arial" w:cs="Arial"/>
                <w:color w:val="000000"/>
                <w:sz w:val="21"/>
                <w:szCs w:val="21"/>
              </w:rPr>
              <w:t xml:space="preserve"> Meeting #1</w:t>
            </w:r>
            <w:r>
              <w:rPr>
                <w:rFonts w:ascii="Arial" w:hAnsi="Arial" w:cs="Arial"/>
                <w:color w:val="000000"/>
                <w:sz w:val="21"/>
                <w:szCs w:val="21"/>
              </w:rPr>
              <w:t>2</w:t>
            </w:r>
            <w:r>
              <w:rPr>
                <w:rFonts w:hint="eastAsia" w:ascii="Arial" w:hAnsi="Arial" w:cs="Arial"/>
                <w:color w:val="000000"/>
                <w:sz w:val="21"/>
                <w:szCs w:val="21"/>
              </w:rPr>
              <w:t>3</w:t>
            </w:r>
            <w:r>
              <w:rPr>
                <w:rFonts w:ascii="Arial" w:hAnsi="Arial" w:cs="Arial"/>
                <w:color w:val="000000"/>
                <w:sz w:val="21"/>
                <w:szCs w:val="21"/>
              </w:rPr>
              <w:t xml:space="preserve"> </w:t>
            </w:r>
            <w:r>
              <w:rPr>
                <w:rFonts w:hint="eastAsia" w:ascii="Arial" w:hAnsi="Arial" w:cs="Arial"/>
                <w:color w:val="000000"/>
                <w:sz w:val="21"/>
                <w:szCs w:val="21"/>
              </w:rPr>
              <w:t xml:space="preserve">    </w:t>
            </w:r>
            <w:r>
              <w:rPr>
                <w:rFonts w:ascii="Arial" w:hAnsi="Arial" w:eastAsia="Arial" w:cs="Arial"/>
                <w:color w:val="000000"/>
                <w:sz w:val="21"/>
                <w:szCs w:val="21"/>
              </w:rPr>
              <w:tab/>
            </w:r>
            <w:r>
              <w:rPr>
                <w:rFonts w:hint="eastAsia" w:ascii="Arial" w:hAnsi="Arial" w:cs="Arial"/>
                <w:color w:val="000000"/>
                <w:sz w:val="21"/>
                <w:szCs w:val="21"/>
              </w:rPr>
              <w:t>17</w:t>
            </w:r>
            <w:r>
              <w:rPr>
                <w:rFonts w:ascii="Arial" w:hAnsi="Arial" w:cs="Arial"/>
                <w:color w:val="000000"/>
                <w:sz w:val="21"/>
                <w:szCs w:val="21"/>
                <w:vertAlign w:val="superscript"/>
              </w:rPr>
              <w:t xml:space="preserve">th </w:t>
            </w:r>
            <w:r>
              <w:rPr>
                <w:rFonts w:ascii="Arial" w:hAnsi="Arial" w:cs="Arial"/>
                <w:color w:val="000000"/>
                <w:sz w:val="21"/>
                <w:szCs w:val="21"/>
              </w:rPr>
              <w:t xml:space="preserve">– </w:t>
            </w:r>
            <w:r>
              <w:rPr>
                <w:rFonts w:hint="eastAsia" w:ascii="Arial" w:hAnsi="Arial" w:cs="Arial"/>
                <w:color w:val="000000"/>
                <w:sz w:val="21"/>
                <w:szCs w:val="21"/>
              </w:rPr>
              <w:t>21</w:t>
            </w:r>
            <w:r>
              <w:rPr>
                <w:rFonts w:ascii="Arial" w:hAnsi="Arial" w:cs="Arial"/>
                <w:color w:val="000000"/>
                <w:sz w:val="21"/>
                <w:szCs w:val="21"/>
                <w:vertAlign w:val="superscript"/>
              </w:rPr>
              <w:t xml:space="preserve">th </w:t>
            </w:r>
            <w:r>
              <w:rPr>
                <w:rFonts w:ascii="Arial" w:hAnsi="Arial" w:cs="Arial"/>
                <w:color w:val="000000"/>
                <w:sz w:val="21"/>
                <w:szCs w:val="21"/>
              </w:rPr>
              <w:t>N</w:t>
            </w:r>
            <w:r>
              <w:rPr>
                <w:rFonts w:hint="eastAsia" w:ascii="Arial" w:hAnsi="Arial" w:cs="Arial"/>
                <w:color w:val="000000"/>
                <w:sz w:val="21"/>
                <w:szCs w:val="21"/>
              </w:rPr>
              <w:t>ovember</w:t>
            </w:r>
            <w:r>
              <w:rPr>
                <w:rFonts w:ascii="Arial" w:hAnsi="Arial" w:cs="Arial"/>
                <w:color w:val="000000"/>
                <w:sz w:val="21"/>
                <w:szCs w:val="21"/>
              </w:rPr>
              <w:t xml:space="preserve">, </w:t>
            </w:r>
            <w:r>
              <w:rPr>
                <w:rFonts w:ascii="Arial" w:hAnsi="Arial" w:eastAsia="Arial" w:cs="Arial"/>
                <w:color w:val="000000"/>
                <w:sz w:val="21"/>
                <w:szCs w:val="21"/>
              </w:rPr>
              <w:t>2025</w:t>
            </w:r>
            <w:r>
              <w:rPr>
                <w:rFonts w:ascii="Arial" w:hAnsi="Arial" w:cs="Arial"/>
                <w:sz w:val="21"/>
                <w:szCs w:val="21"/>
              </w:rPr>
              <w:t xml:space="preserve">                Dallas, US</w:t>
            </w:r>
          </w:p>
          <w:p w14:paraId="7FE928F7">
            <w:pPr>
              <w:rPr>
                <w:sz w:val="16"/>
                <w:szCs w:val="21"/>
              </w:rPr>
            </w:pPr>
          </w:p>
        </w:tc>
      </w:tr>
      <w:tr w14:paraId="3B68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5" w:type="dxa"/>
          </w:tcPr>
          <w:p w14:paraId="369D84E7">
            <w:pPr>
              <w:rPr>
                <w:sz w:val="16"/>
                <w:szCs w:val="21"/>
              </w:rPr>
            </w:pPr>
          </w:p>
        </w:tc>
      </w:tr>
    </w:tbl>
    <w:p w14:paraId="52EA5F0C">
      <w:pPr>
        <w:rPr>
          <w:sz w:val="20"/>
        </w:rPr>
      </w:pPr>
    </w:p>
    <w:p w14:paraId="02A3AE48">
      <w:pPr>
        <w:rPr>
          <w:sz w:val="20"/>
        </w:rPr>
      </w:pPr>
    </w:p>
    <w:p w14:paraId="342CDB2B">
      <w:pPr>
        <w:rPr>
          <w:sz w:val="20"/>
        </w:rPr>
      </w:pPr>
    </w:p>
    <w:p w14:paraId="4C6EA7D6">
      <w:pPr>
        <w:pStyle w:val="2"/>
        <w:snapToGrid w:val="0"/>
        <w:spacing w:before="120" w:after="180" w:afterLines="50"/>
        <w:ind w:left="431" w:hanging="431"/>
        <w:jc w:val="both"/>
        <w:rPr>
          <w:sz w:val="28"/>
          <w:lang w:val="en-US"/>
        </w:rPr>
      </w:pPr>
      <w:r>
        <w:rPr>
          <w:sz w:val="28"/>
          <w:lang w:val="en-US"/>
        </w:rPr>
        <w:t>Reference</w:t>
      </w:r>
    </w:p>
    <w:p w14:paraId="3E5EFFDE">
      <w:pPr>
        <w:numPr>
          <w:ilvl w:val="0"/>
          <w:numId w:val="5"/>
        </w:numPr>
        <w:autoSpaceDE w:val="0"/>
        <w:autoSpaceDN w:val="0"/>
        <w:adjustRightInd w:val="0"/>
        <w:snapToGrid w:val="0"/>
        <w:jc w:val="both"/>
        <w:rPr>
          <w:sz w:val="20"/>
          <w:szCs w:val="20"/>
        </w:rPr>
      </w:pPr>
      <w:r>
        <w:rPr>
          <w:rFonts w:hint="eastAsia"/>
          <w:sz w:val="20"/>
          <w:szCs w:val="20"/>
        </w:rPr>
        <w:t>R1-2505106</w:t>
      </w:r>
      <w:r>
        <w:rPr>
          <w:rFonts w:hint="eastAsia"/>
          <w:sz w:val="20"/>
          <w:szCs w:val="20"/>
        </w:rPr>
        <w:tab/>
      </w:r>
      <w:r>
        <w:rPr>
          <w:rFonts w:hint="eastAsia"/>
          <w:sz w:val="20"/>
          <w:szCs w:val="20"/>
        </w:rPr>
        <w:t>Reply LS on non-RedCap UE UL SRS frequency hopping for positioning</w:t>
      </w:r>
      <w:r>
        <w:rPr>
          <w:rFonts w:hint="eastAsia"/>
          <w:sz w:val="20"/>
          <w:szCs w:val="20"/>
        </w:rPr>
        <w:tab/>
      </w:r>
      <w:r>
        <w:rPr>
          <w:rFonts w:hint="eastAsia"/>
          <w:sz w:val="20"/>
          <w:szCs w:val="20"/>
        </w:rPr>
        <w:t>RAN3, ZTE</w:t>
      </w:r>
    </w:p>
    <w:p w14:paraId="53D2B346">
      <w:pPr>
        <w:numPr>
          <w:ilvl w:val="0"/>
          <w:numId w:val="5"/>
        </w:numPr>
        <w:autoSpaceDE w:val="0"/>
        <w:autoSpaceDN w:val="0"/>
        <w:adjustRightInd w:val="0"/>
        <w:snapToGrid w:val="0"/>
        <w:jc w:val="both"/>
        <w:rPr>
          <w:sz w:val="20"/>
          <w:szCs w:val="20"/>
        </w:rPr>
      </w:pPr>
      <w:r>
        <w:rPr>
          <w:rFonts w:hint="eastAsia"/>
          <w:sz w:val="20"/>
          <w:szCs w:val="20"/>
        </w:rPr>
        <w:t>R1-2506389</w:t>
      </w:r>
      <w:r>
        <w:rPr>
          <w:rFonts w:hint="eastAsia"/>
          <w:sz w:val="20"/>
          <w:szCs w:val="20"/>
        </w:rPr>
        <w:tab/>
      </w:r>
      <w:r>
        <w:rPr>
          <w:rFonts w:hint="eastAsia"/>
          <w:sz w:val="20"/>
          <w:szCs w:val="20"/>
        </w:rPr>
        <w:t>Discussion on non-RedCap UE UL SRS frequency hopping for positioning</w:t>
      </w:r>
      <w:r>
        <w:rPr>
          <w:rFonts w:hint="eastAsia"/>
          <w:sz w:val="20"/>
          <w:szCs w:val="20"/>
        </w:rPr>
        <w:tab/>
      </w:r>
      <w:r>
        <w:rPr>
          <w:rFonts w:hint="eastAsia"/>
          <w:sz w:val="20"/>
          <w:szCs w:val="20"/>
        </w:rPr>
        <w:t>Huawei, HiSilicon</w:t>
      </w:r>
    </w:p>
    <w:p w14:paraId="4CE706A7">
      <w:pPr>
        <w:numPr>
          <w:ilvl w:val="0"/>
          <w:numId w:val="5"/>
        </w:numPr>
        <w:autoSpaceDE w:val="0"/>
        <w:autoSpaceDN w:val="0"/>
        <w:adjustRightInd w:val="0"/>
        <w:snapToGrid w:val="0"/>
        <w:jc w:val="both"/>
        <w:rPr>
          <w:sz w:val="20"/>
          <w:szCs w:val="20"/>
        </w:rPr>
      </w:pPr>
      <w:r>
        <w:rPr>
          <w:rFonts w:hint="eastAsia"/>
          <w:sz w:val="20"/>
          <w:szCs w:val="20"/>
        </w:rPr>
        <w:t>R1-2506123</w:t>
      </w:r>
      <w:r>
        <w:rPr>
          <w:rFonts w:hint="eastAsia"/>
          <w:sz w:val="20"/>
          <w:szCs w:val="20"/>
        </w:rPr>
        <w:tab/>
      </w:r>
      <w:r>
        <w:rPr>
          <w:rFonts w:hint="eastAsia"/>
          <w:sz w:val="20"/>
          <w:szCs w:val="20"/>
        </w:rPr>
        <w:t>Draft reply LS on non-RedCap UE UL SRS frequency hopping for positioning</w:t>
      </w:r>
      <w:r>
        <w:rPr>
          <w:rFonts w:hint="eastAsia"/>
          <w:sz w:val="20"/>
          <w:szCs w:val="20"/>
        </w:rPr>
        <w:tab/>
      </w:r>
      <w:r>
        <w:rPr>
          <w:rFonts w:hint="eastAsia"/>
          <w:sz w:val="20"/>
          <w:szCs w:val="20"/>
        </w:rPr>
        <w:t>ZTE Corporation, Sanechips</w:t>
      </w:r>
    </w:p>
    <w:p w14:paraId="43A24D2F">
      <w:pPr>
        <w:numPr>
          <w:ilvl w:val="0"/>
          <w:numId w:val="5"/>
        </w:numPr>
        <w:autoSpaceDE w:val="0"/>
        <w:autoSpaceDN w:val="0"/>
        <w:adjustRightInd w:val="0"/>
        <w:snapToGrid w:val="0"/>
        <w:jc w:val="both"/>
        <w:rPr>
          <w:sz w:val="20"/>
          <w:szCs w:val="20"/>
        </w:rPr>
      </w:pPr>
      <w:r>
        <w:rPr>
          <w:rFonts w:hint="eastAsia"/>
          <w:sz w:val="20"/>
          <w:szCs w:val="20"/>
        </w:rPr>
        <w:t>R1-2506124</w:t>
      </w:r>
      <w:r>
        <w:rPr>
          <w:rFonts w:hint="eastAsia"/>
          <w:sz w:val="20"/>
          <w:szCs w:val="20"/>
        </w:rPr>
        <w:tab/>
      </w:r>
      <w:r>
        <w:rPr>
          <w:rFonts w:hint="eastAsia"/>
          <w:sz w:val="20"/>
          <w:szCs w:val="20"/>
        </w:rPr>
        <w:t>Discussion on RAN3 LS on non-RedCap UE SRS FH for positioning</w:t>
      </w:r>
      <w:r>
        <w:rPr>
          <w:rFonts w:hint="eastAsia"/>
          <w:sz w:val="20"/>
          <w:szCs w:val="20"/>
        </w:rPr>
        <w:tab/>
      </w:r>
      <w:r>
        <w:rPr>
          <w:rFonts w:hint="eastAsia"/>
          <w:sz w:val="20"/>
          <w:szCs w:val="20"/>
        </w:rPr>
        <w:t>ZTE Corporation, Sanechips</w:t>
      </w:r>
    </w:p>
    <w:p w14:paraId="07E46CB2">
      <w:pPr>
        <w:autoSpaceDE w:val="0"/>
        <w:autoSpaceDN w:val="0"/>
        <w:adjustRightInd w:val="0"/>
        <w:snapToGrid w:val="0"/>
        <w:jc w:val="both"/>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微软雅黑"/>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14:paraId="444E7918">
        <w:pPr>
          <w:pStyle w:val="20"/>
          <w:jc w:val="center"/>
        </w:pPr>
        <w:r>
          <w:fldChar w:fldCharType="begin"/>
        </w:r>
        <w:r>
          <w:instrText xml:space="preserve"> PAGE   \* MERGEFORMAT </w:instrText>
        </w:r>
        <w:r>
          <w:fldChar w:fldCharType="separate"/>
        </w:r>
        <w:r>
          <w:rPr>
            <w:lang w:val="zh-CN"/>
          </w:rPr>
          <w:t>3</w:t>
        </w:r>
        <w:r>
          <w:rPr>
            <w:lang w:val="zh-CN"/>
          </w:rPr>
          <w:fldChar w:fldCharType="end"/>
        </w:r>
      </w:p>
    </w:sdtContent>
  </w:sdt>
  <w:p w14:paraId="678246D9">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394C68C2"/>
    <w:multiLevelType w:val="multilevel"/>
    <w:tmpl w:val="394C68C2"/>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5DD3AD2"/>
    <w:multiLevelType w:val="multilevel"/>
    <w:tmpl w:val="55DD3AD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rawingGridHorizontalSpacing w:val="11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79B"/>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7F4"/>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41"/>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3EF"/>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59D"/>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A4"/>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213"/>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290E"/>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41"/>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C0"/>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1F14"/>
    <w:rsid w:val="001F21A7"/>
    <w:rsid w:val="001F21F0"/>
    <w:rsid w:val="001F251F"/>
    <w:rsid w:val="001F2630"/>
    <w:rsid w:val="001F2671"/>
    <w:rsid w:val="001F26AE"/>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0FB5"/>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7C1"/>
    <w:rsid w:val="0033688B"/>
    <w:rsid w:val="00336B46"/>
    <w:rsid w:val="00336B7B"/>
    <w:rsid w:val="00336C35"/>
    <w:rsid w:val="00336DFE"/>
    <w:rsid w:val="0033748D"/>
    <w:rsid w:val="003374DE"/>
    <w:rsid w:val="003376B5"/>
    <w:rsid w:val="003376F4"/>
    <w:rsid w:val="00337938"/>
    <w:rsid w:val="00337969"/>
    <w:rsid w:val="00337AB1"/>
    <w:rsid w:val="00337AE9"/>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5BD"/>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1FC"/>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BF6"/>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292"/>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3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28AC"/>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95"/>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DE6"/>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77"/>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236"/>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D74"/>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476"/>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D21"/>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1E72"/>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0F90"/>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123"/>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85"/>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7D1"/>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102"/>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4E8"/>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AE"/>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878"/>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8D4"/>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44"/>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5E"/>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76"/>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D9"/>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6F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130"/>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89"/>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53"/>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5B8"/>
    <w:rsid w:val="00C2492C"/>
    <w:rsid w:val="00C24A65"/>
    <w:rsid w:val="00C24D8B"/>
    <w:rsid w:val="00C24E34"/>
    <w:rsid w:val="00C24E99"/>
    <w:rsid w:val="00C24EF5"/>
    <w:rsid w:val="00C25003"/>
    <w:rsid w:val="00C25319"/>
    <w:rsid w:val="00C25338"/>
    <w:rsid w:val="00C253B8"/>
    <w:rsid w:val="00C254E1"/>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6C"/>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B1E"/>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229"/>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0F89"/>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2F7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1DA"/>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AEE"/>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7B9"/>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54"/>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50"/>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C"/>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EE3"/>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A0C5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12B40"/>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CC4B82"/>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3D1031"/>
    <w:rsid w:val="03406AD4"/>
    <w:rsid w:val="034938C7"/>
    <w:rsid w:val="034E4F0F"/>
    <w:rsid w:val="034F290D"/>
    <w:rsid w:val="03513AB2"/>
    <w:rsid w:val="035279F8"/>
    <w:rsid w:val="03571444"/>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B7C7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30B3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BF2971"/>
    <w:rsid w:val="06C648B1"/>
    <w:rsid w:val="06C67EFA"/>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13519"/>
    <w:rsid w:val="07E80F0B"/>
    <w:rsid w:val="07E85037"/>
    <w:rsid w:val="07E9446A"/>
    <w:rsid w:val="07EA3399"/>
    <w:rsid w:val="07EC19F5"/>
    <w:rsid w:val="07EF7092"/>
    <w:rsid w:val="07F06E95"/>
    <w:rsid w:val="07F62E9A"/>
    <w:rsid w:val="07FF17EA"/>
    <w:rsid w:val="0806764C"/>
    <w:rsid w:val="08085317"/>
    <w:rsid w:val="080F1B16"/>
    <w:rsid w:val="080F380C"/>
    <w:rsid w:val="08100036"/>
    <w:rsid w:val="0811235A"/>
    <w:rsid w:val="081232CB"/>
    <w:rsid w:val="08154241"/>
    <w:rsid w:val="0817007D"/>
    <w:rsid w:val="08222CC0"/>
    <w:rsid w:val="08225938"/>
    <w:rsid w:val="082325E8"/>
    <w:rsid w:val="08284F7F"/>
    <w:rsid w:val="082A3445"/>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6E1AD9"/>
    <w:rsid w:val="08754A81"/>
    <w:rsid w:val="087B70D7"/>
    <w:rsid w:val="087B7B82"/>
    <w:rsid w:val="088376E1"/>
    <w:rsid w:val="089055A6"/>
    <w:rsid w:val="08980BAB"/>
    <w:rsid w:val="089A231E"/>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CA16E4"/>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5961C0"/>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0583E"/>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604F"/>
    <w:rsid w:val="0C9A5993"/>
    <w:rsid w:val="0CA759ED"/>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A5098"/>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64F10"/>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081B"/>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12BD1"/>
    <w:rsid w:val="0F2566D6"/>
    <w:rsid w:val="0F256A67"/>
    <w:rsid w:val="0F334F38"/>
    <w:rsid w:val="0F374D10"/>
    <w:rsid w:val="0F390E3D"/>
    <w:rsid w:val="0F3B729A"/>
    <w:rsid w:val="0F3D712B"/>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0964"/>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0A50F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2133C"/>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12BEB"/>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0615D4"/>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54E4B"/>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6232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6F4ADD"/>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B80ABC"/>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0373E"/>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26C8D"/>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6130AE"/>
    <w:rsid w:val="207A7253"/>
    <w:rsid w:val="207D2005"/>
    <w:rsid w:val="20874C2B"/>
    <w:rsid w:val="208916D3"/>
    <w:rsid w:val="208C58CE"/>
    <w:rsid w:val="20952592"/>
    <w:rsid w:val="209A2749"/>
    <w:rsid w:val="209C395F"/>
    <w:rsid w:val="209C3EAA"/>
    <w:rsid w:val="209F6049"/>
    <w:rsid w:val="20A23948"/>
    <w:rsid w:val="20A44F3F"/>
    <w:rsid w:val="20AC6D79"/>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4C0FA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0B683A"/>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3FD1FC5"/>
    <w:rsid w:val="24054AA6"/>
    <w:rsid w:val="24055D97"/>
    <w:rsid w:val="240C233A"/>
    <w:rsid w:val="240F66A9"/>
    <w:rsid w:val="24107D2B"/>
    <w:rsid w:val="241157A7"/>
    <w:rsid w:val="24191D8F"/>
    <w:rsid w:val="241A0D14"/>
    <w:rsid w:val="242148AF"/>
    <w:rsid w:val="24333048"/>
    <w:rsid w:val="24373F32"/>
    <w:rsid w:val="24444FD4"/>
    <w:rsid w:val="24464871"/>
    <w:rsid w:val="244A34E7"/>
    <w:rsid w:val="244B64B5"/>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062ED"/>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51C44"/>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2482"/>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933AF"/>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E351E"/>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5524B1"/>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117B3"/>
    <w:rsid w:val="2AFA2135"/>
    <w:rsid w:val="2AFA5225"/>
    <w:rsid w:val="2B08119A"/>
    <w:rsid w:val="2B085178"/>
    <w:rsid w:val="2B0B1C38"/>
    <w:rsid w:val="2B227650"/>
    <w:rsid w:val="2B265158"/>
    <w:rsid w:val="2B2C22C2"/>
    <w:rsid w:val="2B2D65DC"/>
    <w:rsid w:val="2B302D1A"/>
    <w:rsid w:val="2B315CB1"/>
    <w:rsid w:val="2B321E0D"/>
    <w:rsid w:val="2B345F43"/>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0F7833"/>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36B2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9C6610"/>
    <w:rsid w:val="2EA469A3"/>
    <w:rsid w:val="2EAE08A6"/>
    <w:rsid w:val="2EBD6A69"/>
    <w:rsid w:val="2EC53E66"/>
    <w:rsid w:val="2ECA785E"/>
    <w:rsid w:val="2ECC2F63"/>
    <w:rsid w:val="2ECE63AB"/>
    <w:rsid w:val="2ECF267B"/>
    <w:rsid w:val="2ED26976"/>
    <w:rsid w:val="2EE4485A"/>
    <w:rsid w:val="2EE52A03"/>
    <w:rsid w:val="2EE55358"/>
    <w:rsid w:val="2EE72F28"/>
    <w:rsid w:val="2EEA4952"/>
    <w:rsid w:val="2EEB1791"/>
    <w:rsid w:val="2EEE7023"/>
    <w:rsid w:val="2EF51E74"/>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1D52"/>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22E4B"/>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447DF"/>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95913"/>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178AF"/>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6A72DC"/>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0A2841"/>
    <w:rsid w:val="361203A7"/>
    <w:rsid w:val="3614405A"/>
    <w:rsid w:val="3615173C"/>
    <w:rsid w:val="36182A60"/>
    <w:rsid w:val="3619343A"/>
    <w:rsid w:val="361A7981"/>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43BDE"/>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73404"/>
    <w:rsid w:val="38A92D72"/>
    <w:rsid w:val="38AD4C0A"/>
    <w:rsid w:val="38B13D02"/>
    <w:rsid w:val="38B229E2"/>
    <w:rsid w:val="38B46374"/>
    <w:rsid w:val="38B474A7"/>
    <w:rsid w:val="38BA672D"/>
    <w:rsid w:val="38C05CF9"/>
    <w:rsid w:val="38C22308"/>
    <w:rsid w:val="38C31B7A"/>
    <w:rsid w:val="38C449E2"/>
    <w:rsid w:val="38CD0220"/>
    <w:rsid w:val="38CD7C62"/>
    <w:rsid w:val="38D2274D"/>
    <w:rsid w:val="38D71A00"/>
    <w:rsid w:val="38D83DA4"/>
    <w:rsid w:val="38D97BB5"/>
    <w:rsid w:val="38DC7A1B"/>
    <w:rsid w:val="38DD06D2"/>
    <w:rsid w:val="38DE31DB"/>
    <w:rsid w:val="38E4037F"/>
    <w:rsid w:val="38E45C59"/>
    <w:rsid w:val="38E94D65"/>
    <w:rsid w:val="38F35FC8"/>
    <w:rsid w:val="38F50F26"/>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BB572A"/>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14907"/>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925D5"/>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3EE7"/>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0408A"/>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656CA"/>
    <w:rsid w:val="3E57678E"/>
    <w:rsid w:val="3E5F25B3"/>
    <w:rsid w:val="3E623A41"/>
    <w:rsid w:val="3E633790"/>
    <w:rsid w:val="3E6D39BE"/>
    <w:rsid w:val="3E7538EE"/>
    <w:rsid w:val="3E7C5CC5"/>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54C8A"/>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05414D"/>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6D52DA"/>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D49FC"/>
    <w:rsid w:val="41AF65DD"/>
    <w:rsid w:val="41B10164"/>
    <w:rsid w:val="41BB3C07"/>
    <w:rsid w:val="41BE631A"/>
    <w:rsid w:val="41C34B5E"/>
    <w:rsid w:val="41C36863"/>
    <w:rsid w:val="41CC3FBF"/>
    <w:rsid w:val="41CE5F9C"/>
    <w:rsid w:val="41D66E7D"/>
    <w:rsid w:val="41DC21AD"/>
    <w:rsid w:val="41DC48D7"/>
    <w:rsid w:val="41E76E0D"/>
    <w:rsid w:val="41EB351F"/>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52257"/>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6298C"/>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1739"/>
    <w:rsid w:val="47533A92"/>
    <w:rsid w:val="475A014C"/>
    <w:rsid w:val="475F52A5"/>
    <w:rsid w:val="476E63C6"/>
    <w:rsid w:val="47701E1E"/>
    <w:rsid w:val="478349BA"/>
    <w:rsid w:val="478430E5"/>
    <w:rsid w:val="478D02EE"/>
    <w:rsid w:val="47913274"/>
    <w:rsid w:val="479333F5"/>
    <w:rsid w:val="479615B0"/>
    <w:rsid w:val="47974EBF"/>
    <w:rsid w:val="47984CC8"/>
    <w:rsid w:val="479C0703"/>
    <w:rsid w:val="479F250B"/>
    <w:rsid w:val="47A67489"/>
    <w:rsid w:val="47AE368F"/>
    <w:rsid w:val="47BD7E3A"/>
    <w:rsid w:val="47C75C2D"/>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90598"/>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2F5BE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26097"/>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476EB"/>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20556"/>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199C"/>
    <w:rsid w:val="4DB62FA2"/>
    <w:rsid w:val="4DB81350"/>
    <w:rsid w:val="4DB84B5B"/>
    <w:rsid w:val="4DC0189A"/>
    <w:rsid w:val="4DC03E03"/>
    <w:rsid w:val="4DC171CE"/>
    <w:rsid w:val="4DC945C5"/>
    <w:rsid w:val="4DDB3D00"/>
    <w:rsid w:val="4DE100E7"/>
    <w:rsid w:val="4DE52367"/>
    <w:rsid w:val="4DF57D5B"/>
    <w:rsid w:val="4DFB4AE2"/>
    <w:rsid w:val="4E037AC3"/>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3008D"/>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10F93"/>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EF2711"/>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041C9"/>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551CB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72055"/>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34098"/>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EB1A77"/>
    <w:rsid w:val="52F14C20"/>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94360"/>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3C4174"/>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25AEC"/>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47DBF"/>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C0290"/>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12649"/>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73C70"/>
    <w:rsid w:val="5FEA7FB0"/>
    <w:rsid w:val="5FF446A9"/>
    <w:rsid w:val="5FF85070"/>
    <w:rsid w:val="5FF940F0"/>
    <w:rsid w:val="5FF96E21"/>
    <w:rsid w:val="5FFC4F56"/>
    <w:rsid w:val="6007496A"/>
    <w:rsid w:val="60086D9B"/>
    <w:rsid w:val="600870EA"/>
    <w:rsid w:val="6013140E"/>
    <w:rsid w:val="6014023F"/>
    <w:rsid w:val="601A36E0"/>
    <w:rsid w:val="601D2C80"/>
    <w:rsid w:val="601E28CD"/>
    <w:rsid w:val="602229C5"/>
    <w:rsid w:val="602640DE"/>
    <w:rsid w:val="602664AC"/>
    <w:rsid w:val="603E4F2F"/>
    <w:rsid w:val="60432B5E"/>
    <w:rsid w:val="60472491"/>
    <w:rsid w:val="605204D7"/>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254DB"/>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AE41B4"/>
    <w:rsid w:val="61B854D2"/>
    <w:rsid w:val="61BE7255"/>
    <w:rsid w:val="61C041DC"/>
    <w:rsid w:val="61C33C28"/>
    <w:rsid w:val="61C87F95"/>
    <w:rsid w:val="61C91364"/>
    <w:rsid w:val="61CD719C"/>
    <w:rsid w:val="61D034C4"/>
    <w:rsid w:val="61D9129E"/>
    <w:rsid w:val="61E363D8"/>
    <w:rsid w:val="61F74CCA"/>
    <w:rsid w:val="61FD3DC4"/>
    <w:rsid w:val="62047640"/>
    <w:rsid w:val="620624D1"/>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E65F2"/>
    <w:rsid w:val="629906C8"/>
    <w:rsid w:val="62A46F9E"/>
    <w:rsid w:val="62A63FC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55BC9"/>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A7225"/>
    <w:rsid w:val="644C64F7"/>
    <w:rsid w:val="64573736"/>
    <w:rsid w:val="64595EAC"/>
    <w:rsid w:val="64655408"/>
    <w:rsid w:val="64674D30"/>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70A2F"/>
    <w:rsid w:val="64AB6B0F"/>
    <w:rsid w:val="64AD64C8"/>
    <w:rsid w:val="64AE4EA4"/>
    <w:rsid w:val="64B11EFC"/>
    <w:rsid w:val="64B35DE8"/>
    <w:rsid w:val="64B7337D"/>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10AE3"/>
    <w:rsid w:val="65230CC1"/>
    <w:rsid w:val="65260B2E"/>
    <w:rsid w:val="65271917"/>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60655"/>
    <w:rsid w:val="66BE2FA5"/>
    <w:rsid w:val="66C16711"/>
    <w:rsid w:val="66C9321B"/>
    <w:rsid w:val="66CC4487"/>
    <w:rsid w:val="66CD5884"/>
    <w:rsid w:val="66D23D78"/>
    <w:rsid w:val="66D61628"/>
    <w:rsid w:val="66D76593"/>
    <w:rsid w:val="66DB7763"/>
    <w:rsid w:val="66DC7B4A"/>
    <w:rsid w:val="66DF46C2"/>
    <w:rsid w:val="66E40E13"/>
    <w:rsid w:val="66E85249"/>
    <w:rsid w:val="66EB12C4"/>
    <w:rsid w:val="66F05D75"/>
    <w:rsid w:val="66F14286"/>
    <w:rsid w:val="66F23E76"/>
    <w:rsid w:val="66F43AE9"/>
    <w:rsid w:val="66FF75FB"/>
    <w:rsid w:val="67060793"/>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3597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97BBF"/>
    <w:rsid w:val="691A6F97"/>
    <w:rsid w:val="692A64E5"/>
    <w:rsid w:val="693D0F56"/>
    <w:rsid w:val="694101FB"/>
    <w:rsid w:val="695529DF"/>
    <w:rsid w:val="69583967"/>
    <w:rsid w:val="695A3922"/>
    <w:rsid w:val="695A42D9"/>
    <w:rsid w:val="69624E8F"/>
    <w:rsid w:val="69637697"/>
    <w:rsid w:val="69655E7A"/>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1A1100"/>
    <w:rsid w:val="6A2322EE"/>
    <w:rsid w:val="6A257487"/>
    <w:rsid w:val="6A280CE4"/>
    <w:rsid w:val="6A2A5F02"/>
    <w:rsid w:val="6A2F3F03"/>
    <w:rsid w:val="6A3618B7"/>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CA4406"/>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4B18FB"/>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50868"/>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B1102"/>
    <w:rsid w:val="6DBE7C28"/>
    <w:rsid w:val="6DC616C6"/>
    <w:rsid w:val="6DC869CE"/>
    <w:rsid w:val="6DC95CAA"/>
    <w:rsid w:val="6DCA662C"/>
    <w:rsid w:val="6DCE70D9"/>
    <w:rsid w:val="6DD52E7A"/>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559E3"/>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018E"/>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CC1506"/>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3F1EE8"/>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B07B2"/>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C6A3F"/>
    <w:rsid w:val="71452CBD"/>
    <w:rsid w:val="71463FC2"/>
    <w:rsid w:val="7148016B"/>
    <w:rsid w:val="714A084D"/>
    <w:rsid w:val="714D5970"/>
    <w:rsid w:val="714D78D3"/>
    <w:rsid w:val="71503CE7"/>
    <w:rsid w:val="71536C22"/>
    <w:rsid w:val="71567F32"/>
    <w:rsid w:val="715E00B3"/>
    <w:rsid w:val="716004C4"/>
    <w:rsid w:val="716242AB"/>
    <w:rsid w:val="716956B1"/>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C32AA"/>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4F1B55"/>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8782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86B8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1F6FC9"/>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8398F"/>
    <w:rsid w:val="785E2773"/>
    <w:rsid w:val="785F6878"/>
    <w:rsid w:val="78631B96"/>
    <w:rsid w:val="78682E27"/>
    <w:rsid w:val="786B2A6C"/>
    <w:rsid w:val="786C5E43"/>
    <w:rsid w:val="786E7579"/>
    <w:rsid w:val="787A371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31222"/>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C5310"/>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77893"/>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30658"/>
    <w:rsid w:val="7E0E68FC"/>
    <w:rsid w:val="7E0F3EA6"/>
    <w:rsid w:val="7E1246DB"/>
    <w:rsid w:val="7E165F0E"/>
    <w:rsid w:val="7E1D0F6C"/>
    <w:rsid w:val="7E20169A"/>
    <w:rsid w:val="7E274023"/>
    <w:rsid w:val="7E2B327F"/>
    <w:rsid w:val="7E2D5152"/>
    <w:rsid w:val="7E33374B"/>
    <w:rsid w:val="7E3508C6"/>
    <w:rsid w:val="7E355E2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04863"/>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1"/>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2"/>
    <w:unhideWhenUsed/>
    <w:qFormat/>
    <w:uiPriority w:val="9"/>
    <w:pPr>
      <w:outlineLvl w:val="2"/>
    </w:pPr>
  </w:style>
  <w:style w:type="paragraph" w:styleId="5">
    <w:name w:val="heading 4"/>
    <w:basedOn w:val="1"/>
    <w:next w:val="1"/>
    <w:link w:val="33"/>
    <w:qFormat/>
    <w:uiPriority w:val="0"/>
    <w:pPr>
      <w:overflowPunct w:val="0"/>
      <w:ind w:left="1051" w:hanging="851"/>
      <w:textAlignment w:val="baseline"/>
      <w:outlineLvl w:val="3"/>
    </w:pPr>
    <w:rPr>
      <w:sz w:val="28"/>
      <w:szCs w:val="28"/>
      <w:lang w:val="en-GB"/>
    </w:rPr>
  </w:style>
  <w:style w:type="paragraph" w:styleId="6">
    <w:name w:val="heading 5"/>
    <w:basedOn w:val="5"/>
    <w:next w:val="1"/>
    <w:link w:val="34"/>
    <w:qFormat/>
    <w:uiPriority w:val="0"/>
    <w:pPr>
      <w:spacing w:beforeLines="50"/>
      <w:ind w:left="718" w:hanging="576"/>
      <w:outlineLvl w:val="4"/>
    </w:pPr>
    <w:rPr>
      <w:sz w:val="24"/>
      <w:szCs w:val="24"/>
    </w:rPr>
  </w:style>
  <w:style w:type="paragraph" w:styleId="7">
    <w:name w:val="heading 7"/>
    <w:basedOn w:val="1"/>
    <w:next w:val="1"/>
    <w:qFormat/>
    <w:uiPriority w:val="0"/>
    <w:pPr>
      <w:keepNext/>
      <w:tabs>
        <w:tab w:val="left" w:pos="2694"/>
      </w:tabs>
      <w:ind w:left="708"/>
      <w:outlineLvl w:val="6"/>
    </w:pPr>
    <w:rPr>
      <w:rFonts w:ascii="Arial" w:hAnsi="Arial"/>
      <w:b/>
      <w:color w:val="0000FF"/>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ind w:firstLine="420"/>
      <w:jc w:val="both"/>
    </w:pPr>
    <w:rPr>
      <w:kern w:val="2"/>
      <w:sz w:val="21"/>
      <w:szCs w:val="20"/>
    </w:rPr>
  </w:style>
  <w:style w:type="paragraph" w:styleId="10">
    <w:name w:val="caption"/>
    <w:basedOn w:val="1"/>
    <w:next w:val="1"/>
    <w:link w:val="35"/>
    <w:qFormat/>
    <w:uiPriority w:val="0"/>
    <w:pPr>
      <w:tabs>
        <w:tab w:val="left" w:pos="1418"/>
      </w:tabs>
      <w:spacing w:before="120" w:after="120"/>
    </w:pPr>
    <w:rPr>
      <w:b/>
      <w:bCs/>
      <w:sz w:val="20"/>
      <w:szCs w:val="20"/>
      <w:lang w:val="en-GB" w:eastAsia="sv-SE"/>
    </w:rPr>
  </w:style>
  <w:style w:type="paragraph" w:styleId="11">
    <w:name w:val="Document Map"/>
    <w:basedOn w:val="1"/>
    <w:link w:val="36"/>
    <w:unhideWhenUsed/>
    <w:qFormat/>
    <w:uiPriority w:val="99"/>
    <w:rPr>
      <w:rFonts w:ascii="宋体"/>
      <w:sz w:val="18"/>
      <w:szCs w:val="18"/>
    </w:rPr>
  </w:style>
  <w:style w:type="paragraph" w:styleId="12">
    <w:name w:val="annotation text"/>
    <w:basedOn w:val="1"/>
    <w:link w:val="37"/>
    <w:unhideWhenUsed/>
    <w:qFormat/>
    <w:uiPriority w:val="0"/>
    <w:rPr>
      <w:sz w:val="20"/>
      <w:szCs w:val="20"/>
    </w:rPr>
  </w:style>
  <w:style w:type="paragraph" w:styleId="13">
    <w:name w:val="Body Text"/>
    <w:basedOn w:val="1"/>
    <w:link w:val="38"/>
    <w:qFormat/>
    <w:uiPriority w:val="0"/>
    <w:pPr>
      <w:widowControl w:val="0"/>
      <w:jc w:val="both"/>
    </w:pPr>
    <w:rPr>
      <w:color w:val="0000FF"/>
      <w:kern w:val="2"/>
      <w:sz w:val="21"/>
      <w:szCs w:val="20"/>
    </w:rPr>
  </w:style>
  <w:style w:type="paragraph" w:styleId="14">
    <w:name w:val="Body Text Indent"/>
    <w:basedOn w:val="1"/>
    <w:link w:val="39"/>
    <w:unhideWhenUsed/>
    <w:qFormat/>
    <w:uiPriority w:val="99"/>
    <w:pPr>
      <w:spacing w:after="120"/>
      <w:ind w:left="360"/>
    </w:pPr>
  </w:style>
  <w:style w:type="paragraph" w:styleId="15">
    <w:name w:val="List 2"/>
    <w:basedOn w:val="16"/>
    <w:unhideWhenUsed/>
    <w:qFormat/>
    <w:uiPriority w:val="99"/>
    <w:pPr>
      <w:ind w:left="100" w:leftChars="200" w:hanging="200" w:hangingChars="200"/>
      <w:contextualSpacing/>
    </w:pPr>
  </w:style>
  <w:style w:type="paragraph" w:styleId="16">
    <w:name w:val="List"/>
    <w:basedOn w:val="1"/>
    <w:unhideWhenUsed/>
    <w:qFormat/>
    <w:uiPriority w:val="99"/>
    <w:pPr>
      <w:ind w:left="568" w:hanging="284"/>
    </w:pPr>
  </w:style>
  <w:style w:type="paragraph" w:styleId="17">
    <w:name w:val="Plain Text"/>
    <w:basedOn w:val="1"/>
    <w:link w:val="40"/>
    <w:unhideWhenUsed/>
    <w:qFormat/>
    <w:uiPriority w:val="99"/>
    <w:rPr>
      <w:rFonts w:eastAsia="Calibri"/>
      <w:szCs w:val="21"/>
      <w:lang w:val="en-GB" w:eastAsia="en-US"/>
    </w:rPr>
  </w:style>
  <w:style w:type="paragraph" w:styleId="18">
    <w:name w:val="Date"/>
    <w:basedOn w:val="1"/>
    <w:next w:val="1"/>
    <w:link w:val="41"/>
    <w:unhideWhenUsed/>
    <w:qFormat/>
    <w:uiPriority w:val="99"/>
    <w:pPr>
      <w:ind w:left="100" w:leftChars="2500"/>
    </w:pPr>
  </w:style>
  <w:style w:type="paragraph" w:styleId="19">
    <w:name w:val="Balloon Text"/>
    <w:basedOn w:val="1"/>
    <w:link w:val="42"/>
    <w:unhideWhenUsed/>
    <w:qFormat/>
    <w:uiPriority w:val="99"/>
    <w:rPr>
      <w:rFonts w:ascii="Tahoma" w:hAnsi="Tahoma"/>
      <w:sz w:val="16"/>
      <w:szCs w:val="16"/>
    </w:rPr>
  </w:style>
  <w:style w:type="paragraph" w:styleId="20">
    <w:name w:val="footer"/>
    <w:basedOn w:val="1"/>
    <w:link w:val="43"/>
    <w:unhideWhenUsed/>
    <w:qFormat/>
    <w:uiPriority w:val="99"/>
    <w:pPr>
      <w:tabs>
        <w:tab w:val="center" w:pos="4153"/>
        <w:tab w:val="right" w:pos="8306"/>
      </w:tabs>
      <w:snapToGrid w:val="0"/>
    </w:pPr>
    <w:rPr>
      <w:sz w:val="18"/>
      <w:szCs w:val="18"/>
    </w:rPr>
  </w:style>
  <w:style w:type="paragraph" w:styleId="21">
    <w:name w:val="header"/>
    <w:basedOn w:val="1"/>
    <w:link w:val="44"/>
    <w:qFormat/>
    <w:uiPriority w:val="99"/>
    <w:pPr>
      <w:tabs>
        <w:tab w:val="center" w:pos="4536"/>
        <w:tab w:val="right" w:pos="9072"/>
      </w:tabs>
    </w:pPr>
    <w:rPr>
      <w:rFonts w:ascii="Arial" w:hAnsi="Arial" w:eastAsia="MS Mincho"/>
      <w:b/>
      <w:sz w:val="20"/>
      <w:lang w:eastAsia="en-US"/>
    </w:rPr>
  </w:style>
  <w:style w:type="paragraph" w:styleId="22">
    <w:name w:val="Normal (Web)"/>
    <w:basedOn w:val="1"/>
    <w:unhideWhenUsed/>
    <w:qFormat/>
    <w:uiPriority w:val="99"/>
    <w:rPr>
      <w:rFonts w:ascii="宋体" w:hAnsi="宋体" w:cs="宋体"/>
    </w:rPr>
  </w:style>
  <w:style w:type="paragraph" w:styleId="23">
    <w:name w:val="annotation subject"/>
    <w:basedOn w:val="12"/>
    <w:next w:val="12"/>
    <w:link w:val="45"/>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page number"/>
    <w:basedOn w:val="26"/>
    <w:unhideWhenUsed/>
    <w:qFormat/>
    <w:uiPriority w:val="99"/>
    <w:rPr>
      <w:rFonts w:hint="default"/>
      <w:sz w:val="24"/>
    </w:rPr>
  </w:style>
  <w:style w:type="character" w:styleId="28">
    <w:name w:val="Hyperlink"/>
    <w:unhideWhenUsed/>
    <w:qFormat/>
    <w:uiPriority w:val="99"/>
    <w:rPr>
      <w:color w:val="0000FF"/>
      <w:u w:val="single"/>
    </w:rPr>
  </w:style>
  <w:style w:type="character" w:styleId="29">
    <w:name w:val="annotation reference"/>
    <w:unhideWhenUsed/>
    <w:qFormat/>
    <w:uiPriority w:val="0"/>
    <w:rPr>
      <w:sz w:val="16"/>
      <w:szCs w:val="16"/>
    </w:rPr>
  </w:style>
  <w:style w:type="character" w:customStyle="1" w:styleId="30">
    <w:name w:val="Heading 1 Char"/>
    <w:link w:val="2"/>
    <w:qFormat/>
    <w:uiPriority w:val="0"/>
    <w:rPr>
      <w:rFonts w:ascii="Arial" w:hAnsi="Arial" w:eastAsia="黑体"/>
      <w:b/>
      <w:bCs/>
      <w:sz w:val="30"/>
      <w:szCs w:val="30"/>
      <w:lang w:val="zh-CN"/>
    </w:rPr>
  </w:style>
  <w:style w:type="character" w:customStyle="1" w:styleId="31">
    <w:name w:val="Heading 2 Char"/>
    <w:link w:val="3"/>
    <w:qFormat/>
    <w:uiPriority w:val="0"/>
    <w:rPr>
      <w:rFonts w:ascii="Cambria" w:hAnsi="Cambria"/>
      <w:b/>
      <w:bCs/>
      <w:sz w:val="32"/>
      <w:szCs w:val="32"/>
      <w:lang w:val="en-US" w:eastAsia="zh-CN"/>
    </w:rPr>
  </w:style>
  <w:style w:type="character" w:customStyle="1" w:styleId="32">
    <w:name w:val="Heading 3 Char"/>
    <w:link w:val="4"/>
    <w:semiHidden/>
    <w:qFormat/>
    <w:uiPriority w:val="9"/>
    <w:rPr>
      <w:b/>
      <w:bCs/>
      <w:sz w:val="32"/>
      <w:szCs w:val="32"/>
    </w:rPr>
  </w:style>
  <w:style w:type="character" w:customStyle="1" w:styleId="33">
    <w:name w:val="Heading 4 Char"/>
    <w:link w:val="5"/>
    <w:qFormat/>
    <w:uiPriority w:val="0"/>
    <w:rPr>
      <w:rFonts w:ascii="Times New Roman" w:hAnsi="Times New Roman"/>
      <w:b/>
      <w:sz w:val="28"/>
      <w:szCs w:val="28"/>
      <w:lang w:val="en-GB"/>
    </w:rPr>
  </w:style>
  <w:style w:type="character" w:customStyle="1" w:styleId="34">
    <w:name w:val="Heading 5 Char"/>
    <w:link w:val="6"/>
    <w:qFormat/>
    <w:uiPriority w:val="0"/>
    <w:rPr>
      <w:rFonts w:ascii="Times New Roman" w:hAnsi="Times New Roman"/>
      <w:b/>
      <w:sz w:val="24"/>
      <w:szCs w:val="24"/>
      <w:lang w:val="en-GB"/>
    </w:rPr>
  </w:style>
  <w:style w:type="character" w:customStyle="1" w:styleId="35">
    <w:name w:val="Caption Char"/>
    <w:link w:val="10"/>
    <w:qFormat/>
    <w:uiPriority w:val="0"/>
    <w:rPr>
      <w:rFonts w:ascii="Times New Roman" w:hAnsi="Times New Roman"/>
      <w:b/>
      <w:bCs/>
      <w:lang w:val="en-GB" w:eastAsia="sv-SE"/>
    </w:rPr>
  </w:style>
  <w:style w:type="character" w:customStyle="1" w:styleId="36">
    <w:name w:val="Document Map Char"/>
    <w:link w:val="11"/>
    <w:semiHidden/>
    <w:qFormat/>
    <w:uiPriority w:val="99"/>
    <w:rPr>
      <w:rFonts w:ascii="宋体"/>
      <w:sz w:val="18"/>
      <w:szCs w:val="18"/>
    </w:rPr>
  </w:style>
  <w:style w:type="character" w:customStyle="1" w:styleId="37">
    <w:name w:val="Comment Text Char"/>
    <w:basedOn w:val="26"/>
    <w:link w:val="12"/>
    <w:qFormat/>
    <w:uiPriority w:val="0"/>
  </w:style>
  <w:style w:type="character" w:customStyle="1" w:styleId="38">
    <w:name w:val="Body Text Char"/>
    <w:link w:val="13"/>
    <w:qFormat/>
    <w:uiPriority w:val="0"/>
    <w:rPr>
      <w:rFonts w:ascii="Times New Roman" w:hAnsi="Times New Roman"/>
      <w:color w:val="0000FF"/>
      <w:kern w:val="2"/>
      <w:sz w:val="21"/>
    </w:rPr>
  </w:style>
  <w:style w:type="character" w:customStyle="1" w:styleId="39">
    <w:name w:val="Body Text Indent Char"/>
    <w:basedOn w:val="26"/>
    <w:link w:val="14"/>
    <w:semiHidden/>
    <w:qFormat/>
    <w:uiPriority w:val="99"/>
    <w:rPr>
      <w:sz w:val="22"/>
      <w:szCs w:val="22"/>
    </w:rPr>
  </w:style>
  <w:style w:type="character" w:customStyle="1" w:styleId="40">
    <w:name w:val="Plain Text Char"/>
    <w:link w:val="17"/>
    <w:qFormat/>
    <w:uiPriority w:val="99"/>
    <w:rPr>
      <w:rFonts w:eastAsia="Calibri"/>
      <w:sz w:val="22"/>
      <w:szCs w:val="21"/>
      <w:lang w:val="en-GB" w:eastAsia="en-US"/>
    </w:rPr>
  </w:style>
  <w:style w:type="character" w:customStyle="1" w:styleId="41">
    <w:name w:val="Date Char"/>
    <w:link w:val="18"/>
    <w:semiHidden/>
    <w:qFormat/>
    <w:uiPriority w:val="99"/>
    <w:rPr>
      <w:sz w:val="22"/>
      <w:szCs w:val="22"/>
    </w:rPr>
  </w:style>
  <w:style w:type="character" w:customStyle="1" w:styleId="42">
    <w:name w:val="Balloon Text Char"/>
    <w:link w:val="19"/>
    <w:semiHidden/>
    <w:qFormat/>
    <w:uiPriority w:val="99"/>
    <w:rPr>
      <w:rFonts w:ascii="Tahoma" w:hAnsi="Tahoma" w:cs="Tahoma"/>
      <w:sz w:val="16"/>
      <w:szCs w:val="16"/>
    </w:rPr>
  </w:style>
  <w:style w:type="character" w:customStyle="1" w:styleId="43">
    <w:name w:val="Footer Char"/>
    <w:link w:val="20"/>
    <w:qFormat/>
    <w:uiPriority w:val="99"/>
    <w:rPr>
      <w:sz w:val="18"/>
      <w:szCs w:val="18"/>
    </w:rPr>
  </w:style>
  <w:style w:type="character" w:customStyle="1" w:styleId="44">
    <w:name w:val="Header Char"/>
    <w:link w:val="21"/>
    <w:qFormat/>
    <w:uiPriority w:val="99"/>
    <w:rPr>
      <w:rFonts w:ascii="Arial" w:hAnsi="Arial" w:eastAsia="MS Mincho"/>
      <w:b/>
      <w:szCs w:val="24"/>
      <w:lang w:eastAsia="en-US"/>
    </w:rPr>
  </w:style>
  <w:style w:type="character" w:customStyle="1" w:styleId="45">
    <w:name w:val="Comment Subject Char"/>
    <w:link w:val="23"/>
    <w:semiHidden/>
    <w:qFormat/>
    <w:uiPriority w:val="99"/>
    <w:rPr>
      <w:b/>
      <w:bCs/>
    </w:rPr>
  </w:style>
  <w:style w:type="paragraph" w:customStyle="1" w:styleId="4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7">
    <w:name w:val="表格文字居左"/>
    <w:basedOn w:val="1"/>
    <w:next w:val="1"/>
    <w:qFormat/>
    <w:uiPriority w:val="0"/>
    <w:pPr>
      <w:widowControl w:val="0"/>
      <w:jc w:val="both"/>
    </w:pPr>
    <w:rPr>
      <w:rFonts w:ascii="Arial" w:hAnsi="Arial" w:cs="宋体"/>
      <w:kern w:val="2"/>
      <w:sz w:val="21"/>
      <w:szCs w:val="20"/>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6"/>
    <w:qFormat/>
    <w:uiPriority w:val="0"/>
  </w:style>
  <w:style w:type="paragraph" w:customStyle="1" w:styleId="52">
    <w:name w:val="z-Bottom of Form1"/>
    <w:basedOn w:val="1"/>
    <w:next w:val="1"/>
    <w:link w:val="53"/>
    <w:unhideWhenUsed/>
    <w:qFormat/>
    <w:uiPriority w:val="99"/>
    <w:pPr>
      <w:pBdr>
        <w:top w:val="single" w:color="auto" w:sz="6" w:space="1"/>
      </w:pBdr>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paragraph" w:customStyle="1" w:styleId="54">
    <w:name w:val="List Paragraph1"/>
    <w:basedOn w:val="1"/>
    <w:link w:val="55"/>
    <w:qFormat/>
    <w:uiPriority w:val="34"/>
    <w:pPr>
      <w:widowControl w:val="0"/>
      <w:ind w:firstLine="420" w:firstLineChars="200"/>
      <w:jc w:val="both"/>
    </w:pPr>
    <w:rPr>
      <w:kern w:val="2"/>
      <w:sz w:val="21"/>
    </w:rPr>
  </w:style>
  <w:style w:type="character" w:customStyle="1" w:styleId="55">
    <w:name w:val="列出段落 Char"/>
    <w:link w:val="54"/>
    <w:qFormat/>
    <w:locked/>
    <w:uiPriority w:val="34"/>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pPr>
    <w:rPr>
      <w:sz w:val="20"/>
      <w:lang w:eastAsia="en-US"/>
    </w:rPr>
  </w:style>
  <w:style w:type="character" w:customStyle="1" w:styleId="58">
    <w:name w:val="short_text"/>
    <w:basedOn w:val="26"/>
    <w:qFormat/>
    <w:uiPriority w:val="0"/>
  </w:style>
  <w:style w:type="paragraph" w:customStyle="1" w:styleId="59">
    <w:name w:val="tableheader"/>
    <w:basedOn w:val="1"/>
    <w:qFormat/>
    <w:uiPriority w:val="0"/>
    <w:pPr>
      <w:snapToGrid w:val="0"/>
      <w:spacing w:before="40" w:after="40"/>
      <w:jc w:val="center"/>
    </w:pPr>
    <w:rPr>
      <w:rFonts w:cs="Calibri"/>
      <w:b/>
      <w:bCs/>
      <w:color w:val="000000"/>
      <w:sz w:val="20"/>
      <w:lang w:eastAsia="en-US"/>
    </w:rPr>
  </w:style>
  <w:style w:type="paragraph" w:customStyle="1" w:styleId="60">
    <w:name w:val="TAH"/>
    <w:basedOn w:val="61"/>
    <w:link w:val="64"/>
    <w:qFormat/>
    <w:uiPriority w:val="0"/>
    <w:rPr>
      <w:b/>
    </w:rPr>
  </w:style>
  <w:style w:type="paragraph" w:customStyle="1" w:styleId="61">
    <w:name w:val="TAC"/>
    <w:basedOn w:val="62"/>
    <w:link w:val="121"/>
    <w:qFormat/>
    <w:uiPriority w:val="0"/>
    <w:pPr>
      <w:jc w:val="center"/>
    </w:pPr>
    <w:rPr>
      <w:szCs w:val="20"/>
      <w:lang w:val="en-GB" w:eastAsia="en-US"/>
    </w:rPr>
  </w:style>
  <w:style w:type="paragraph" w:customStyle="1" w:styleId="62">
    <w:name w:val="TAL"/>
    <w:basedOn w:val="1"/>
    <w:link w:val="63"/>
    <w:qFormat/>
    <w:uiPriority w:val="0"/>
    <w:pPr>
      <w:keepNext/>
      <w:keepLines/>
    </w:pPr>
    <w:rPr>
      <w:rFonts w:ascii="Arial" w:hAnsi="Arial"/>
      <w:sz w:val="18"/>
    </w:rPr>
  </w:style>
  <w:style w:type="character" w:customStyle="1" w:styleId="63">
    <w:name w:val="TAL Char"/>
    <w:link w:val="62"/>
    <w:qFormat/>
    <w:uiPriority w:val="0"/>
    <w:rPr>
      <w:rFonts w:ascii="Arial" w:hAnsi="Arial"/>
      <w:sz w:val="18"/>
      <w:szCs w:val="24"/>
    </w:rPr>
  </w:style>
  <w:style w:type="character" w:customStyle="1" w:styleId="64">
    <w:name w:val="TAH Car"/>
    <w:link w:val="60"/>
    <w:qFormat/>
    <w:uiPriority w:val="0"/>
    <w:rPr>
      <w:rFonts w:ascii="Arial" w:hAnsi="Arial"/>
      <w:b/>
      <w:sz w:val="18"/>
      <w:lang w:val="en-GB" w:eastAsia="en-US"/>
    </w:rPr>
  </w:style>
  <w:style w:type="paragraph" w:customStyle="1" w:styleId="6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6">
    <w:name w:val="TAN"/>
    <w:basedOn w:val="1"/>
    <w:qFormat/>
    <w:uiPriority w:val="0"/>
    <w:pPr>
      <w:keepNext/>
      <w:keepLines/>
      <w:ind w:left="851" w:hanging="851"/>
    </w:pPr>
    <w:rPr>
      <w:rFonts w:ascii="Arial" w:hAnsi="Arial"/>
      <w:sz w:val="18"/>
      <w:szCs w:val="20"/>
      <w:lang w:val="en-GB" w:eastAsia="en-US"/>
    </w:rPr>
  </w:style>
  <w:style w:type="character" w:customStyle="1" w:styleId="67">
    <w:name w:val="apple-converted-space"/>
    <w:basedOn w:val="26"/>
    <w:qFormat/>
    <w:uiPriority w:val="0"/>
  </w:style>
  <w:style w:type="character" w:customStyle="1" w:styleId="68">
    <w:name w:val="keyword"/>
    <w:basedOn w:val="26"/>
    <w:qFormat/>
    <w:uiPriority w:val="0"/>
  </w:style>
  <w:style w:type="paragraph" w:customStyle="1" w:styleId="69">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0">
    <w:name w:val="Doc-text2"/>
    <w:basedOn w:val="1"/>
    <w:link w:val="71"/>
    <w:qFormat/>
    <w:uiPriority w:val="0"/>
    <w:pPr>
      <w:tabs>
        <w:tab w:val="left" w:pos="1622"/>
      </w:tabs>
      <w:ind w:left="1622" w:hanging="363"/>
    </w:pPr>
    <w:rPr>
      <w:rFonts w:ascii="Arial" w:hAnsi="Arial" w:eastAsia="MS Mincho"/>
      <w:sz w:val="20"/>
      <w:lang w:val="en-GB" w:eastAsia="en-GB"/>
    </w:rPr>
  </w:style>
  <w:style w:type="character" w:customStyle="1" w:styleId="71">
    <w:name w:val="Doc-text2 Char"/>
    <w:link w:val="70"/>
    <w:qFormat/>
    <w:uiPriority w:val="0"/>
    <w:rPr>
      <w:rFonts w:ascii="Arial" w:hAnsi="Arial" w:eastAsia="MS Mincho"/>
      <w:szCs w:val="24"/>
      <w:lang w:val="en-GB" w:eastAsia="en-GB"/>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3">
    <w:name w:val="main text Char"/>
    <w:link w:val="72"/>
    <w:qFormat/>
    <w:uiPriority w:val="0"/>
    <w:rPr>
      <w:rFonts w:ascii="Times New Roman" w:hAnsi="Times New Roman" w:eastAsia="Malgun Gothic"/>
      <w:lang w:val="en-GB" w:eastAsia="ko-KR"/>
    </w:rPr>
  </w:style>
  <w:style w:type="paragraph" w:customStyle="1" w:styleId="74">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5">
    <w:name w:val="样式 正文缩进d + 首行缩进:  2 字符 段前: 0.35 行"/>
    <w:basedOn w:val="9"/>
    <w:link w:val="76"/>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6">
    <w:name w:val="样式 正文缩进d + 首行缩进:  2 字符 段前: 0.35 行 Char"/>
    <w:link w:val="75"/>
    <w:qFormat/>
    <w:uiPriority w:val="0"/>
    <w:rPr>
      <w:rFonts w:ascii="Times New Roman" w:hAnsi="Times New Roman" w:eastAsia="KaiTi_GB2312"/>
      <w:snapToGrid w:val="0"/>
      <w:sz w:val="28"/>
    </w:rPr>
  </w:style>
  <w:style w:type="paragraph" w:customStyle="1" w:styleId="77">
    <w:name w:val="B2"/>
    <w:basedOn w:val="15"/>
    <w:link w:val="78"/>
    <w:qFormat/>
    <w:uiPriority w:val="0"/>
    <w:pPr>
      <w:spacing w:after="180"/>
      <w:ind w:left="851" w:leftChars="0" w:hanging="284" w:firstLineChars="0"/>
      <w:contextualSpacing w:val="0"/>
    </w:pPr>
    <w:rPr>
      <w:rFonts w:eastAsia="MS Mincho"/>
      <w:sz w:val="20"/>
      <w:szCs w:val="20"/>
      <w:lang w:val="en-GB" w:eastAsia="en-US"/>
    </w:rPr>
  </w:style>
  <w:style w:type="character" w:customStyle="1" w:styleId="78">
    <w:name w:val="B2 Char"/>
    <w:link w:val="77"/>
    <w:qFormat/>
    <w:uiPriority w:val="0"/>
    <w:rPr>
      <w:rFonts w:eastAsia="MS Mincho"/>
      <w:lang w:val="en-GB" w:eastAsia="en-US"/>
    </w:rPr>
  </w:style>
  <w:style w:type="paragraph" w:customStyle="1" w:styleId="79">
    <w:name w:val="B3"/>
    <w:basedOn w:val="8"/>
    <w:link w:val="80"/>
    <w:qFormat/>
    <w:uiPriority w:val="0"/>
    <w:pPr>
      <w:spacing w:after="180"/>
      <w:ind w:left="1135" w:leftChars="0" w:hanging="284" w:firstLineChars="0"/>
      <w:contextualSpacing w:val="0"/>
    </w:pPr>
    <w:rPr>
      <w:rFonts w:eastAsia="MS Mincho"/>
      <w:sz w:val="20"/>
      <w:szCs w:val="20"/>
      <w:lang w:val="en-GB" w:eastAsia="en-US"/>
    </w:rPr>
  </w:style>
  <w:style w:type="character" w:customStyle="1" w:styleId="80">
    <w:name w:val="B3 Char"/>
    <w:link w:val="79"/>
    <w:qFormat/>
    <w:uiPriority w:val="0"/>
    <w:rPr>
      <w:rFonts w:eastAsia="MS Mincho"/>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ind w:firstLine="420" w:firstLineChars="200"/>
      <w:jc w:val="both"/>
    </w:pPr>
    <w:rPr>
      <w:kern w:val="2"/>
      <w:sz w:val="21"/>
    </w:rPr>
  </w:style>
  <w:style w:type="paragraph" w:customStyle="1" w:styleId="83">
    <w:name w:val="B1"/>
    <w:basedOn w:val="16"/>
    <w:link w:val="84"/>
    <w:qFormat/>
    <w:uiPriority w:val="0"/>
  </w:style>
  <w:style w:type="character" w:customStyle="1" w:styleId="84">
    <w:name w:val="B1 (文字)"/>
    <w:link w:val="83"/>
    <w:qFormat/>
    <w:locked/>
    <w:uiPriority w:val="0"/>
    <w:rPr>
      <w:rFonts w:ascii="Calibri" w:hAnsi="Calibri" w:eastAsiaTheme="minorEastAsia"/>
      <w:sz w:val="22"/>
      <w:szCs w:val="22"/>
    </w:rPr>
  </w:style>
  <w:style w:type="paragraph" w:customStyle="1" w:styleId="85">
    <w:name w:val="EQ"/>
    <w:basedOn w:val="1"/>
    <w:next w:val="1"/>
    <w:unhideWhenUsed/>
    <w:qFormat/>
    <w:uiPriority w:val="0"/>
    <w:pPr>
      <w:keepLines/>
      <w:tabs>
        <w:tab w:val="center" w:pos="4536"/>
        <w:tab w:val="right" w:pos="9072"/>
      </w:tabs>
    </w:pPr>
  </w:style>
  <w:style w:type="paragraph" w:customStyle="1" w:styleId="86">
    <w:name w:val="List Paragraph2"/>
    <w:basedOn w:val="1"/>
    <w:qFormat/>
    <w:uiPriority w:val="99"/>
    <w:pPr>
      <w:ind w:firstLine="420" w:firstLineChars="200"/>
    </w:p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4">
    <w:name w:val="List Paragraph Char1"/>
    <w:link w:val="93"/>
    <w:qFormat/>
    <w:locked/>
    <w:uiPriority w:val="34"/>
    <w:rPr>
      <w:sz w:val="22"/>
      <w:lang w:eastAsia="ja-JP"/>
    </w:rPr>
  </w:style>
  <w:style w:type="character" w:customStyle="1" w:styleId="95">
    <w:name w:val="10"/>
    <w:basedOn w:val="26"/>
    <w:qFormat/>
    <w:uiPriority w:val="0"/>
    <w:rPr>
      <w:rFonts w:hint="default" w:ascii="Times New Roman" w:hAnsi="Times New Roman" w:cs="Times New Roman"/>
    </w:rPr>
  </w:style>
  <w:style w:type="character" w:customStyle="1" w:styleId="96">
    <w:name w:val="15"/>
    <w:basedOn w:val="26"/>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2">
    <w:name w:val="EmailDiscussion2"/>
    <w:basedOn w:val="1"/>
    <w:qFormat/>
    <w:uiPriority w:val="0"/>
    <w:pPr>
      <w:spacing w:after="100" w:afterAutospacing="1"/>
      <w:ind w:left="1622" w:hanging="363"/>
    </w:pPr>
    <w:rPr>
      <w:rFonts w:ascii="Arial" w:hAnsi="Arial" w:eastAsia="MS Mincho"/>
    </w:rPr>
  </w:style>
  <w:style w:type="paragraph" w:customStyle="1" w:styleId="103">
    <w:name w:val="EmailDiscussion"/>
    <w:basedOn w:val="1"/>
    <w:next w:val="102"/>
    <w:qFormat/>
    <w:uiPriority w:val="0"/>
    <w:pPr>
      <w:spacing w:before="40" w:after="100" w:afterAutospacing="1"/>
      <w:ind w:left="1619" w:hanging="360"/>
    </w:pPr>
    <w:rPr>
      <w:rFonts w:ascii="Arial" w:hAnsi="Arial" w:eastAsia="MS Mincho"/>
      <w:b/>
      <w:bCs/>
    </w:rPr>
  </w:style>
  <w:style w:type="paragraph" w:customStyle="1" w:styleId="104">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5">
    <w:name w:val="网格型1"/>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TF"/>
    <w:basedOn w:val="65"/>
    <w:qFormat/>
    <w:uiPriority w:val="0"/>
    <w:pPr>
      <w:keepNext w:val="0"/>
      <w:spacing w:before="0" w:after="240"/>
    </w:pPr>
  </w:style>
  <w:style w:type="character" w:customStyle="1" w:styleId="107">
    <w:name w:val="List Paragraph Char"/>
    <w:qFormat/>
    <w:locked/>
    <w:uiPriority w:val="34"/>
    <w:rPr>
      <w:kern w:val="2"/>
      <w:sz w:val="21"/>
      <w:szCs w:val="24"/>
    </w:rPr>
  </w:style>
  <w:style w:type="table" w:customStyle="1" w:styleId="108">
    <w:name w:val="网格型2"/>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9">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10">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1">
    <w:name w:val="列表段落 字符1"/>
    <w:qFormat/>
    <w:uiPriority w:val="34"/>
    <w:rPr>
      <w:rFonts w:ascii="Times" w:hAnsi="Times" w:eastAsia="Batang"/>
      <w:szCs w:val="24"/>
      <w:lang w:val="en-GB"/>
    </w:rPr>
  </w:style>
  <w:style w:type="paragraph" w:customStyle="1" w:styleId="112">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3">
    <w:name w:val="B1 Zchn"/>
    <w:qFormat/>
    <w:uiPriority w:val="0"/>
    <w:rPr>
      <w:lang w:eastAsia="en-US"/>
    </w:rPr>
  </w:style>
  <w:style w:type="paragraph" w:customStyle="1" w:styleId="114">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6">
    <w:name w:val="NO"/>
    <w:basedOn w:val="1"/>
    <w:qFormat/>
    <w:uiPriority w:val="0"/>
    <w:pPr>
      <w:keepLines/>
      <w:ind w:left="1135" w:hanging="851"/>
    </w:pPr>
  </w:style>
  <w:style w:type="table" w:customStyle="1" w:styleId="117">
    <w:name w:val="网格型3"/>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8">
    <w:name w:val="修订2"/>
    <w:hidden/>
    <w:semiHidden/>
    <w:qFormat/>
    <w:uiPriority w:val="99"/>
    <w:rPr>
      <w:rFonts w:ascii="Times New Roman" w:hAnsi="Times New Roman" w:eastAsia="宋体" w:cs="Times New Roman"/>
      <w:sz w:val="24"/>
      <w:szCs w:val="24"/>
      <w:lang w:val="en-US" w:eastAsia="zh-CN" w:bidi="ar-SA"/>
    </w:rPr>
  </w:style>
  <w:style w:type="table" w:customStyle="1" w:styleId="119">
    <w:name w:val="Table Normal1"/>
    <w:basedOn w:val="24"/>
    <w:semiHidden/>
    <w:qFormat/>
    <w:uiPriority w:val="0"/>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1">
    <w:name w:val="TAC Char"/>
    <w:link w:val="61"/>
    <w:qFormat/>
    <w:uiPriority w:val="0"/>
    <w:rPr>
      <w:rFonts w:ascii="Arial" w:hAnsi="Arial"/>
      <w:sz w:val="18"/>
      <w:lang w:val="en-GB" w:eastAsia="en-US"/>
    </w:rPr>
  </w:style>
  <w:style w:type="character" w:customStyle="1" w:styleId="122">
    <w:name w:val="0 Main text Char"/>
    <w:link w:val="123"/>
    <w:qFormat/>
    <w:locked/>
    <w:uiPriority w:val="0"/>
    <w:rPr>
      <w:lang w:val="en-GB" w:eastAsia="en-US"/>
    </w:rPr>
  </w:style>
  <w:style w:type="paragraph" w:customStyle="1" w:styleId="123">
    <w:name w:val="0 Main text"/>
    <w:basedOn w:val="1"/>
    <w:link w:val="122"/>
    <w:qFormat/>
    <w:uiPriority w:val="0"/>
    <w:pPr>
      <w:jc w:val="both"/>
    </w:pPr>
    <w:rPr>
      <w:sz w:val="20"/>
      <w:szCs w:val="20"/>
      <w:lang w:val="en-GB" w:eastAsia="en-US"/>
    </w:rPr>
  </w:style>
  <w:style w:type="character" w:customStyle="1" w:styleId="124">
    <w:name w:val="B1 Char"/>
    <w:qFormat/>
    <w:uiPriority w:val="0"/>
    <w:rPr>
      <w:rFonts w:ascii="Arial" w:hAnsi="Arial"/>
      <w:lang w:val="en-GB" w:eastAsia="en-US"/>
    </w:rPr>
  </w:style>
  <w:style w:type="paragraph" w:customStyle="1" w:styleId="125">
    <w:name w:val="CR Cover Page"/>
    <w:link w:val="126"/>
    <w:qFormat/>
    <w:uiPriority w:val="0"/>
    <w:pPr>
      <w:spacing w:after="120" w:line="259" w:lineRule="auto"/>
    </w:pPr>
    <w:rPr>
      <w:rFonts w:ascii="Arial" w:hAnsi="Arial" w:eastAsia="宋体" w:cs="Times New Roman"/>
      <w:lang w:val="en-GB" w:eastAsia="en-US" w:bidi="ar-SA"/>
    </w:rPr>
  </w:style>
  <w:style w:type="character" w:customStyle="1" w:styleId="126">
    <w:name w:val="CR Cover Page Zchn"/>
    <w:link w:val="125"/>
    <w:qFormat/>
    <w:locked/>
    <w:uiPriority w:val="0"/>
    <w:rPr>
      <w:rFonts w:ascii="Arial" w:hAnsi="Arial"/>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B0CE3-1801-4BA6-8064-79C688A61D5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973</Words>
  <Characters>5548</Characters>
  <Lines>46</Lines>
  <Paragraphs>13</Paragraphs>
  <TotalTime>3</TotalTime>
  <ScaleCrop>false</ScaleCrop>
  <LinksUpToDate>false</LinksUpToDate>
  <CharactersWithSpaces>6508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2025-08-25T07:38:00Z</dcterms:created>
  <dc:creator>ZTE</dc:creator>
  <cp:lastModifiedBy>ZTE-Mengzhen</cp:lastModifiedBy>
  <dcterms:modified xsi:type="dcterms:W3CDTF">2025-08-26T04:18:04Z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74C20307814348ED9EF491BA3F380816_13</vt:lpwstr>
  </property>
</Properties>
</file>