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0" w:before="0" w:afterAutospacing="0" w:after="0"/>
        <w:ind w:left="0" w:right="2" w:hanging="0"/>
        <w:jc w:val="both"/>
        <w:rPr>
          <w:sz w:val="24"/>
          <w:szCs w:val="24"/>
        </w:rPr>
      </w:pPr>
      <w:r>
        <w:rPr>
          <w:rFonts w:eastAsia="Arial" w:cs="Arial" w:ascii="Arial" w:hAnsi="Arial"/>
          <w:b/>
          <w:bCs/>
          <w:sz w:val="24"/>
          <w:szCs w:val="24"/>
          <w:lang w:val="en-GB"/>
        </w:rPr>
        <w:t>3GPP TSG RAN WG1 #122</w:t>
      </w:r>
      <w:r>
        <w:rPr>
          <w:rFonts w:ascii="Arial" w:hAnsi="Arial"/>
          <w:sz w:val="24"/>
          <w:szCs w:val="24"/>
        </w:rPr>
        <w:tab/>
        <w:tab/>
      </w:r>
      <w:r>
        <w:rPr>
          <w:rFonts w:eastAsia="Arial" w:cs="Arial" w:ascii="Arial" w:hAnsi="Arial"/>
          <w:b/>
          <w:bCs/>
          <w:sz w:val="24"/>
          <w:szCs w:val="24"/>
          <w:lang w:val="en-GB"/>
        </w:rPr>
        <w:t xml:space="preserve">                                         </w:t>
        <w:tab/>
        <w:tab/>
      </w:r>
      <w:r>
        <w:rPr>
          <w:rFonts w:eastAsia="Arial" w:cs="Arial" w:ascii="Arial" w:hAnsi="Arial"/>
          <w:b/>
          <w:bCs/>
          <w:i w:val="false"/>
          <w:iCs w:val="false"/>
          <w:caps w:val="false"/>
          <w:smallCaps w:val="false"/>
          <w:color w:val="000000" w:themeColor="text1" w:themeShade="ff" w:themeTint="ff"/>
          <w:sz w:val="24"/>
          <w:szCs w:val="24"/>
          <w:lang w:val="en-GB"/>
        </w:rPr>
        <w:t>R1-2505782</w:t>
      </w:r>
    </w:p>
    <w:p>
      <w:pPr>
        <w:pStyle w:val="Normal"/>
        <w:spacing w:lineRule="auto" w:line="240" w:beforeAutospacing="0" w:before="0" w:afterAutospacing="0" w:after="0"/>
        <w:jc w:val="both"/>
        <w:rPr>
          <w:sz w:val="24"/>
          <w:szCs w:val="24"/>
        </w:rPr>
      </w:pPr>
      <w:r>
        <w:rPr>
          <w:rFonts w:eastAsia="Arial" w:cs="Arial" w:ascii="Arial" w:hAnsi="Arial"/>
          <w:b/>
          <w:bCs/>
          <w:sz w:val="24"/>
          <w:szCs w:val="24"/>
          <w:lang w:val="en-GB"/>
        </w:rPr>
        <w:t>25</w:t>
      </w:r>
      <w:r>
        <w:rPr>
          <w:rFonts w:eastAsia="Arial" w:cs="Arial" w:ascii="Arial" w:hAnsi="Arial"/>
          <w:b/>
          <w:bCs/>
          <w:sz w:val="24"/>
          <w:szCs w:val="24"/>
          <w:vertAlign w:val="superscript"/>
          <w:lang w:val="en-GB"/>
        </w:rPr>
        <w:t>th</w:t>
      </w:r>
      <w:r>
        <w:rPr>
          <w:rFonts w:eastAsia="Arial" w:cs="Arial" w:ascii="Arial" w:hAnsi="Arial"/>
          <w:b/>
          <w:bCs/>
          <w:sz w:val="24"/>
          <w:szCs w:val="24"/>
          <w:lang w:val="en-GB"/>
        </w:rPr>
        <w:t>-29</w:t>
      </w:r>
      <w:r>
        <w:rPr>
          <w:rFonts w:eastAsia="Arial" w:cs="Arial" w:ascii="Arial" w:hAnsi="Arial"/>
          <w:b/>
          <w:bCs/>
          <w:sz w:val="24"/>
          <w:szCs w:val="24"/>
          <w:vertAlign w:val="superscript"/>
          <w:lang w:val="en-GB"/>
        </w:rPr>
        <w:t>th</w:t>
      </w:r>
      <w:r>
        <w:rPr>
          <w:rFonts w:eastAsia="Arial" w:cs="Arial" w:ascii="Arial" w:hAnsi="Arial"/>
          <w:b/>
          <w:bCs/>
          <w:sz w:val="24"/>
          <w:szCs w:val="24"/>
          <w:lang w:val="en-GB"/>
        </w:rPr>
        <w:t xml:space="preserve"> August 2025, Bengaluru, India </w:t>
      </w:r>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sz w:val="24"/>
          <w:szCs w:val="24"/>
        </w:rPr>
      </w:pPr>
      <w:r>
        <w:rPr>
          <w:rFonts w:cs="Arial" w:ascii="Arial" w:hAnsi="Arial"/>
          <w:b/>
          <w:bCs/>
          <w:sz w:val="24"/>
          <w:szCs w:val="24"/>
        </w:rPr>
        <w:t>Agenda item:  11.6</w:t>
      </w:r>
    </w:p>
    <w:p>
      <w:pPr>
        <w:pStyle w:val="Normal"/>
        <w:spacing w:lineRule="auto" w:line="240" w:beforeAutospacing="0" w:before="0" w:afterAutospacing="0" w:after="0"/>
        <w:jc w:val="both"/>
        <w:rPr>
          <w:sz w:val="24"/>
          <w:szCs w:val="24"/>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sz w:val="24"/>
          <w:szCs w:val="24"/>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AI/ML in 6GR interface</w:t>
      </w:r>
    </w:p>
    <w:p>
      <w:pPr>
        <w:pStyle w:val="CRCoverPage"/>
        <w:tabs>
          <w:tab w:val="clear" w:pos="720"/>
          <w:tab w:val="left" w:pos="1985" w:leader="none"/>
        </w:tabs>
        <w:spacing w:lineRule="auto" w:line="240"/>
        <w:jc w:val="both"/>
        <w:rPr>
          <w:sz w:val="24"/>
          <w:szCs w:val="24"/>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sz w:val="24"/>
          <w:szCs w:val="24"/>
        </w:rPr>
      </w:pPr>
      <w:r>
        <w:rPr>
          <w:rFonts w:cs="Arial" w:ascii="Arial" w:hAnsi="Arial"/>
          <w:b/>
          <w:bCs/>
          <w:sz w:val="24"/>
          <w:szCs w:val="24"/>
        </w:rPr>
        <w:t>1. Introduction</w:t>
      </w:r>
    </w:p>
    <w:p>
      <w:pPr>
        <w:pStyle w:val="Normal"/>
        <w:spacing w:before="0" w:after="120"/>
        <w:jc w:val="both"/>
        <w:rPr>
          <w:sz w:val="24"/>
          <w:szCs w:val="24"/>
        </w:rPr>
      </w:pPr>
      <w:r>
        <w:rPr>
          <w:sz w:val="24"/>
          <w:szCs w:val="24"/>
        </w:rPr>
        <w:t xml:space="preserve">Based on the latest agreements of the RAN #108 plenary meeting, a study on AI/ML in 6GR interface has been started. Following is the agenda for the study: </w:t>
      </w:r>
    </w:p>
    <w:p>
      <w:pPr>
        <w:pStyle w:val="Normal"/>
        <w:spacing w:before="0" w:after="120"/>
        <w:jc w:val="both"/>
        <w:rPr>
          <w:sz w:val="24"/>
          <w:szCs w:val="24"/>
        </w:rPr>
      </w:pPr>
      <w:r>
        <w:rPr>
          <w:sz w:val="24"/>
          <w:szCs w:val="24"/>
        </w:rPr>
      </w:r>
    </w:p>
    <w:tbl>
      <w:tblPr>
        <w:tblW w:w="98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55"/>
      </w:tblGrid>
      <w:tr>
        <w:trPr/>
        <w:tc>
          <w:tcPr>
            <w:tcW w:w="9855" w:type="dxa"/>
            <w:tcBorders>
              <w:top w:val="single" w:sz="4" w:space="0" w:color="000000"/>
              <w:left w:val="single" w:sz="4" w:space="0" w:color="000000"/>
              <w:bottom w:val="single" w:sz="4" w:space="0" w:color="000000"/>
              <w:right w:val="single" w:sz="4" w:space="0" w:color="000000"/>
            </w:tcBorders>
            <w:shd w:color="auto" w:fill="auto" w:val="clear"/>
          </w:tcPr>
          <w:tbl>
            <w:tblPr>
              <w:tblStyle w:val="TableNormal"/>
              <w:tblW w:w="9645"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9645"/>
            </w:tblGrid>
            <w:tr>
              <w:trPr>
                <w:trHeight w:val="300" w:hRule="atLeast"/>
              </w:trPr>
              <w:tc>
                <w:tcPr>
                  <w:tcW w:w="9645" w:type="dxa"/>
                  <w:tcBorders>
                    <w:top w:val="single" w:sz="8" w:space="0" w:color="000000"/>
                    <w:left w:val="single" w:sz="8" w:space="0" w:color="000000"/>
                    <w:bottom w:val="single" w:sz="8" w:space="0" w:color="000000"/>
                    <w:right w:val="single" w:sz="8" w:space="0" w:color="000000"/>
                  </w:tcBorders>
                </w:tcPr>
                <w:p>
                  <w:pPr>
                    <w:pStyle w:val="Normal"/>
                    <w:widowControl w:val="false"/>
                    <w:suppressAutoHyphens w:val="true"/>
                    <w:spacing w:beforeAutospacing="0" w:before="0" w:afterAutospacing="0" w:after="0"/>
                    <w:jc w:val="both"/>
                    <w:rPr>
                      <w:sz w:val="24"/>
                      <w:szCs w:val="24"/>
                    </w:rPr>
                  </w:pPr>
                  <w:r>
                    <w:rPr>
                      <w:rFonts w:eastAsia="Times New Roman" w:cs="Times New Roman"/>
                      <w:b/>
                      <w:bCs/>
                      <w:i/>
                      <w:iCs/>
                      <w:kern w:val="0"/>
                      <w:sz w:val="24"/>
                      <w:szCs w:val="24"/>
                      <w:highlight w:val="green"/>
                      <w:u w:val="single"/>
                      <w:lang w:bidi="ar-SA"/>
                    </w:rPr>
                    <w:t>AI/ML in 6GR interface</w:t>
                  </w:r>
                </w:p>
                <w:p>
                  <w:pPr>
                    <w:pStyle w:val="Normal"/>
                    <w:widowControl w:val="false"/>
                    <w:suppressAutoHyphens w:val="true"/>
                    <w:spacing w:beforeAutospacing="0" w:before="0" w:afterAutospacing="0" w:after="0"/>
                    <w:jc w:val="both"/>
                    <w:rPr>
                      <w:rFonts w:ascii="Times New Roman" w:hAnsi="Times New Roman" w:eastAsia="Times New Roman" w:cs="Times New Roman"/>
                      <w:i/>
                      <w:i/>
                      <w:iCs/>
                      <w:sz w:val="24"/>
                      <w:szCs w:val="24"/>
                      <w:highlight w:val="green"/>
                    </w:rPr>
                  </w:pPr>
                  <w:r>
                    <w:rPr>
                      <w:rFonts w:eastAsia="Times New Roman" w:cs="Times New Roman"/>
                      <w:i/>
                      <w:iCs/>
                      <w:sz w:val="24"/>
                      <w:szCs w:val="24"/>
                      <w:highlight w:val="green"/>
                    </w:rPr>
                  </w:r>
                </w:p>
                <w:p>
                  <w:pPr>
                    <w:pStyle w:val="Normal"/>
                    <w:widowControl w:val="false"/>
                    <w:suppressAutoHyphens w:val="true"/>
                    <w:spacing w:beforeAutospacing="0" w:before="0" w:afterAutospacing="0" w:after="0"/>
                    <w:jc w:val="both"/>
                    <w:rPr>
                      <w:sz w:val="24"/>
                      <w:szCs w:val="24"/>
                    </w:rPr>
                  </w:pPr>
                  <w:r>
                    <w:rPr>
                      <w:rFonts w:eastAsia="Times New Roman" w:cs="Times New Roman"/>
                      <w:i/>
                      <w:iCs/>
                      <w:kern w:val="0"/>
                      <w:sz w:val="24"/>
                      <w:szCs w:val="24"/>
                      <w:shd w:fill="FFFFFF" w:val="clear"/>
                      <w:lang w:bidi="ar-SA"/>
                    </w:rPr>
                    <w:t>Collecting AI/ML use cases in all potential components in physical layer design, targeting to select some use cases by RAN1#123. From RAN1#124, selected use cases will be distributed to respective related agenda.</w:t>
                  </w:r>
                  <w:r>
                    <w:rPr>
                      <w:rFonts w:eastAsia="Times New Roman" w:cs="Times New Roman"/>
                      <w:i/>
                      <w:iCs/>
                      <w:kern w:val="0"/>
                      <w:sz w:val="24"/>
                      <w:szCs w:val="24"/>
                      <w:highlight w:val="green"/>
                      <w:lang w:bidi="ar-SA"/>
                    </w:rPr>
                    <w:t xml:space="preserve"> </w:t>
                  </w:r>
                </w:p>
              </w:tc>
            </w:tr>
          </w:tbl>
          <w:p>
            <w:pPr>
              <w:pStyle w:val="Normal"/>
              <w:widowControl w:val="false"/>
              <w:spacing w:beforeAutospacing="0" w:before="0" w:afterAutospacing="0" w:after="0"/>
              <w:jc w:val="both"/>
              <w:rPr>
                <w:rFonts w:ascii="Times New Roman" w:hAnsi="Times New Roman" w:eastAsia="Times New Roman" w:cs="Times New Roman"/>
                <w:sz w:val="24"/>
                <w:szCs w:val="24"/>
                <w:highlight w:val="green"/>
                <w:lang w:val="en-GB"/>
              </w:rPr>
            </w:pPr>
            <w:r>
              <w:rPr>
                <w:rFonts w:eastAsia="Times New Roman" w:cs="Times New Roman"/>
                <w:sz w:val="24"/>
                <w:szCs w:val="24"/>
                <w:highlight w:val="green"/>
                <w:lang w:val="en-GB"/>
              </w:rPr>
            </w:r>
          </w:p>
        </w:tc>
      </w:tr>
    </w:tbl>
    <w:p>
      <w:pPr>
        <w:pStyle w:val="Normal"/>
        <w:jc w:val="both"/>
        <w:rPr>
          <w:sz w:val="24"/>
          <w:szCs w:val="24"/>
        </w:rPr>
      </w:pPr>
      <w:r>
        <w:rPr>
          <w:sz w:val="24"/>
          <w:szCs w:val="24"/>
        </w:rPr>
      </w:r>
    </w:p>
    <w:p>
      <w:pPr>
        <w:pStyle w:val="Normal"/>
        <w:spacing w:beforeAutospacing="0" w:before="0" w:afterAutospacing="0" w:after="0"/>
        <w:jc w:val="both"/>
        <w:rPr>
          <w:sz w:val="24"/>
          <w:szCs w:val="24"/>
        </w:rPr>
      </w:pPr>
      <w:r>
        <w:rPr>
          <w:rFonts w:eastAsia="Times New Roman" w:cs="Times New Roman"/>
          <w:sz w:val="24"/>
          <w:szCs w:val="24"/>
          <w:lang w:val="en-GB"/>
        </w:rPr>
        <w:t>This contribution presents our views on the various AI/ML applications in the physical layer design.</w:t>
      </w:r>
    </w:p>
    <w:p>
      <w:pPr>
        <w:pStyle w:val="Normal"/>
        <w:spacing w:beforeAutospacing="0" w:before="0" w:afterAutospacing="0" w:after="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120"/>
        <w:jc w:val="both"/>
        <w:rPr>
          <w:sz w:val="24"/>
          <w:szCs w:val="24"/>
        </w:rPr>
      </w:pPr>
      <w:r>
        <w:rPr>
          <w:rFonts w:eastAsia="Arial" w:cs="Arial" w:ascii="Arial" w:hAnsi="Arial"/>
          <w:b/>
          <w:bCs/>
          <w:sz w:val="24"/>
          <w:szCs w:val="24"/>
          <w:lang w:val="en-GB"/>
        </w:rPr>
        <w:t>2. Justification</w:t>
      </w:r>
    </w:p>
    <w:p>
      <w:pPr>
        <w:pStyle w:val="Normal"/>
        <w:spacing w:beforeAutospacing="0" w:before="0" w:afterAutospacing="0" w:after="0"/>
        <w:jc w:val="both"/>
        <w:rPr>
          <w:sz w:val="24"/>
          <w:szCs w:val="24"/>
        </w:rPr>
      </w:pPr>
      <w:r>
        <w:rPr>
          <w:rFonts w:eastAsia="Times" w:cs="Times" w:ascii="Times" w:hAnsi="Times"/>
          <w:b w:val="false"/>
          <w:bCs w:val="false"/>
          <w:sz w:val="24"/>
          <w:szCs w:val="24"/>
          <w:lang w:val="en-GB"/>
        </w:rPr>
        <w:t>The sixth generation (6G) of wireless communication systems will demand unprecedented levels of performance in terms of data rate, latency, reliability, energy efficiency, and adaptability. The physical layer (PHY), being the foundation of the air interface, will need to evolve beyond conventional deterministic algorithms to intelligent, data-driven designs. Artificial Intelligence (AI) and Machine Learning (ML) techniques offer powerful tools to address the growing complexity, non-linearity, and dynamic nature of future wireless environments. Below listed are some of the use cases in the physical layer design which can leverage AI/ML techniques to achieve better performance and efficiency:</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t>2. 1. Adaptive Modulation and Coding Scheme for 6G</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Times" w:cs="Times" w:ascii="Times" w:hAnsi="Times"/>
          <w:b w:val="false"/>
          <w:bCs w:val="false"/>
          <w:sz w:val="24"/>
          <w:szCs w:val="24"/>
          <w:lang w:val="en-GB"/>
        </w:rPr>
        <w:t xml:space="preserve">Adaptive Modulation and Coding is a fundamental link adaptation technique in wireless communication systems. It dynamically adjusts the modulation order and channel coding rate based on the instantaneous channel quality, ensuring the best possible trade-off between </w:t>
      </w:r>
      <w:r>
        <w:rPr>
          <w:rStyle w:val="Strong"/>
          <w:rFonts w:eastAsia="Times" w:cs="Times" w:ascii="Times" w:hAnsi="Times"/>
          <w:b w:val="false"/>
          <w:bCs w:val="false"/>
          <w:sz w:val="24"/>
          <w:szCs w:val="24"/>
          <w:lang w:val="en-GB"/>
        </w:rPr>
        <w:t>spectral efficiency</w:t>
      </w:r>
      <w:r>
        <w:rPr>
          <w:rFonts w:eastAsia="Times" w:cs="Times" w:ascii="Times" w:hAnsi="Times"/>
          <w:b w:val="false"/>
          <w:bCs w:val="false"/>
          <w:sz w:val="24"/>
          <w:szCs w:val="24"/>
          <w:lang w:val="en-GB"/>
        </w:rPr>
        <w:t xml:space="preserve"> and </w:t>
      </w:r>
      <w:r>
        <w:rPr>
          <w:rStyle w:val="Strong"/>
          <w:rFonts w:eastAsia="Times" w:cs="Times" w:ascii="Times" w:hAnsi="Times"/>
          <w:b w:val="false"/>
          <w:bCs w:val="false"/>
          <w:sz w:val="24"/>
          <w:szCs w:val="24"/>
          <w:lang w:val="en-GB"/>
        </w:rPr>
        <w:t>reliability</w:t>
      </w:r>
      <w:r>
        <w:rPr>
          <w:rFonts w:eastAsia="Times" w:cs="Times" w:ascii="Times" w:hAnsi="Times"/>
          <w:b w:val="false"/>
          <w:bCs w:val="false"/>
          <w:sz w:val="24"/>
          <w:szCs w:val="24"/>
          <w:lang w:val="en-GB"/>
        </w:rPr>
        <w:t>.</w:t>
      </w:r>
    </w:p>
    <w:p>
      <w:pPr>
        <w:pStyle w:val="Normal"/>
        <w:spacing w:beforeAutospacing="0" w:before="0" w:afterAutospacing="0" w:after="0"/>
        <w:jc w:val="both"/>
        <w:rPr/>
      </w:pPr>
      <w:r>
        <w:rPr>
          <w:rFonts w:eastAsia="Times" w:cs="Times" w:ascii="Times" w:hAnsi="Times"/>
          <w:b w:val="false"/>
          <w:bCs w:val="false"/>
          <w:sz w:val="24"/>
          <w:szCs w:val="24"/>
          <w:lang w:val="en-GB"/>
        </w:rPr>
        <w:br/>
        <w:t xml:space="preserve">In 6G, adaptive modulation and coding will evolve to operate under more challenging and heterogeneous conditions compared to 5G, including </w:t>
      </w:r>
      <w:r>
        <w:rPr>
          <w:rStyle w:val="Strong"/>
          <w:rFonts w:eastAsia="Times" w:cs="Times" w:ascii="Times" w:hAnsi="Times"/>
          <w:b w:val="false"/>
          <w:bCs w:val="false"/>
          <w:sz w:val="24"/>
          <w:szCs w:val="24"/>
          <w:lang w:val="en-GB"/>
        </w:rPr>
        <w:t>sub-THz frequencies</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extreme mobility</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ultra-reliable low-latency communication (URLLC)</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reconfigurable intelligent surfaces</w:t>
      </w:r>
      <w:r>
        <w:rPr>
          <w:rFonts w:eastAsia="Times" w:cs="Times" w:ascii="Times" w:hAnsi="Times"/>
          <w:b w:val="false"/>
          <w:bCs w:val="false"/>
          <w:sz w:val="24"/>
          <w:szCs w:val="24"/>
          <w:lang w:val="en-GB"/>
        </w:rPr>
        <w:t xml:space="preserve">, and </w:t>
      </w:r>
      <w:r>
        <w:rPr>
          <w:rStyle w:val="Strong"/>
          <w:rFonts w:eastAsia="Times" w:cs="Times" w:ascii="Times" w:hAnsi="Times"/>
          <w:b w:val="false"/>
          <w:bCs w:val="false"/>
          <w:sz w:val="24"/>
          <w:szCs w:val="24"/>
          <w:lang w:val="en-GB"/>
        </w:rPr>
        <w:t>integrated sensing and communication (ISAC)</w:t>
      </w:r>
      <w:r>
        <w:rPr>
          <w:rFonts w:eastAsia="Times" w:cs="Times" w:ascii="Times" w:hAnsi="Times"/>
          <w:b w:val="false"/>
          <w:bCs w:val="false"/>
          <w:sz w:val="24"/>
          <w:szCs w:val="24"/>
          <w:lang w:val="en-GB"/>
        </w:rPr>
        <w:t xml:space="preserve"> scenarios. They must be capable of exploiting wider spectrum ranges, including millimeter-wave and sub-terahertz bands, which are highly susceptible to rapid channel variations and Doppler effects. To achieve this, adaptive modulation and coding will have to embrace AI-native link adaptation, leveraging environment prediction and real-time context awareness to make proactive, optimal decisions under diverse and fast-changing operating conditions. </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sectPr>
          <w:type w:val="nextPage"/>
          <w:pgSz w:w="11906" w:h="16838"/>
          <w:pgMar w:left="1021" w:right="1021" w:gutter="0" w:header="0" w:top="720" w:footer="0" w:bottom="1021"/>
          <w:pgNumType w:fmt="decimal"/>
          <w:formProt w:val="false"/>
          <w:textDirection w:val="lrTb"/>
          <w:docGrid w:type="default" w:linePitch="100" w:charSpace="8192"/>
        </w:sectPr>
        <w:pStyle w:val="Normal"/>
        <w:spacing w:beforeAutospacing="0" w:before="0" w:afterAutospacing="0" w:after="0"/>
        <w:jc w:val="both"/>
        <w:rPr>
          <w:sz w:val="24"/>
          <w:szCs w:val="24"/>
        </w:rPr>
      </w:pPr>
      <w:r>
        <w:rPr>
          <w:rFonts w:eastAsia="Times" w:cs="Times" w:ascii="Times" w:hAnsi="Times"/>
          <w:b/>
          <w:bCs/>
          <w:sz w:val="24"/>
          <w:szCs w:val="24"/>
          <w:lang w:val="en-GB"/>
        </w:rPr>
        <w:t>AI ML based Link Adaptation:</w:t>
      </w:r>
      <w:r>
        <w:rPr>
          <w:rFonts w:eastAsia="Times" w:cs="Times" w:ascii="Times" w:hAnsi="Times"/>
          <w:b w:val="false"/>
          <w:bCs w:val="false"/>
          <w:sz w:val="24"/>
          <w:szCs w:val="24"/>
          <w:lang w:val="en-GB"/>
        </w:rPr>
        <w:t xml:space="preserve"> Conventional adaptive modulation and coding relies on fixed SNR-to-MCS lookup tables derived from offline link-level simulations. The AI-enhanced adaptive modulation and coding process in 6G can be viewed as a continuous decision-making cycle. It begins by taking various inputs, including the instantaneous Channel Quality Indicator (CQI), historical channel information, mobility context, and the specific service type—whether enhanced Mobile Broadband (eMBB), Ultra-Reliable Low-Latency Communications (URLLC), or massive Machine-</w:t>
      </w:r>
    </w:p>
    <w:p>
      <w:pPr>
        <w:pStyle w:val="Normal"/>
        <w:spacing w:beforeAutospacing="0" w:before="0" w:afterAutospacing="0" w:after="0"/>
        <w:jc w:val="both"/>
        <w:rPr>
          <w:sz w:val="24"/>
          <w:szCs w:val="24"/>
        </w:rPr>
      </w:pPr>
      <w:r>
        <w:rPr>
          <w:rFonts w:eastAsia="Times" w:cs="Times" w:ascii="Times" w:hAnsi="Times"/>
          <w:b w:val="false"/>
          <w:bCs w:val="false"/>
          <w:sz w:val="24"/>
          <w:szCs w:val="24"/>
          <w:lang w:val="en-GB"/>
        </w:rPr>
        <w:t xml:space="preserve">Type Communications (mMTC). These inputs are processed by a reinforcement learning (RL) model and Deep Neural-Network (DNN), trained on extensive link-level simulations to capture the complex relationship between channel conditions and modulation/coding performance. Based on this analysis, the model selects the Modulation and Coding Scheme (MCS) index that maximizes throughput while ensuring the Block Error Rate (BLER) remains within target limits. The system then employs online learning techniques to continuously update and refine the decision policy, enabling rapid adaptation to real-world variations and maintaining optimal performance in highly dynamic environments. </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Times" w:cs="Times" w:ascii="Times" w:hAnsi="Times"/>
          <w:b/>
          <w:bCs/>
          <w:sz w:val="24"/>
          <w:szCs w:val="24"/>
          <w:lang w:val="en-GB"/>
        </w:rPr>
        <w:t>Context/terrain aware MCS</w:t>
      </w:r>
      <w:r>
        <w:rPr>
          <w:rFonts w:eastAsia="Times" w:cs="Times" w:ascii="Times" w:hAnsi="Times"/>
          <w:b w:val="false"/>
          <w:bCs w:val="false"/>
          <w:sz w:val="24"/>
          <w:szCs w:val="24"/>
          <w:lang w:val="en-GB"/>
        </w:rPr>
        <w:t xml:space="preserve">: Integration of </w:t>
      </w:r>
      <w:r>
        <w:rPr>
          <w:rStyle w:val="Strong"/>
          <w:rFonts w:eastAsia="Times" w:cs="Times" w:ascii="Times" w:hAnsi="Times"/>
          <w:b w:val="false"/>
          <w:bCs w:val="false"/>
          <w:sz w:val="24"/>
          <w:szCs w:val="24"/>
          <w:lang w:val="en-GB"/>
        </w:rPr>
        <w:t>side information</w:t>
      </w:r>
      <w:r>
        <w:rPr>
          <w:rFonts w:eastAsia="Times" w:cs="Times" w:ascii="Times" w:hAnsi="Times"/>
          <w:b w:val="false"/>
          <w:bCs w:val="false"/>
          <w:sz w:val="24"/>
          <w:szCs w:val="24"/>
          <w:lang w:val="en-GB"/>
        </w:rPr>
        <w:t xml:space="preserve"> such as user location, mobility pattern, blockage prediction, and network load to improve MCS decision-making. Terrain related information could also be used to select MCS, for eg. hilly terrains, forests, urban macro, rural micro, tunnels, bridges etc. </w:t>
      </w:r>
    </w:p>
    <w:p>
      <w:pPr>
        <w:pStyle w:val="Normal"/>
        <w:spacing w:beforeAutospacing="0" w:before="0" w:afterAutospacing="0" w:after="0"/>
        <w:jc w:val="both"/>
        <w:rPr>
          <w:rFonts w:ascii="Times" w:hAnsi="Times" w:eastAsia="Times" w:cs="Times"/>
          <w:sz w:val="24"/>
          <w:szCs w:val="24"/>
          <w:lang w:val="en-GB"/>
        </w:rPr>
      </w:pPr>
      <w:r>
        <w:rPr>
          <w:rFonts w:eastAsia="Times" w:cs="Times" w:ascii="Times" w:hAnsi="Times"/>
          <w:sz w:val="24"/>
          <w:szCs w:val="24"/>
          <w:lang w:val="en-GB"/>
        </w:rPr>
      </w:r>
    </w:p>
    <w:p>
      <w:pPr>
        <w:pStyle w:val="Normal"/>
        <w:spacing w:beforeAutospacing="0" w:before="0" w:afterAutospacing="0" w:after="0"/>
        <w:jc w:val="both"/>
        <w:rPr/>
      </w:pPr>
      <w:r>
        <w:rPr>
          <w:rFonts w:eastAsia="Times" w:cs="Times" w:ascii="Times" w:hAnsi="Times"/>
          <w:b/>
          <w:bCs/>
          <w:sz w:val="24"/>
          <w:szCs w:val="24"/>
          <w:lang w:val="en-GB"/>
        </w:rPr>
        <w:t>Low latency adaptive modulation and coding for usecases like URLLC:</w:t>
      </w:r>
      <w:r>
        <w:rPr>
          <w:rFonts w:eastAsia="Times" w:cs="Times" w:ascii="Times" w:hAnsi="Times"/>
          <w:b w:val="false"/>
          <w:bCs w:val="false"/>
          <w:sz w:val="24"/>
          <w:szCs w:val="24"/>
          <w:lang w:val="en-GB"/>
        </w:rPr>
        <w:t xml:space="preserve"> Faster CQI reporting and </w:t>
      </w:r>
      <w:r>
        <w:rPr>
          <w:rStyle w:val="Strong"/>
          <w:rFonts w:eastAsia="Times" w:cs="Times" w:ascii="Times" w:hAnsi="Times"/>
          <w:b w:val="false"/>
          <w:bCs w:val="false"/>
          <w:sz w:val="24"/>
          <w:szCs w:val="24"/>
          <w:lang w:val="en-GB"/>
        </w:rPr>
        <w:t>semi-persistent MCS configurations</w:t>
      </w:r>
      <w:r>
        <w:rPr>
          <w:rFonts w:eastAsia="Times" w:cs="Times" w:ascii="Times" w:hAnsi="Times"/>
          <w:b w:val="false"/>
          <w:bCs w:val="false"/>
          <w:sz w:val="24"/>
          <w:szCs w:val="24"/>
          <w:lang w:val="en-GB"/>
        </w:rPr>
        <w:t xml:space="preserve"> to avoid adaptation delays. Machine learning-based CQI prediction to reduce signaling overhead. </w:t>
      </w:r>
    </w:p>
    <w:p>
      <w:pPr>
        <w:pStyle w:val="Normal"/>
        <w:spacing w:beforeAutospacing="0" w:before="0" w:afterAutospacing="0" w:after="0"/>
        <w:jc w:val="both"/>
        <w:rPr>
          <w:rFonts w:ascii="Times" w:hAnsi="Times" w:eastAsia="Times" w:cs="Times"/>
          <w:b w:val="false"/>
          <w:bCs w:val="false"/>
          <w:lang w:val="en-GB"/>
        </w:rPr>
      </w:pPr>
      <w:r>
        <w:rPr>
          <w:rFonts w:eastAsia="Times" w:cs="Times" w:ascii="Times" w:hAnsi="Times"/>
          <w:b w:val="false"/>
          <w:bCs w:val="false"/>
          <w:lang w:val="en-GB"/>
        </w:rPr>
      </w:r>
    </w:p>
    <w:p>
      <w:pPr>
        <w:pStyle w:val="Normal"/>
        <w:spacing w:beforeAutospacing="0" w:before="0" w:afterAutospacing="0" w:after="0"/>
        <w:jc w:val="both"/>
        <w:rPr>
          <w:rFonts w:ascii="Times" w:hAnsi="Times" w:eastAsia="Times" w:cs="Times"/>
          <w:b w:val="false"/>
          <w:bCs w:val="false"/>
          <w:lang w:val="en-GB"/>
        </w:rPr>
      </w:pPr>
      <w:r>
        <w:rPr>
          <w:rFonts w:eastAsia="Times" w:cs="Times" w:ascii="Times" w:hAnsi="Times"/>
          <w:b w:val="false"/>
          <w:bCs w:val="false"/>
          <w:lang w:val="en-GB"/>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t>2.2. User classification based resource allocation in 6G</w:t>
      </w:r>
    </w:p>
    <w:p>
      <w:pPr>
        <w:pStyle w:val="Normal"/>
        <w:spacing w:beforeAutospacing="0" w:before="0" w:afterAutospacing="0" w:after="0"/>
        <w:jc w:val="both"/>
        <w:rPr>
          <w:rFonts w:ascii="Times" w:hAnsi="Times" w:eastAsia="Times" w:cs="Times"/>
          <w:b w:val="false"/>
          <w:bCs w:val="false"/>
          <w:lang w:val="en-US"/>
        </w:rPr>
      </w:pPr>
      <w:r>
        <w:rPr>
          <w:rFonts w:eastAsia="Times" w:cs="Times" w:ascii="Times" w:hAnsi="Times"/>
          <w:b w:val="false"/>
          <w:bCs w:val="false"/>
          <w:lang w:val="en-US"/>
        </w:rPr>
      </w:r>
    </w:p>
    <w:p>
      <w:pPr>
        <w:pStyle w:val="Normal"/>
        <w:spacing w:beforeAutospacing="0" w:before="0" w:afterAutospacing="0" w:after="0"/>
        <w:jc w:val="both"/>
        <w:rPr>
          <w:sz w:val="24"/>
          <w:szCs w:val="24"/>
        </w:rPr>
      </w:pPr>
      <w:r>
        <w:rPr>
          <w:rFonts w:eastAsia="Times" w:cs="Times" w:ascii="Times" w:hAnsi="Times"/>
          <w:b w:val="false"/>
          <w:bCs w:val="false"/>
          <w:sz w:val="24"/>
          <w:szCs w:val="24"/>
          <w:lang w:val="en-US"/>
        </w:rPr>
        <w:t>In 6G networks, resource allocation strategies will increasingly depend on intelligent user classification to meet diverse and often conflicting Quality of Service (QoS) requirements. Rather than applying a uniform allocation policy, the system will categorize users into distinct classes based on factors such as service type (eMBB, URLLC, mMTC, ISAC), mobility profile, device capability, and application priority. This classification enables context-aware allocation of radio resources, including bandwidth, power, time slots, and spatial beams, ensuring that each user receives service levels aligned with their performance needs.</w:t>
      </w:r>
    </w:p>
    <w:p>
      <w:pPr>
        <w:pStyle w:val="Normal"/>
        <w:spacing w:beforeAutospacing="0" w:before="0" w:afterAutospacing="0" w:after="0"/>
        <w:jc w:val="both"/>
        <w:rPr>
          <w:rFonts w:ascii="Times" w:hAnsi="Times" w:eastAsia="Times" w:cs="Times"/>
          <w:lang w:val="en-US"/>
        </w:rPr>
      </w:pPr>
      <w:r>
        <w:rPr>
          <w:rFonts w:eastAsia="Times" w:cs="Times" w:ascii="Times" w:hAnsi="Times"/>
          <w:lang w:val="en-US"/>
        </w:rPr>
      </w:r>
    </w:p>
    <w:p>
      <w:pPr>
        <w:pStyle w:val="Normal"/>
        <w:spacing w:beforeAutospacing="0" w:before="0" w:afterAutospacing="0" w:after="0"/>
        <w:jc w:val="both"/>
        <w:rPr/>
      </w:pPr>
      <w:r>
        <w:rPr>
          <w:b/>
          <w:bCs/>
          <w:sz w:val="24"/>
          <w:szCs w:val="24"/>
        </w:rPr>
        <w:t>AI/ML based user classification model:</w:t>
      </w:r>
      <w:r>
        <w:rPr>
          <w:b w:val="false"/>
          <w:bCs w:val="false"/>
          <w:sz w:val="24"/>
          <w:szCs w:val="24"/>
        </w:rPr>
        <w:t xml:space="preserve"> The process begins with </w:t>
      </w:r>
      <w:r>
        <w:rPr>
          <w:rStyle w:val="Strong"/>
          <w:b w:val="false"/>
          <w:bCs w:val="false"/>
          <w:sz w:val="24"/>
          <w:szCs w:val="24"/>
        </w:rPr>
        <w:t>input parameters</w:t>
      </w:r>
      <w:r>
        <w:rPr>
          <w:b w:val="false"/>
          <w:bCs w:val="false"/>
          <w:sz w:val="24"/>
          <w:szCs w:val="24"/>
        </w:rPr>
        <w:t xml:space="preserve"> such as real-time traffic demand, user class, channel state information (CSI), device energy constraints, and network load conditions. These inputs feed into an optimization model—potentially po</w:t>
      </w:r>
      <w:r>
        <w:rPr>
          <w:sz w:val="24"/>
          <w:szCs w:val="24"/>
        </w:rPr>
        <w:t>wered by AI/ML frameworks like Deep Reinforcement Learning (DRL) or multi-objective optimization algorithms—which learns to allocate resources dynamically for maximum network efficiency and fairness.</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sz w:val="24"/>
          <w:szCs w:val="24"/>
        </w:rPr>
      </w:pPr>
      <w:r>
        <w:rPr>
          <w:sz w:val="24"/>
          <w:szCs w:val="24"/>
        </w:rPr>
        <w:t xml:space="preserve">Based on the user class, the decision engine can prioritize low-latency, high-reliability links for URLLC users, allocate high-throughput channels for eMBB users, and optimize coverage and energy efficiency for mMTC devices. Resource assignment may also involve predictive allocation, using historical patterns and mobility forecasts to reserve resources before demand peaks. </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t>2.3. End-to-End Neural Transceivers</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sz w:val="24"/>
          <w:szCs w:val="24"/>
        </w:rPr>
      </w:pPr>
      <w:r>
        <w:rPr>
          <w:sz w:val="24"/>
          <w:szCs w:val="24"/>
        </w:rPr>
        <w:t xml:space="preserve">End-to-end neural transceivers represent a paradigm shift in physical layer design, replacing the traditional modular approach—where modulation, coding, channel estimation, and equalization are separately optimized—with a unified, data-driven architecture. In 6G, where the communication environment will be more dynamic, heterogeneous, and hardware-constrained, neural transceivers can learn to jointly optimize the entire transmission–reception chain directly for the desired performance metrics, such as throughput, latency, or energy efficiency. </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b/>
          <w:bCs/>
          <w:sz w:val="24"/>
          <w:szCs w:val="24"/>
        </w:rPr>
        <w:t>Neural transceiver model architecture and training:</w:t>
      </w:r>
      <w:r>
        <w:rPr>
          <w:b w:val="false"/>
          <w:bCs w:val="false"/>
          <w:sz w:val="24"/>
          <w:szCs w:val="24"/>
        </w:rPr>
        <w:t xml:space="preserve"> The </w:t>
      </w:r>
      <w:r>
        <w:rPr>
          <w:rStyle w:val="Strong"/>
          <w:b w:val="false"/>
          <w:bCs w:val="false"/>
          <w:sz w:val="24"/>
          <w:szCs w:val="24"/>
        </w:rPr>
        <w:t>input</w:t>
      </w:r>
      <w:r>
        <w:rPr>
          <w:b w:val="false"/>
          <w:bCs w:val="false"/>
          <w:sz w:val="24"/>
          <w:szCs w:val="24"/>
        </w:rPr>
        <w:t xml:space="preserve"> to an end-to-end neural transceiver framework typically consists of the raw bitstream to be transmitted, combined with real-time channel state information (CSI), hardware impairment parameters, and </w:t>
      </w:r>
      <w:r>
        <w:rPr>
          <w:sz w:val="24"/>
          <w:szCs w:val="24"/>
        </w:rPr>
        <w:t xml:space="preserve">data such as mobility state or service type (eMBB, URLLC, mMTC). This information is fed into a trainable transmitter network—often modeled as the encoder of a communication autoencoder—which outputs a waveform optimized for the current channel and system constraints. </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sz w:val="24"/>
          <w:szCs w:val="24"/>
        </w:rPr>
        <w:t xml:space="preserve">The </w:t>
      </w:r>
      <w:r>
        <w:rPr>
          <w:rStyle w:val="Strong"/>
          <w:b w:val="false"/>
          <w:bCs w:val="false"/>
          <w:sz w:val="24"/>
          <w:szCs w:val="24"/>
        </w:rPr>
        <w:t>model</w:t>
      </w:r>
      <w:r>
        <w:rPr>
          <w:b w:val="false"/>
          <w:bCs w:val="false"/>
          <w:sz w:val="24"/>
          <w:szCs w:val="24"/>
        </w:rPr>
        <w:t xml:space="preserve"> is</w:t>
      </w:r>
      <w:r>
        <w:rPr>
          <w:sz w:val="24"/>
          <w:szCs w:val="24"/>
        </w:rPr>
        <w:t xml:space="preserve"> trained with the receiver network acting as the decoder that reconstructs the transmitted bits from the received signal samples. Both transmitter and receiver weights are updated jointly to minimize a loss function, which could be a combination of bit error rate (BER), block error rate (BLER), and energy consumption. Deep learning architectures such as Convolutional Neural Networks (CNNs), Recurrent Neural Networks (RNNs), or attention-based Transformers can be employed depending on channel characteristics and system requirements. </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t>2.4. Centralized and Distributed Learning for collision avoidance for UAVs</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sz w:val="24"/>
          <w:szCs w:val="24"/>
        </w:rPr>
      </w:pPr>
      <w:r>
        <w:rPr>
          <w:sz w:val="24"/>
          <w:szCs w:val="24"/>
        </w:rPr>
        <w:t>Unmanned Aerial Vehicles (UAVs) are increasingly deployed in diverse applications such as surveillance, delivery services, disaster response, and environmental monitoring. As the density of UAV operations increases, collision avoidance becomes a critical safety requirement. In future 6G-enabled airspaces, UAVs will operate in highly dynamic, heterogeneous, and congested environments, making traditional rule-based avoidance strategies insufficient. Artificial Intelligence (AI) and Machine Learning (ML) offer powerful solutions to address these challenges, with both centralized and distributed learning frameworks emerging as promising approaches for autonomous collision avoidance.</w:t>
      </w:r>
    </w:p>
    <w:p>
      <w:pPr>
        <w:pStyle w:val="Normal"/>
        <w:spacing w:beforeAutospacing="0" w:before="0" w:afterAutospacing="0" w:after="0"/>
        <w:jc w:val="both"/>
        <w:rPr>
          <w:rStyle w:val="Strong"/>
          <w:sz w:val="24"/>
          <w:szCs w:val="24"/>
        </w:rPr>
      </w:pPr>
      <w:r>
        <w:rPr>
          <w:sz w:val="24"/>
          <w:szCs w:val="24"/>
        </w:rPr>
      </w:r>
    </w:p>
    <w:p>
      <w:pPr>
        <w:pStyle w:val="Normal"/>
        <w:spacing w:beforeAutospacing="0" w:before="0" w:afterAutospacing="0" w:after="0"/>
        <w:jc w:val="both"/>
        <w:rPr/>
      </w:pPr>
      <w:r>
        <w:rPr>
          <w:rStyle w:val="Strong"/>
          <w:sz w:val="24"/>
          <w:szCs w:val="24"/>
        </w:rPr>
        <w:t>Centralized Learning</w:t>
      </w:r>
    </w:p>
    <w:p>
      <w:pPr>
        <w:pStyle w:val="Normal"/>
        <w:spacing w:beforeAutospacing="0" w:before="0" w:afterAutospacing="0" w:after="0"/>
        <w:jc w:val="both"/>
        <w:rPr>
          <w:sz w:val="24"/>
          <w:szCs w:val="24"/>
        </w:rPr>
      </w:pPr>
      <w:r>
        <w:rPr>
          <w:sz w:val="24"/>
          <w:szCs w:val="24"/>
        </w:rPr>
        <w:t>In centralized learning, a ground-based controller or cloud server collects real-time data from multiple UAVs—such as positions, velocities, trajectories, and environmental conditions—and uses this aggregated information to train global collision avoidance policies. Techniques like deep reinforcement learning (DRL) or graph neural networks (GNNs) can optimize multi-UAV trajectory planning and coordination. This approach benefits from complete situational awareness and the ability to generate highly accurate models, but it also faces challenges like high communication overhead, sensitivity to latency, and the risk of a single point of failure.</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rStyle w:val="Strong"/>
          <w:sz w:val="24"/>
          <w:szCs w:val="24"/>
        </w:rPr>
        <w:t>Distributed Learning</w:t>
      </w:r>
    </w:p>
    <w:p>
      <w:pPr>
        <w:pStyle w:val="Normal"/>
        <w:spacing w:beforeAutospacing="0" w:before="0" w:afterAutospacing="0" w:after="0"/>
        <w:jc w:val="both"/>
        <w:rPr>
          <w:sz w:val="24"/>
          <w:szCs w:val="24"/>
        </w:rPr>
      </w:pPr>
      <w:r>
        <w:rPr>
          <w:sz w:val="24"/>
          <w:szCs w:val="24"/>
        </w:rPr>
        <w:t>Distributed learning shifts the decision-making process to the UAVs themselves, enabling each unit to process its own sensor data and adapt its trajectory in real time. Multi-Agent Reinforcement Learning allows UAVs to learn cooperative or competitive strategies without relying on constant connectivity, while federated learning enables sharing of model updates rather than raw data, improving both efficiency and privacy. The advantages include low-latency response and scalability, but limitations arise from partial observability and the potential for policy divergence among UAVs in the absence of regular coordination.</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sz w:val="24"/>
          <w:szCs w:val="24"/>
        </w:rPr>
      </w:pPr>
      <w:r>
        <w:rPr>
          <w:sz w:val="24"/>
          <w:szCs w:val="24"/>
        </w:rPr>
        <w:t xml:space="preserve">Aim is to combine the strengths of centralized and distributed learning. A global model can be trained centrally using comprehensive datasets and then deployed to UAVs for distributed, on-board decision-making. Periodic synchronization—via federated learning or scheduled updates—ensures that models remain aligned while preserving autonomy in real-time operations. In the 6G era, collision avoidance systems may integrate AI-native air interfaces, reconfigurable intelligent surfaces, and advanced sensing capabilities to achieve safe, efficient, and fully autonomous UAV swarm navigation even in unpredictable and congested environments. </w:t>
      </w:r>
    </w:p>
    <w:p>
      <w:pPr>
        <w:pStyle w:val="Normal"/>
        <w:spacing w:beforeAutospacing="0" w:before="0" w:afterAutospacing="0" w:after="0"/>
        <w:jc w:val="both"/>
        <w:rPr>
          <w:b/>
          <w:bCs/>
        </w:rPr>
      </w:pPr>
      <w:r>
        <w:rPr>
          <w:b/>
          <w:bCs/>
        </w:rPr>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t>2.5. AI ML based Adaptive Frame Structure</w:t>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r>
    </w:p>
    <w:p>
      <w:pPr>
        <w:pStyle w:val="Normal"/>
        <w:spacing w:beforeAutospacing="0" w:before="0" w:afterAutospacing="0" w:after="0"/>
        <w:jc w:val="both"/>
        <w:rPr>
          <w:b w:val="false"/>
          <w:bCs w:val="false"/>
          <w:sz w:val="24"/>
          <w:szCs w:val="24"/>
        </w:rPr>
      </w:pPr>
      <w:r>
        <w:rPr>
          <w:b w:val="false"/>
          <w:bCs w:val="false"/>
          <w:sz w:val="24"/>
          <w:szCs w:val="24"/>
        </w:rPr>
        <w:t xml:space="preserve">In 6G research, AI/ML-driven adaptive frame structures enable the physical layer to self-optimize in real time by learning from instantaneous channel conditions, traffic patterns, and service requirements. Unlike static configurations, these intelligent frameworks use predictive models—such as deep learning for channel state forecasting and reinforcement learning for decision-making—to dynamically adjust subcarrier spacing, guard intervals, pilot density, and coding rates. This allows the system to preemptively adapt to high-mobility, interference-prone, or bandwidth-rich environments without human intervention, ensuring optimal trade-offs between spectral efficiency, reliability, and latency. By integrating these AI/ML capabilities into the frame structure design, 6G networks can achieve unprecedented context-aware flexibility, paving the way for truly autonomous and resilient communication systems. </w:t>
      </w:r>
    </w:p>
    <w:p>
      <w:pPr>
        <w:pStyle w:val="Normal"/>
        <w:spacing w:beforeAutospacing="0" w:before="0" w:afterAutospacing="0" w:after="0"/>
        <w:jc w:val="both"/>
        <w:rPr>
          <w:b w:val="false"/>
          <w:bCs w:val="false"/>
          <w:sz w:val="24"/>
          <w:szCs w:val="24"/>
        </w:rPr>
      </w:pPr>
      <w:r>
        <w:rPr>
          <w:b w:val="false"/>
          <w:bCs w:val="false"/>
          <w:sz w:val="24"/>
          <w:szCs w:val="24"/>
        </w:rPr>
      </w:r>
    </w:p>
    <w:tbl>
      <w:tblPr>
        <w:tblW w:w="9864" w:type="dxa"/>
        <w:jc w:val="left"/>
        <w:tblInd w:w="0" w:type="dxa"/>
        <w:tblLayout w:type="fixed"/>
        <w:tblCellMar>
          <w:top w:w="28" w:type="dxa"/>
          <w:left w:w="28" w:type="dxa"/>
          <w:bottom w:w="28" w:type="dxa"/>
          <w:right w:w="28" w:type="dxa"/>
        </w:tblCellMar>
      </w:tblPr>
      <w:tblGrid>
        <w:gridCol w:w="1287"/>
        <w:gridCol w:w="3145"/>
        <w:gridCol w:w="2827"/>
        <w:gridCol w:w="2604"/>
      </w:tblGrid>
      <w:tr>
        <w:trPr>
          <w:tblHeader w:val="true"/>
        </w:trPr>
        <w:tc>
          <w:tcPr>
            <w:tcW w:w="1287" w:type="dxa"/>
            <w:tcBorders/>
            <w:vAlign w:val="center"/>
          </w:tcPr>
          <w:p>
            <w:pPr>
              <w:pStyle w:val="TableHeading"/>
              <w:widowControl w:val="false"/>
              <w:rPr/>
            </w:pPr>
            <w:r>
              <w:rPr>
                <w:rStyle w:val="Strong"/>
                <w:b/>
              </w:rPr>
              <w:t>Parameter</w:t>
            </w:r>
          </w:p>
        </w:tc>
        <w:tc>
          <w:tcPr>
            <w:tcW w:w="3145" w:type="dxa"/>
            <w:tcBorders/>
            <w:vAlign w:val="center"/>
          </w:tcPr>
          <w:p>
            <w:pPr>
              <w:pStyle w:val="TableHeading"/>
              <w:widowControl w:val="false"/>
              <w:rPr/>
            </w:pPr>
            <w:r>
              <w:rPr>
                <w:rStyle w:val="Strong"/>
                <w:b/>
              </w:rPr>
              <w:t>Low-Interference, Wide-Bandwidth Conditions</w:t>
            </w:r>
            <w:r>
              <w:rPr/>
              <w:t xml:space="preserve"> (e.g., open rural areas)</w:t>
            </w:r>
          </w:p>
        </w:tc>
        <w:tc>
          <w:tcPr>
            <w:tcW w:w="2827" w:type="dxa"/>
            <w:tcBorders/>
            <w:vAlign w:val="center"/>
          </w:tcPr>
          <w:p>
            <w:pPr>
              <w:pStyle w:val="TableHeading"/>
              <w:widowControl w:val="false"/>
              <w:rPr/>
            </w:pPr>
            <w:r>
              <w:rPr>
                <w:rStyle w:val="Strong"/>
                <w:b/>
              </w:rPr>
              <w:t>Harsh Environments</w:t>
            </w:r>
            <w:r>
              <w:rPr/>
              <w:t xml:space="preserve"> (e.g., high-speed mobility, satellite channels)</w:t>
            </w:r>
          </w:p>
        </w:tc>
        <w:tc>
          <w:tcPr>
            <w:tcW w:w="2604" w:type="dxa"/>
            <w:tcBorders/>
            <w:vAlign w:val="center"/>
          </w:tcPr>
          <w:p>
            <w:pPr>
              <w:pStyle w:val="TableHeading"/>
              <w:widowControl w:val="false"/>
              <w:rPr/>
            </w:pPr>
            <w:r>
              <w:rPr>
                <w:rStyle w:val="Strong"/>
                <w:b/>
              </w:rPr>
              <w:t>Reason / Impact</w:t>
            </w:r>
          </w:p>
        </w:tc>
      </w:tr>
      <w:tr>
        <w:trPr/>
        <w:tc>
          <w:tcPr>
            <w:tcW w:w="1287" w:type="dxa"/>
            <w:tcBorders/>
            <w:vAlign w:val="center"/>
          </w:tcPr>
          <w:p>
            <w:pPr>
              <w:pStyle w:val="TableContents"/>
              <w:widowControl w:val="false"/>
              <w:rPr/>
            </w:pPr>
            <w:r>
              <w:rPr>
                <w:rStyle w:val="Strong"/>
              </w:rPr>
              <w:t>Subcarrier Spacing</w:t>
            </w:r>
          </w:p>
        </w:tc>
        <w:tc>
          <w:tcPr>
            <w:tcW w:w="3145" w:type="dxa"/>
            <w:tcBorders/>
            <w:vAlign w:val="center"/>
          </w:tcPr>
          <w:p>
            <w:pPr>
              <w:pStyle w:val="TableContents"/>
              <w:widowControl w:val="false"/>
              <w:rPr/>
            </w:pPr>
            <w:r>
              <w:rPr/>
              <w:t>Larger spacing to maximize spectral efficiency</w:t>
            </w:r>
          </w:p>
        </w:tc>
        <w:tc>
          <w:tcPr>
            <w:tcW w:w="2827" w:type="dxa"/>
            <w:tcBorders/>
            <w:vAlign w:val="center"/>
          </w:tcPr>
          <w:p>
            <w:pPr>
              <w:pStyle w:val="TableContents"/>
              <w:widowControl w:val="false"/>
              <w:rPr/>
            </w:pPr>
            <w:r>
              <w:rPr/>
              <w:t>Smaller spacing to reduce Doppler impact and handle high delay spread</w:t>
            </w:r>
          </w:p>
        </w:tc>
        <w:tc>
          <w:tcPr>
            <w:tcW w:w="2604" w:type="dxa"/>
            <w:tcBorders/>
            <w:vAlign w:val="center"/>
          </w:tcPr>
          <w:p>
            <w:pPr>
              <w:pStyle w:val="TableContents"/>
              <w:widowControl w:val="false"/>
              <w:rPr/>
            </w:pPr>
            <w:r>
              <w:rPr/>
              <w:t>Balances spectral efficiency with robustness to mobility and multipath</w:t>
            </w:r>
          </w:p>
        </w:tc>
      </w:tr>
      <w:tr>
        <w:trPr/>
        <w:tc>
          <w:tcPr>
            <w:tcW w:w="1287" w:type="dxa"/>
            <w:tcBorders/>
            <w:vAlign w:val="center"/>
          </w:tcPr>
          <w:p>
            <w:pPr>
              <w:pStyle w:val="TableContents"/>
              <w:widowControl w:val="false"/>
              <w:rPr/>
            </w:pPr>
            <w:r>
              <w:rPr>
                <w:rStyle w:val="Strong"/>
              </w:rPr>
              <w:t>Guard Interval</w:t>
            </w:r>
          </w:p>
        </w:tc>
        <w:tc>
          <w:tcPr>
            <w:tcW w:w="3145" w:type="dxa"/>
            <w:tcBorders/>
            <w:vAlign w:val="center"/>
          </w:tcPr>
          <w:p>
            <w:pPr>
              <w:pStyle w:val="TableContents"/>
              <w:widowControl w:val="false"/>
              <w:rPr/>
            </w:pPr>
            <w:r>
              <w:rPr/>
              <w:t>Shorter interval for higher throughput</w:t>
            </w:r>
          </w:p>
        </w:tc>
        <w:tc>
          <w:tcPr>
            <w:tcW w:w="2827" w:type="dxa"/>
            <w:tcBorders/>
            <w:vAlign w:val="center"/>
          </w:tcPr>
          <w:p>
            <w:pPr>
              <w:pStyle w:val="TableContents"/>
              <w:widowControl w:val="false"/>
              <w:rPr/>
            </w:pPr>
            <w:r>
              <w:rPr/>
              <w:t>Extended interval to combat multipath interference</w:t>
            </w:r>
          </w:p>
        </w:tc>
        <w:tc>
          <w:tcPr>
            <w:tcW w:w="2604" w:type="dxa"/>
            <w:tcBorders/>
            <w:vAlign w:val="center"/>
          </w:tcPr>
          <w:p>
            <w:pPr>
              <w:pStyle w:val="TableContents"/>
              <w:widowControl w:val="false"/>
              <w:rPr/>
            </w:pPr>
            <w:r>
              <w:rPr/>
              <w:t>Matches guard time to expected delay spread in channel</w:t>
            </w:r>
          </w:p>
        </w:tc>
      </w:tr>
      <w:tr>
        <w:trPr/>
        <w:tc>
          <w:tcPr>
            <w:tcW w:w="1287" w:type="dxa"/>
            <w:tcBorders/>
            <w:vAlign w:val="center"/>
          </w:tcPr>
          <w:p>
            <w:pPr>
              <w:pStyle w:val="TableContents"/>
              <w:widowControl w:val="false"/>
              <w:rPr/>
            </w:pPr>
            <w:r>
              <w:rPr>
                <w:rStyle w:val="Strong"/>
              </w:rPr>
              <w:t>Coding Rate</w:t>
            </w:r>
          </w:p>
        </w:tc>
        <w:tc>
          <w:tcPr>
            <w:tcW w:w="3145" w:type="dxa"/>
            <w:tcBorders/>
            <w:vAlign w:val="center"/>
          </w:tcPr>
          <w:p>
            <w:pPr>
              <w:pStyle w:val="TableContents"/>
              <w:widowControl w:val="false"/>
              <w:rPr/>
            </w:pPr>
            <w:r>
              <w:rPr/>
              <w:t>Higher coding rates for maximum data rate</w:t>
            </w:r>
          </w:p>
        </w:tc>
        <w:tc>
          <w:tcPr>
            <w:tcW w:w="2827" w:type="dxa"/>
            <w:tcBorders/>
            <w:vAlign w:val="center"/>
          </w:tcPr>
          <w:p>
            <w:pPr>
              <w:pStyle w:val="TableContents"/>
              <w:widowControl w:val="false"/>
              <w:rPr/>
            </w:pPr>
            <w:r>
              <w:rPr/>
              <w:t>Lower coding rates for improved error correction</w:t>
            </w:r>
          </w:p>
        </w:tc>
        <w:tc>
          <w:tcPr>
            <w:tcW w:w="2604" w:type="dxa"/>
            <w:tcBorders/>
            <w:vAlign w:val="center"/>
          </w:tcPr>
          <w:p>
            <w:pPr>
              <w:pStyle w:val="TableContents"/>
              <w:widowControl w:val="false"/>
              <w:rPr/>
            </w:pPr>
            <w:r>
              <w:rPr/>
              <w:t>Trades throughput for reliability in poor channel conditions</w:t>
            </w:r>
          </w:p>
        </w:tc>
      </w:tr>
      <w:tr>
        <w:trPr/>
        <w:tc>
          <w:tcPr>
            <w:tcW w:w="1287" w:type="dxa"/>
            <w:tcBorders/>
            <w:vAlign w:val="center"/>
          </w:tcPr>
          <w:p>
            <w:pPr>
              <w:pStyle w:val="TableContents"/>
              <w:widowControl w:val="false"/>
              <w:rPr/>
            </w:pPr>
            <w:r>
              <w:rPr>
                <w:rStyle w:val="Strong"/>
              </w:rPr>
              <w:t>Pilot Density</w:t>
            </w:r>
          </w:p>
        </w:tc>
        <w:tc>
          <w:tcPr>
            <w:tcW w:w="3145" w:type="dxa"/>
            <w:tcBorders/>
            <w:vAlign w:val="center"/>
          </w:tcPr>
          <w:p>
            <w:pPr>
              <w:pStyle w:val="TableContents"/>
              <w:widowControl w:val="false"/>
              <w:rPr/>
            </w:pPr>
            <w:r>
              <w:rPr/>
              <w:t>Low density to optimize resource utilization</w:t>
            </w:r>
          </w:p>
        </w:tc>
        <w:tc>
          <w:tcPr>
            <w:tcW w:w="2827" w:type="dxa"/>
            <w:tcBorders/>
            <w:vAlign w:val="center"/>
          </w:tcPr>
          <w:p>
            <w:pPr>
              <w:pStyle w:val="TableContents"/>
              <w:widowControl w:val="false"/>
              <w:rPr/>
            </w:pPr>
            <w:r>
              <w:rPr/>
              <w:t>High density to ensure accurate channel estimation</w:t>
            </w:r>
          </w:p>
        </w:tc>
        <w:tc>
          <w:tcPr>
            <w:tcW w:w="2604" w:type="dxa"/>
            <w:tcBorders/>
            <w:vAlign w:val="center"/>
          </w:tcPr>
          <w:p>
            <w:pPr>
              <w:pStyle w:val="TableContents"/>
              <w:widowControl w:val="false"/>
              <w:rPr/>
            </w:pPr>
            <w:r>
              <w:rPr/>
              <w:t>Adapts channel tracking accuracy to fading rate</w:t>
            </w:r>
          </w:p>
        </w:tc>
      </w:tr>
    </w:tbl>
    <w:p>
      <w:pPr>
        <w:pStyle w:val="Normal"/>
        <w:spacing w:beforeAutospacing="0" w:before="0" w:afterAutospacing="0" w:after="0"/>
        <w:jc w:val="both"/>
        <w:rPr>
          <w:b w:val="false"/>
          <w:bCs w:val="false"/>
          <w:sz w:val="24"/>
          <w:szCs w:val="24"/>
        </w:rPr>
      </w:pPr>
      <w:r>
        <w:rPr>
          <w:b w:val="false"/>
          <w:bCs w:val="false"/>
          <w:sz w:val="24"/>
          <w:szCs w:val="24"/>
        </w:rPr>
      </w:r>
    </w:p>
    <w:p>
      <w:pPr>
        <w:pStyle w:val="Normal"/>
        <w:spacing w:beforeAutospacing="0" w:before="0" w:afterAutospacing="0" w:after="0"/>
        <w:jc w:val="both"/>
        <w:rPr>
          <w:b/>
          <w:bCs/>
          <w:sz w:val="24"/>
          <w:szCs w:val="24"/>
        </w:rPr>
      </w:pPr>
      <w:r>
        <w:rPr>
          <w:b/>
          <w:bCs/>
          <w:sz w:val="24"/>
          <w:szCs w:val="24"/>
        </w:rPr>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3</w:t>
      </w:r>
      <w:r>
        <w:rPr>
          <w:rFonts w:cs="Arial" w:ascii="Arial" w:hAnsi="Arial"/>
          <w:b/>
          <w:sz w:val="24"/>
          <w:szCs w:val="24"/>
          <w:lang w:eastAsia="zh-TW"/>
        </w:rPr>
        <w:t xml:space="preserve">. </w:t>
      </w:r>
      <w:r>
        <w:rPr>
          <w:rFonts w:cs="Arial" w:ascii="Arial" w:hAnsi="Arial"/>
          <w:b/>
          <w:sz w:val="32"/>
          <w:lang w:eastAsia="zh-TW"/>
        </w:rPr>
        <w:t xml:space="preserve"> </w:t>
      </w:r>
      <w:r>
        <w:rPr>
          <w:rFonts w:cs="Arial" w:ascii="Arial" w:hAnsi="Arial"/>
          <w:b/>
          <w:sz w:val="24"/>
          <w:szCs w:val="24"/>
          <w:lang w:eastAsia="zh-TW"/>
        </w:rPr>
        <w:t>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AI/ML for 6GR. </w:t>
      </w:r>
    </w:p>
    <w:p>
      <w:pPr>
        <w:pStyle w:val="ListParagraph"/>
        <w:spacing w:before="0" w:after="0"/>
        <w:ind w:left="720" w:hanging="0"/>
        <w:contextualSpacing w:val="false"/>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1:</w:t>
      </w:r>
      <w:r>
        <w:rPr>
          <w:rFonts w:ascii="Times New Roman" w:hAnsi="Times New Roman"/>
          <w:b/>
          <w:bCs/>
          <w:color w:val="000000"/>
          <w:sz w:val="24"/>
          <w:szCs w:val="24"/>
          <w:u w:val="none"/>
          <w:lang w:val="en-US" w:eastAsia="x-none"/>
        </w:rPr>
        <w:t xml:space="preserve"> Support of AI-native AMC with reinforcement learning–based proactive MCS selection using instantaneous CQI, channel history, and mobility context.</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Enable AI-driven user classification for context-aware resource allocation based on service type, mobility, and application priority. </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Support development of unified, trainable transmitter–receiver architectures that jointly optimize the physical layer via deep learning. </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4:</w:t>
      </w:r>
      <w:r>
        <w:rPr>
          <w:rFonts w:ascii="Times New Roman" w:hAnsi="Times New Roman"/>
          <w:b/>
          <w:bCs/>
          <w:color w:val="000000"/>
          <w:sz w:val="24"/>
          <w:szCs w:val="24"/>
          <w:u w:val="none"/>
          <w:lang w:val="en-US" w:eastAsia="x-none"/>
        </w:rPr>
        <w:t xml:space="preserve"> Integrate hybrid centralized–distributed learning frameworks with periodic model synchronization for multi-UAV collision avoidance in 6G environments. </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5:</w:t>
      </w:r>
      <w:r>
        <w:rPr>
          <w:rFonts w:ascii="Times New Roman" w:hAnsi="Times New Roman"/>
          <w:b/>
          <w:bCs/>
          <w:color w:val="000000"/>
          <w:sz w:val="24"/>
          <w:szCs w:val="24"/>
          <w:u w:val="none"/>
          <w:lang w:val="en-US" w:eastAsia="x-none"/>
        </w:rPr>
        <w:t xml:space="preserve"> Support AI-powered adaptive frame structure with dynamic adjustment of subcarrier spacing, guard intervals, coding rates, and pilot density. </w:t>
      </w:r>
    </w:p>
    <w:p>
      <w:pPr>
        <w:pStyle w:val="TextBody"/>
        <w:jc w:val="both"/>
        <w:rPr>
          <w:b/>
          <w:bCs/>
          <w:u w:val="none"/>
        </w:rPr>
      </w:pPr>
      <w:r>
        <w:rPr>
          <w:b/>
          <w:bCs/>
          <w:u w:val="none"/>
        </w:rPr>
      </w:r>
    </w:p>
    <w:p>
      <w:pPr>
        <w:pStyle w:val="Normal"/>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b w:val="false"/>
          <w:bCs w:val="false"/>
        </w:rPr>
      </w:pPr>
      <w:r>
        <w:rPr>
          <w:rFonts w:eastAsia="宋体" w:cs="Times New Roman"/>
          <w:b w:val="false"/>
          <w:bCs w:val="false"/>
          <w:color w:val="000000"/>
          <w:kern w:val="2"/>
          <w:sz w:val="24"/>
          <w:szCs w:val="24"/>
          <w:lang w:val="en-US" w:eastAsia="zh-CN"/>
        </w:rPr>
        <w:t>[1] R1-2505100, Draft Agenda, 3GPP TSG RAN WG1 #122, Bengaluru, India, Aug 25th– 29th, 2025</w:t>
      </w:r>
      <w:r>
        <w:rPr>
          <w:rFonts w:eastAsia="Times New Roman" w:cs="Times New Roman"/>
          <w:b w:val="false"/>
          <w:bCs w:val="false"/>
          <w:sz w:val="24"/>
          <w:szCs w:val="24"/>
          <w:lang w:val="en-GB"/>
        </w:rPr>
        <w:t xml:space="preserve">                                                          </w:t>
      </w:r>
    </w:p>
    <w:p>
      <w:pPr>
        <w:pStyle w:val="Normal"/>
        <w:spacing w:beforeAutospacing="0" w:before="0" w:afterAutospacing="0" w:after="0"/>
        <w:ind w:right="0" w:hanging="0"/>
        <w:jc w:val="both"/>
        <w:rPr>
          <w:rFonts w:ascii="Times New Roman" w:hAnsi="Times New Roman" w:eastAsia="Times New Roman" w:cs="Times New Roman"/>
          <w:b w:val="false"/>
          <w:bCs w:val="false"/>
          <w:sz w:val="24"/>
          <w:szCs w:val="24"/>
          <w:lang w:val="en-GB"/>
        </w:rPr>
      </w:pPr>
      <w:r>
        <w:rPr>
          <w:rFonts w:eastAsia="Times New Roman" w:cs="Times New Roman"/>
          <w:b w:val="false"/>
          <w:bCs w:val="false"/>
          <w:sz w:val="24"/>
          <w:szCs w:val="24"/>
          <w:lang w:val="en-GB"/>
        </w:rPr>
      </w:r>
    </w:p>
    <w:p>
      <w:pPr>
        <w:pStyle w:val="Normal"/>
        <w:bidi w:val="0"/>
        <w:spacing w:lineRule="auto" w:line="259" w:beforeAutospacing="0" w:before="0" w:afterAutospacing="0" w:after="0"/>
        <w:ind w:left="0" w:right="0" w:hanging="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0"/>
        <w:ind w:right="0" w:hanging="0"/>
        <w:jc w:val="both"/>
        <w:rPr>
          <w:sz w:val="24"/>
          <w:szCs w:val="24"/>
        </w:rPr>
      </w:pPr>
      <w:r>
        <w:rPr/>
      </w:r>
    </w:p>
    <w:sectPr>
      <w:type w:val="nextPage"/>
      <w:pgSz w:w="11906" w:h="16838"/>
      <w:pgMar w:left="1021" w:right="1021" w:gutter="0" w:header="0" w:top="720" w:footer="0" w:bottom="57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642</TotalTime>
  <Application>LibreOffice/7.5.2.2$Windows_X86_64 LibreOffice_project/53bb9681a964705cf672590721dbc85eb4d0c3a2</Application>
  <AppVersion>15.0000</AppVersion>
  <Pages>4</Pages>
  <Words>1737</Words>
  <Characters>11326</Characters>
  <CharactersWithSpaces>13123</CharactersWithSpaces>
  <Paragraphs>66</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dc:description/>
  <dc:language>en-US</dc:language>
  <cp:lastModifiedBy/>
  <cp:lastPrinted>2002-04-23T16:10:00Z</cp:lastPrinted>
  <dcterms:modified xsi:type="dcterms:W3CDTF">2025-08-13T18:28:30Z</dcterms:modified>
  <cp:revision>41</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