
<file path=[Content_Types].xml><?xml version="1.0" encoding="utf-8"?>
<Types xmlns="http://schemas.openxmlformats.org/package/2006/content-types">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r>
        <w:rPr>
          <w:b/>
          <w:bCs/>
          <w:sz w:val="22"/>
          <w:szCs w:val="22"/>
          <w:lang w:eastAsia="ja-JP"/>
        </w:rPr>
        <w:t>3GPP TSG RAN WG1 Meeting #1</w:t>
      </w:r>
      <w:r>
        <w:rPr>
          <w:rFonts w:hint="eastAsia"/>
          <w:b/>
          <w:bCs/>
          <w:sz w:val="22"/>
          <w:szCs w:val="22"/>
        </w:rPr>
        <w:t>22</w:t>
      </w:r>
      <w:r>
        <w:rPr>
          <w:b/>
          <w:bCs/>
          <w:sz w:val="22"/>
          <w:szCs w:val="22"/>
          <w:lang w:eastAsia="ja-JP"/>
        </w:rPr>
        <w:tab/>
      </w:r>
      <w:r>
        <w:rPr>
          <w:b/>
          <w:bCs/>
          <w:sz w:val="22"/>
          <w:szCs w:val="22"/>
          <w:lang w:eastAsia="ja-JP"/>
        </w:rPr>
        <w:tab/>
      </w:r>
      <w:r>
        <w:rPr>
          <w:b/>
          <w:bCs/>
          <w:sz w:val="22"/>
          <w:szCs w:val="22"/>
          <w:lang w:eastAsia="ja-JP"/>
        </w:rPr>
        <w:t xml:space="preserve">                               </w:t>
      </w:r>
      <w:r>
        <w:rPr>
          <w:rFonts w:hint="eastAsia"/>
          <w:b/>
          <w:bCs/>
          <w:sz w:val="22"/>
          <w:szCs w:val="22"/>
          <w:lang w:eastAsia="ja-JP"/>
        </w:rPr>
        <w:t>R1-</w:t>
      </w:r>
      <w:r>
        <w:rPr>
          <w:rFonts w:hint="eastAsia"/>
          <w:b/>
          <w:bCs/>
          <w:sz w:val="22"/>
          <w:szCs w:val="22"/>
        </w:rPr>
        <w:t>2505607</w:t>
      </w:r>
    </w:p>
    <w:p>
      <w:pPr>
        <w:tabs>
          <w:tab w:val="center" w:pos="4536"/>
          <w:tab w:val="right" w:pos="9072"/>
        </w:tabs>
        <w:spacing w:before="120" w:after="120"/>
        <w:rPr>
          <w:rFonts w:eastAsia="MS Mincho"/>
          <w:b/>
          <w:bCs/>
          <w:sz w:val="22"/>
          <w:szCs w:val="22"/>
          <w:lang w:eastAsia="ja-JP"/>
        </w:rPr>
      </w:pPr>
      <w:r>
        <w:rPr>
          <w:b/>
          <w:bCs/>
          <w:sz w:val="22"/>
          <w:szCs w:val="22"/>
        </w:rPr>
        <w:t xml:space="preserve">Bengaluru, India, August </w:t>
      </w:r>
      <w:r>
        <w:rPr>
          <w:rFonts w:eastAsia="等线"/>
          <w:b/>
          <w:bCs/>
          <w:sz w:val="22"/>
          <w:szCs w:val="22"/>
        </w:rPr>
        <w:t>25</w:t>
      </w:r>
      <w:r>
        <w:rPr>
          <w:rFonts w:eastAsia="Malgun Gothic"/>
          <w:b/>
          <w:bCs/>
          <w:sz w:val="22"/>
          <w:szCs w:val="22"/>
          <w:vertAlign w:val="superscript"/>
          <w:lang w:eastAsia="ko-KR"/>
        </w:rPr>
        <w:t>th</w:t>
      </w:r>
      <w:r>
        <w:rPr>
          <w:rFonts w:eastAsia="MS Mincho"/>
          <w:b/>
          <w:bCs/>
          <w:sz w:val="22"/>
          <w:szCs w:val="22"/>
          <w:lang w:eastAsia="ja-JP"/>
        </w:rPr>
        <w:t xml:space="preserve"> </w:t>
      </w:r>
      <w:r>
        <w:rPr>
          <w:b/>
          <w:bCs/>
          <w:sz w:val="22"/>
          <w:szCs w:val="22"/>
        </w:rPr>
        <w:t>– 2</w:t>
      </w:r>
      <w:r>
        <w:rPr>
          <w:rFonts w:eastAsia="等线"/>
          <w:b/>
          <w:bCs/>
          <w:sz w:val="22"/>
          <w:szCs w:val="22"/>
        </w:rPr>
        <w:t>9</w:t>
      </w:r>
      <w:r>
        <w:rPr>
          <w:b/>
          <w:bCs/>
          <w:sz w:val="22"/>
          <w:szCs w:val="22"/>
          <w:vertAlign w:val="superscript"/>
        </w:rPr>
        <w:t>th</w:t>
      </w:r>
      <w:r>
        <w:rPr>
          <w:rFonts w:eastAsia="MS Mincho"/>
          <w:b/>
          <w:bCs/>
          <w:sz w:val="22"/>
          <w:szCs w:val="22"/>
          <w:lang w:eastAsia="ja-JP"/>
        </w:rPr>
        <w:t>, 2025</w:t>
      </w:r>
    </w:p>
    <w:p>
      <w:pPr>
        <w:tabs>
          <w:tab w:val="left" w:pos="1985"/>
        </w:tabs>
        <w:spacing w:before="120" w:after="120"/>
        <w:ind w:left="1987" w:hanging="1987"/>
        <w:rPr>
          <w:rFonts w:eastAsia="MS Mincho"/>
          <w:b/>
          <w:bCs/>
          <w:sz w:val="22"/>
          <w:szCs w:val="22"/>
          <w:lang w:eastAsia="ja-JP"/>
        </w:rPr>
      </w:pPr>
    </w:p>
    <w:p>
      <w:pPr>
        <w:tabs>
          <w:tab w:val="left" w:pos="1985"/>
        </w:tabs>
        <w:spacing w:before="120" w:after="120"/>
        <w:ind w:left="1987" w:hanging="1987"/>
        <w:rPr>
          <w:b/>
          <w:sz w:val="22"/>
          <w:szCs w:val="22"/>
        </w:rPr>
      </w:pPr>
      <w:r>
        <w:rPr>
          <w:b/>
          <w:sz w:val="22"/>
          <w:szCs w:val="22"/>
        </w:rPr>
        <w:t xml:space="preserve">Title: </w:t>
      </w:r>
      <w:r>
        <w:rPr>
          <w:b/>
          <w:sz w:val="22"/>
          <w:szCs w:val="22"/>
        </w:rPr>
        <w:tab/>
      </w:r>
      <w:r>
        <w:rPr>
          <w:rFonts w:hint="eastAsia"/>
          <w:b/>
          <w:sz w:val="22"/>
          <w:szCs w:val="22"/>
        </w:rPr>
        <w:t xml:space="preserve">Discussion on energy efficiency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2"/>
          <w:szCs w:val="22"/>
        </w:rPr>
      </w:pPr>
      <w:r>
        <w:rPr>
          <w:b/>
          <w:sz w:val="22"/>
          <w:szCs w:val="22"/>
          <w:lang w:val="pt-BR"/>
        </w:rPr>
        <w:t>Agenda item:</w:t>
      </w:r>
      <w:r>
        <w:rPr>
          <w:b/>
          <w:sz w:val="22"/>
          <w:szCs w:val="22"/>
          <w:lang w:val="pt-BR"/>
        </w:rPr>
        <w:tab/>
      </w:r>
      <w:r>
        <w:rPr>
          <w:rFonts w:hint="eastAsia"/>
          <w:b/>
          <w:sz w:val="22"/>
          <w:szCs w:val="22"/>
        </w:rPr>
        <w:t>11</w:t>
      </w:r>
      <w:r>
        <w:rPr>
          <w:b/>
          <w:sz w:val="22"/>
          <w:szCs w:val="22"/>
        </w:rPr>
        <w:t>.</w:t>
      </w:r>
      <w:r>
        <w:rPr>
          <w:rFonts w:hint="eastAsia"/>
          <w:b/>
          <w:sz w:val="22"/>
          <w:szCs w:val="22"/>
        </w:rPr>
        <w:t>5</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pPr>
      <w:r>
        <w:rPr>
          <w:rFonts w:hint="eastAsia"/>
        </w:rPr>
        <w:t xml:space="preserve">As wireless services growing, the network scales are expanding, and the variety of services is increasing. The energy consumption has gradually become one of the key global concerns. How to reduce the energy consumption of communication networks and terminals, and how to achieve green, efficient, and sustainable development without compromising the development and operation requirements of communication networks has become an urgent problem to be solved. </w:t>
      </w:r>
    </w:p>
    <w:p>
      <w:pPr>
        <w:spacing w:before="120" w:after="120"/>
      </w:pPr>
      <w:r>
        <w:rPr>
          <w:rFonts w:hint="eastAsia"/>
        </w:rPr>
        <w:t>In this contribution, the potential NW energy saving techniques and UE power saving techniques are discussed, which is beneficial to the 6GR energy efficiency.</w:t>
      </w: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Discussion on network energy saving</w:t>
      </w:r>
    </w:p>
    <w:p>
      <w:pPr>
        <w:spacing w:before="120" w:after="120"/>
        <w:jc w:val="center"/>
      </w:pPr>
      <w:r>
        <w:drawing>
          <wp:inline distT="0" distB="0" distL="114300" distR="114300">
            <wp:extent cx="2858135" cy="1705610"/>
            <wp:effectExtent l="0" t="0" r="698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rcRect l="34339" t="7183" r="8350" b="7441"/>
                    <a:stretch>
                      <a:fillRect/>
                    </a:stretch>
                  </pic:blipFill>
                  <pic:spPr>
                    <a:xfrm>
                      <a:off x="0" y="0"/>
                      <a:ext cx="2858135" cy="1705610"/>
                    </a:xfrm>
                    <a:prstGeom prst="rect">
                      <a:avLst/>
                    </a:prstGeom>
                  </pic:spPr>
                </pic:pic>
              </a:graphicData>
            </a:graphic>
          </wp:inline>
        </w:drawing>
      </w:r>
    </w:p>
    <w:p>
      <w:pPr>
        <w:spacing w:before="120" w:after="120"/>
        <w:jc w:val="center"/>
      </w:pPr>
      <w:r>
        <w:rPr>
          <w:rFonts w:hint="eastAsia"/>
        </w:rPr>
        <w:t>Figure 1. The proportion of operator costs [1]</w:t>
      </w:r>
    </w:p>
    <w:p>
      <w:pPr>
        <w:spacing w:before="120" w:after="120"/>
        <w:rPr>
          <w:szCs w:val="21"/>
        </w:rPr>
      </w:pPr>
      <w:r>
        <w:rPr>
          <w:rFonts w:hint="eastAsia"/>
          <w:szCs w:val="21"/>
        </w:rPr>
        <w:t xml:space="preserve">Network opex tends to account for around 25% of the operator cost base, or 10% of revenue. Over 90% of network costs are spent on energy. In Rel-18 and Rel-19, some network energy saving technologies in time domain, frequency domain, spatial domain and power domain are discussed to reduce the network energy consumption. However, due to the limited application scenarios, these energy saving technologies cannot achieve the maximum energy saving gain. </w:t>
      </w:r>
      <w:r>
        <w:rPr>
          <w:rFonts w:hint="eastAsia"/>
        </w:rPr>
        <w:t>For example, the SSB-less SCell introduced in R15 can only be used for intra-band CA, the SSB-less SCell introduced in R18 can be used for inter-band CA, but is limited to FR1 and co-located scenario, and on-demand SSB for SCell only supports NCD-SSB and SSB off sync-raster.</w:t>
      </w:r>
    </w:p>
    <w:p>
      <w:pPr>
        <w:spacing w:before="120" w:after="120"/>
      </w:pPr>
      <w:r>
        <w:rPr>
          <w:rFonts w:hint="eastAsia"/>
        </w:rPr>
        <w:t>As 6G networks aim to support an increasingly diverse range of applications and scenarios, provide denser connectivity, expand the coverage, and meet the growing expectations, it will inevitably face a surge in energy consumption and a significant challenge in maintaining a green and sustainable ecosystem.</w:t>
      </w:r>
    </w:p>
    <w:p>
      <w:pPr>
        <w:spacing w:before="120" w:after="120"/>
        <w:rPr>
          <w:szCs w:val="21"/>
        </w:rPr>
      </w:pPr>
      <w:r>
        <w:rPr>
          <w:rFonts w:hint="eastAsia"/>
          <w:szCs w:val="21"/>
        </w:rPr>
        <w:t>Therefore, in 6GR day1, the network energy saving technologies should be considered to save network costs/energy consumption while minimizing user experience impact.</w:t>
      </w:r>
    </w:p>
    <w:p>
      <w:pPr>
        <w:spacing w:before="120" w:after="120"/>
        <w:rPr>
          <w:szCs w:val="21"/>
        </w:rPr>
      </w:pPr>
      <w:r>
        <w:rPr>
          <w:rFonts w:hint="eastAsia"/>
          <w:szCs w:val="21"/>
        </w:rPr>
        <w:t>Similar to NR network energy saving, the potential network energy saving technologies can be discussed in time domain, frequency domain, spatial domain and power domain.</w:t>
      </w:r>
    </w:p>
    <w:p>
      <w:pPr>
        <w:pStyle w:val="3"/>
        <w:spacing w:before="120" w:after="120" w:line="260" w:lineRule="auto"/>
        <w:ind w:left="0" w:right="200"/>
        <w:rPr>
          <w:rFonts w:ascii="Times New Roman" w:hAnsi="Times New Roman" w:eastAsia="宋体"/>
          <w:b/>
          <w:bCs/>
          <w:sz w:val="21"/>
          <w:szCs w:val="21"/>
        </w:rPr>
      </w:pPr>
      <w:r>
        <w:rPr>
          <w:rFonts w:hint="eastAsia" w:ascii="Times New Roman" w:hAnsi="Times New Roman" w:eastAsia="宋体"/>
          <w:b/>
          <w:bCs/>
          <w:sz w:val="21"/>
          <w:szCs w:val="21"/>
        </w:rPr>
        <w:t>Network energy saving in time domain</w:t>
      </w:r>
    </w:p>
    <w:p>
      <w:pPr>
        <w:spacing w:before="120" w:after="120"/>
        <w:rPr>
          <w:szCs w:val="21"/>
        </w:rPr>
      </w:pPr>
      <w:r>
        <w:rPr>
          <w:rFonts w:hint="eastAsia"/>
          <w:szCs w:val="21"/>
        </w:rPr>
        <w:t xml:space="preserve">In 5G NR discussion, it is a common understanding that the common signal/channel transmission/reception is an indispensable component of the network power consumption, such as SSB, SIB1, paging, PRACH, etc. The transmission of the common signal/channel reduces the network sleep opportunity and increases the transmission power consumption. </w:t>
      </w:r>
    </w:p>
    <w:p>
      <w:pPr>
        <w:spacing w:before="120" w:after="120"/>
        <w:rPr>
          <w:szCs w:val="21"/>
        </w:rPr>
      </w:pPr>
      <w:r>
        <w:rPr>
          <w:rFonts w:hint="eastAsia"/>
          <w:szCs w:val="21"/>
        </w:rPr>
        <w:t>For the 6GR network energy saving design, how to avoid or reduce the power consumption caused by the transmission or reception of the common signal/channel should be considered from the beginning of the design. Therefore, a le</w:t>
      </w:r>
      <w:r>
        <w:rPr>
          <w:szCs w:val="21"/>
        </w:rPr>
        <w:t xml:space="preserve">an </w:t>
      </w:r>
      <w:r>
        <w:rPr>
          <w:rFonts w:hint="eastAsia"/>
          <w:szCs w:val="21"/>
        </w:rPr>
        <w:t>transmission, such as reducing or eliminating the common signal transmission/reception</w:t>
      </w:r>
      <w:r>
        <w:rPr>
          <w:szCs w:val="21"/>
        </w:rPr>
        <w:t>,</w:t>
      </w:r>
      <w:r>
        <w:rPr>
          <w:rFonts w:hint="eastAsia"/>
          <w:szCs w:val="21"/>
        </w:rPr>
        <w:t xml:space="preserve"> </w:t>
      </w:r>
      <w:r>
        <w:rPr>
          <w:szCs w:val="21"/>
        </w:rPr>
        <w:t>should</w:t>
      </w:r>
      <w:r>
        <w:rPr>
          <w:rFonts w:hint="eastAsia"/>
          <w:szCs w:val="21"/>
        </w:rPr>
        <w:t xml:space="preserve"> be considered.</w:t>
      </w:r>
    </w:p>
    <w:p>
      <w:pPr>
        <w:pStyle w:val="62"/>
        <w:spacing w:before="120" w:after="120"/>
        <w:rPr>
          <w:sz w:val="21"/>
          <w:szCs w:val="21"/>
          <w:lang w:val="en-US" w:eastAsia="zh-CN"/>
        </w:rPr>
      </w:pPr>
      <w:bookmarkStart w:id="0" w:name="_Toc26722"/>
      <w:bookmarkStart w:id="1" w:name="_Toc31142"/>
      <w:bookmarkStart w:id="2" w:name="_Toc542119339"/>
      <w:bookmarkStart w:id="3" w:name="_Toc14910605"/>
      <w:bookmarkStart w:id="4" w:name="_Toc13325"/>
      <w:bookmarkStart w:id="5" w:name="_Toc1415622705"/>
      <w:bookmarkStart w:id="6" w:name="_Toc1903139101"/>
      <w:r>
        <w:rPr>
          <w:rFonts w:hint="eastAsia"/>
          <w:sz w:val="21"/>
          <w:szCs w:val="21"/>
          <w:lang w:val="en-US" w:eastAsia="zh-CN"/>
        </w:rPr>
        <w:t>H</w:t>
      </w:r>
      <w:bookmarkEnd w:id="0"/>
      <w:bookmarkEnd w:id="1"/>
      <w:r>
        <w:rPr>
          <w:rFonts w:hint="eastAsia"/>
          <w:sz w:val="21"/>
          <w:szCs w:val="21"/>
          <w:lang w:val="en-US" w:eastAsia="zh-CN"/>
        </w:rPr>
        <w:t>ow to avoid or reduce the</w:t>
      </w:r>
      <w:r>
        <w:rPr>
          <w:sz w:val="21"/>
          <w:szCs w:val="21"/>
          <w:lang w:val="en-US" w:eastAsia="zh-CN"/>
        </w:rPr>
        <w:t xml:space="preserve"> network</w:t>
      </w:r>
      <w:r>
        <w:rPr>
          <w:rFonts w:hint="eastAsia"/>
          <w:sz w:val="21"/>
          <w:szCs w:val="21"/>
          <w:lang w:val="en-US" w:eastAsia="zh-CN"/>
        </w:rPr>
        <w:t xml:space="preserve"> power consumption caused by the transmission or reception of the common signal/channel should be considered from the beginning of the design.</w:t>
      </w:r>
      <w:bookmarkEnd w:id="2"/>
      <w:bookmarkEnd w:id="3"/>
      <w:bookmarkEnd w:id="4"/>
      <w:bookmarkEnd w:id="5"/>
      <w:bookmarkEnd w:id="6"/>
    </w:p>
    <w:p>
      <w:pPr>
        <w:spacing w:before="120" w:after="120"/>
        <w:rPr>
          <w:szCs w:val="21"/>
        </w:rPr>
      </w:pPr>
      <w:r>
        <w:rPr>
          <w:rFonts w:hint="eastAsia"/>
          <w:szCs w:val="21"/>
        </w:rPr>
        <w:t>For the 6GR network energy saving in time domain, the following can be considered.</w:t>
      </w:r>
    </w:p>
    <w:p>
      <w:pPr>
        <w:numPr>
          <w:ilvl w:val="0"/>
          <w:numId w:val="5"/>
        </w:numPr>
        <w:spacing w:before="120" w:after="120" w:line="260" w:lineRule="auto"/>
        <w:rPr>
          <w:b/>
          <w:bCs/>
          <w:szCs w:val="21"/>
        </w:rPr>
      </w:pPr>
      <w:r>
        <w:rPr>
          <w:rFonts w:hint="eastAsia"/>
          <w:b/>
          <w:bCs/>
          <w:szCs w:val="21"/>
        </w:rPr>
        <w:t>SSB</w:t>
      </w:r>
    </w:p>
    <w:p>
      <w:pPr>
        <w:spacing w:before="120" w:after="120"/>
        <w:rPr>
          <w:szCs w:val="21"/>
        </w:rPr>
      </w:pPr>
      <w:r>
        <w:rPr>
          <w:szCs w:val="21"/>
        </w:rPr>
        <w:t>Based on the power consumption model in</w:t>
      </w:r>
      <w:r>
        <w:rPr>
          <w:rFonts w:hint="eastAsia"/>
          <w:szCs w:val="21"/>
        </w:rPr>
        <w:t xml:space="preserve"> TR 38.864</w:t>
      </w:r>
      <w:r>
        <w:rPr>
          <w:szCs w:val="21"/>
        </w:rPr>
        <w:t xml:space="preserve"> </w:t>
      </w:r>
      <w:r>
        <w:rPr>
          <w:rFonts w:hint="eastAsia"/>
          <w:szCs w:val="21"/>
        </w:rPr>
        <w:t>[2</w:t>
      </w:r>
      <w:r>
        <w:rPr>
          <w:szCs w:val="21"/>
        </w:rPr>
        <w:t xml:space="preserve">], it can be observed that </w:t>
      </w:r>
      <w:r>
        <w:rPr>
          <w:rFonts w:hint="eastAsia"/>
          <w:szCs w:val="21"/>
        </w:rPr>
        <w:t>D</w:t>
      </w:r>
      <w:r>
        <w:rPr>
          <w:szCs w:val="21"/>
        </w:rPr>
        <w:t>L transmission is the main aspect of network energy consumption.</w:t>
      </w:r>
      <w:r>
        <w:rPr>
          <w:rFonts w:hint="eastAsia"/>
          <w:szCs w:val="21"/>
        </w:rPr>
        <w:t xml:space="preserve"> N</w:t>
      </w:r>
      <w:r>
        <w:rPr>
          <w:szCs w:val="21"/>
        </w:rPr>
        <w:t>etwork can deactivate some components (e.g. cell, carrier, band) for energy saving when there is no DL transmission. A dynamic on-off operation by BS can be considered to achieve a tradeoff between NES and system performance. However, the chance of on-off operation is determined by the periodic DL common signal/channel.</w:t>
      </w:r>
    </w:p>
    <w:p>
      <w:pPr>
        <w:spacing w:before="120" w:after="120"/>
        <w:rPr>
          <w:szCs w:val="21"/>
        </w:rPr>
      </w:pPr>
      <w:r>
        <w:rPr>
          <w:rFonts w:hint="eastAsia"/>
          <w:szCs w:val="21"/>
        </w:rPr>
        <w:t xml:space="preserve">In 5G NR, to provide initial access to idle/inactive mode UE, the maximum SSB transmission cycle is 20ms, which prevents the BS from switching to a deeper sleep state. Therefore, in order to provide more BS energy saving opportunities, the design of SSB with large periodicity should be considered in the 6G NES. For example, SSB with a period of 160ms should be supported in idle/inactive mode. </w:t>
      </w:r>
      <w:r>
        <w:rPr>
          <w:szCs w:val="21"/>
        </w:rPr>
        <w:t xml:space="preserve">In other cases, </w:t>
      </w:r>
      <w:r>
        <w:rPr>
          <w:rFonts w:hint="eastAsia"/>
          <w:szCs w:val="21"/>
        </w:rPr>
        <w:t xml:space="preserve">the maximum SSB period can be set to the value larger than 160ms, such as 640ms. </w:t>
      </w:r>
    </w:p>
    <w:p>
      <w:pPr>
        <w:spacing w:before="120" w:after="120"/>
        <w:rPr>
          <w:szCs w:val="21"/>
        </w:rPr>
      </w:pPr>
      <w:r>
        <w:rPr>
          <w:rFonts w:hint="eastAsia"/>
          <w:szCs w:val="21"/>
        </w:rPr>
        <w:t xml:space="preserve">As shown in Figure 2, with the network power model Cat 2 defined in NR, compared to the 20 ms period for both SSB and SIB1, when the period of SSB and SIB1 are </w:t>
      </w:r>
      <w:r>
        <w:rPr>
          <w:szCs w:val="21"/>
        </w:rPr>
        <w:t>extended</w:t>
      </w:r>
      <w:r>
        <w:rPr>
          <w:rFonts w:hint="eastAsia"/>
          <w:szCs w:val="21"/>
        </w:rPr>
        <w:t xml:space="preserve"> to 160 ms, the network can achieve an energy-saving gain of approximately 19%-26% in different load scenarios. It should be noted that in the NR Cat 2 network power model, </w:t>
      </w:r>
      <w:r>
        <w:rPr>
          <w:szCs w:val="21"/>
        </w:rPr>
        <w:t>the transition time of</w:t>
      </w:r>
      <w:r>
        <w:rPr>
          <w:rFonts w:hint="eastAsia"/>
          <w:szCs w:val="21"/>
        </w:rPr>
        <w:t xml:space="preserve"> light sleep state </w:t>
      </w:r>
      <w:r>
        <w:rPr>
          <w:szCs w:val="21"/>
        </w:rPr>
        <w:t xml:space="preserve">and </w:t>
      </w:r>
      <w:r>
        <w:rPr>
          <w:rFonts w:hint="eastAsia"/>
          <w:szCs w:val="21"/>
        </w:rPr>
        <w:t xml:space="preserve">deep sleep state </w:t>
      </w:r>
      <w:r>
        <w:rPr>
          <w:szCs w:val="21"/>
        </w:rPr>
        <w:t xml:space="preserve">is </w:t>
      </w:r>
      <w:r>
        <w:rPr>
          <w:rFonts w:hint="eastAsia"/>
          <w:szCs w:val="21"/>
        </w:rPr>
        <w:t xml:space="preserve">640 ms and 10 </w:t>
      </w:r>
      <w:r>
        <w:rPr>
          <w:szCs w:val="21"/>
        </w:rPr>
        <w:t>respectively</w:t>
      </w:r>
      <w:r>
        <w:rPr>
          <w:rFonts w:hint="eastAsia"/>
          <w:szCs w:val="21"/>
        </w:rPr>
        <w:t xml:space="preserve">. For 6G, as both software and hardware evolve and network capabilities improve, the transition time between sleep and active states </w:t>
      </w:r>
      <w:r>
        <w:rPr>
          <w:szCs w:val="21"/>
        </w:rPr>
        <w:t>can</w:t>
      </w:r>
      <w:r>
        <w:rPr>
          <w:rFonts w:hint="eastAsia"/>
          <w:szCs w:val="21"/>
        </w:rPr>
        <w:t xml:space="preserve"> be </w:t>
      </w:r>
      <w:r>
        <w:rPr>
          <w:szCs w:val="21"/>
        </w:rPr>
        <w:t>reduced</w:t>
      </w:r>
      <w:r>
        <w:rPr>
          <w:rFonts w:hint="eastAsia"/>
          <w:szCs w:val="21"/>
        </w:rPr>
        <w:t xml:space="preserve">. Therefore, there is a chance to obtain more significant energy-saving gain from increasing the SSB period in 6G. </w:t>
      </w:r>
    </w:p>
    <w:p>
      <w:pPr>
        <w:spacing w:before="120" w:after="120"/>
        <w:jc w:val="center"/>
      </w:pPr>
      <w:r>
        <w:drawing>
          <wp:inline distT="0" distB="0" distL="114300" distR="114300">
            <wp:extent cx="3195320" cy="1969770"/>
            <wp:effectExtent l="0" t="0" r="5080"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3"/>
                    <a:stretch>
                      <a:fillRect/>
                    </a:stretch>
                  </pic:blipFill>
                  <pic:spPr>
                    <a:xfrm>
                      <a:off x="0" y="0"/>
                      <a:ext cx="3195320" cy="1969770"/>
                    </a:xfrm>
                    <a:prstGeom prst="rect">
                      <a:avLst/>
                    </a:prstGeom>
                    <a:noFill/>
                    <a:ln>
                      <a:noFill/>
                    </a:ln>
                  </pic:spPr>
                </pic:pic>
              </a:graphicData>
            </a:graphic>
          </wp:inline>
        </w:drawing>
      </w:r>
    </w:p>
    <w:p>
      <w:pPr>
        <w:spacing w:before="120" w:after="120"/>
        <w:jc w:val="center"/>
      </w:pPr>
      <w:r>
        <w:rPr>
          <w:rFonts w:hint="eastAsia"/>
        </w:rPr>
        <w:t>Figure 2. NES gain of large periodic SSB with NR power model</w:t>
      </w:r>
    </w:p>
    <w:p>
      <w:pPr>
        <w:spacing w:before="120" w:after="120"/>
        <w:rPr>
          <w:szCs w:val="21"/>
        </w:rPr>
      </w:pPr>
    </w:p>
    <w:p>
      <w:pPr>
        <w:pStyle w:val="61"/>
        <w:spacing w:before="120" w:after="120"/>
        <w:rPr>
          <w:szCs w:val="21"/>
          <w:lang w:val="en-US" w:eastAsia="zh-CN"/>
        </w:rPr>
      </w:pPr>
      <w:bookmarkStart w:id="7" w:name="_Toc1447619777"/>
      <w:bookmarkStart w:id="8" w:name="_Toc24853"/>
      <w:r>
        <w:rPr>
          <w:rFonts w:hint="eastAsia"/>
          <w:szCs w:val="21"/>
          <w:lang w:val="en-US" w:eastAsia="zh-CN"/>
        </w:rPr>
        <w:t>With the network power model Cat 2 defined in NR, the SSB and SIB1 with a period of 160 ms can achieve an energy-saving gain of approximately 19</w:t>
      </w:r>
      <w:r>
        <w:rPr>
          <w:szCs w:val="21"/>
          <w:lang w:val="en-US" w:eastAsia="zh-CN"/>
        </w:rPr>
        <w:t>%</w:t>
      </w:r>
      <w:r>
        <w:rPr>
          <w:rFonts w:hint="eastAsia"/>
          <w:szCs w:val="21"/>
          <w:lang w:val="en-US" w:eastAsia="zh-CN"/>
        </w:rPr>
        <w:t xml:space="preserve">-26% in different load scenarios. </w:t>
      </w:r>
      <w:r>
        <w:rPr>
          <w:szCs w:val="21"/>
          <w:lang w:val="en-US" w:eastAsia="zh-CN"/>
        </w:rPr>
        <w:t xml:space="preserve">The </w:t>
      </w:r>
      <w:r>
        <w:rPr>
          <w:rFonts w:hint="eastAsia"/>
          <w:szCs w:val="21"/>
          <w:lang w:val="en-US" w:eastAsia="zh-CN"/>
        </w:rPr>
        <w:t>energy-saving gain</w:t>
      </w:r>
      <w:r>
        <w:rPr>
          <w:szCs w:val="21"/>
          <w:lang w:val="en-US" w:eastAsia="zh-CN"/>
        </w:rPr>
        <w:t xml:space="preserve"> may be further improved</w:t>
      </w:r>
      <w:r>
        <w:rPr>
          <w:rFonts w:hint="eastAsia"/>
          <w:szCs w:val="21"/>
          <w:lang w:val="en-US" w:eastAsia="zh-CN"/>
        </w:rPr>
        <w:t xml:space="preserve"> in 6G</w:t>
      </w:r>
      <w:bookmarkEnd w:id="7"/>
      <w:r>
        <w:rPr>
          <w:szCs w:val="21"/>
          <w:lang w:val="en-US" w:eastAsia="zh-CN"/>
        </w:rPr>
        <w:t xml:space="preserve"> with the enhanced implementation.</w:t>
      </w:r>
      <w:bookmarkEnd w:id="8"/>
    </w:p>
    <w:p>
      <w:pPr>
        <w:spacing w:before="120" w:after="120" w:line="260" w:lineRule="auto"/>
      </w:pPr>
      <w:r>
        <w:rPr>
          <w:szCs w:val="21"/>
        </w:rPr>
        <w:t>T</w:t>
      </w:r>
      <w:r>
        <w:rPr>
          <w:rFonts w:hint="eastAsia"/>
          <w:szCs w:val="21"/>
        </w:rPr>
        <w:t>he</w:t>
      </w:r>
      <w:r>
        <w:rPr>
          <w:szCs w:val="21"/>
        </w:rPr>
        <w:t xml:space="preserve"> potential</w:t>
      </w:r>
      <w:r>
        <w:rPr>
          <w:rFonts w:hint="eastAsia"/>
          <w:szCs w:val="21"/>
        </w:rPr>
        <w:t xml:space="preserve"> impact of the large-period SSB on UEs </w:t>
      </w:r>
      <w:r>
        <w:rPr>
          <w:szCs w:val="21"/>
        </w:rPr>
        <w:t>can</w:t>
      </w:r>
      <w:r>
        <w:rPr>
          <w:rFonts w:hint="eastAsia"/>
          <w:szCs w:val="21"/>
        </w:rPr>
        <w:t xml:space="preserve"> be considered. For example, UE usually detects the SSB based on sliding window. If the SSB period becomes longer, the </w:t>
      </w:r>
      <w:r>
        <w:rPr>
          <w:szCs w:val="21"/>
        </w:rPr>
        <w:t xml:space="preserve">UE </w:t>
      </w:r>
      <w:r>
        <w:rPr>
          <w:rFonts w:hint="eastAsia"/>
          <w:szCs w:val="21"/>
        </w:rPr>
        <w:t xml:space="preserve">power consumption </w:t>
      </w:r>
      <w:r>
        <w:rPr>
          <w:szCs w:val="21"/>
        </w:rPr>
        <w:t xml:space="preserve">caused by </w:t>
      </w:r>
      <w:r>
        <w:rPr>
          <w:rFonts w:hint="eastAsia"/>
          <w:szCs w:val="21"/>
        </w:rPr>
        <w:t>SSB searching increases. To a</w:t>
      </w:r>
      <w:r>
        <w:rPr>
          <w:szCs w:val="21"/>
        </w:rPr>
        <w:t>ddress this issue</w:t>
      </w:r>
      <w:r>
        <w:rPr>
          <w:rFonts w:hint="eastAsia"/>
          <w:szCs w:val="21"/>
        </w:rPr>
        <w:t>, when a large SSB periodic</w:t>
      </w:r>
      <w:r>
        <w:rPr>
          <w:szCs w:val="21"/>
        </w:rPr>
        <w:t>ity</w:t>
      </w:r>
      <w:r>
        <w:rPr>
          <w:rFonts w:hint="eastAsia"/>
          <w:szCs w:val="21"/>
        </w:rPr>
        <w:t xml:space="preserve"> is used, the periodic SSB muting can be configured and corresponding resources for mut</w:t>
      </w:r>
      <w:r>
        <w:rPr>
          <w:szCs w:val="21"/>
        </w:rPr>
        <w:t>ed</w:t>
      </w:r>
      <w:r>
        <w:rPr>
          <w:rFonts w:hint="eastAsia"/>
          <w:szCs w:val="21"/>
        </w:rPr>
        <w:t xml:space="preserve"> SSB are reserved. </w:t>
      </w:r>
      <w:r>
        <w:rPr>
          <w:szCs w:val="21"/>
        </w:rPr>
        <w:t>A</w:t>
      </w:r>
      <w:r>
        <w:rPr>
          <w:rFonts w:hint="eastAsia"/>
          <w:szCs w:val="21"/>
        </w:rPr>
        <w:t xml:space="preserve">s shown in Figure 3, </w:t>
      </w:r>
      <w:r>
        <w:rPr>
          <w:rFonts w:hint="eastAsia"/>
        </w:rPr>
        <w:t xml:space="preserve">when the SSB period is 160ms, one SSB is transmitted within 20ms, and seven SSBs </w:t>
      </w:r>
      <w:r>
        <w:t>are</w:t>
      </w:r>
      <w:r>
        <w:rPr>
          <w:rFonts w:hint="eastAsia"/>
        </w:rPr>
        <w:t xml:space="preserve"> zero power (i.e., muted SSB) which are reserved every 20ms (i.e., the resources corresponding to these SSBs are reserved). </w:t>
      </w:r>
    </w:p>
    <w:p>
      <w:pPr>
        <w:spacing w:before="120" w:after="120" w:line="260" w:lineRule="auto"/>
      </w:pPr>
      <w:r>
        <w:rPr>
          <w:rFonts w:hint="eastAsia"/>
        </w:rPr>
        <w:t>Based on the reserved SSBs, a potential UE implementation to decode SSB is described as follows</w:t>
      </w:r>
    </w:p>
    <w:p>
      <w:pPr>
        <w:numPr>
          <w:ilvl w:val="0"/>
          <w:numId w:val="6"/>
        </w:numPr>
        <w:spacing w:before="120" w:after="120" w:line="260" w:lineRule="auto"/>
      </w:pPr>
      <w:r>
        <w:t>‌Data Caching and segmentation‌</w:t>
      </w:r>
    </w:p>
    <w:p>
      <w:pPr>
        <w:spacing w:before="120" w:after="120" w:line="260" w:lineRule="auto"/>
      </w:pPr>
      <w:r>
        <w:t>The UE buffers 160ms of received samples and partitions them into eight 20ms segments (Segment 1–8).</w:t>
      </w:r>
    </w:p>
    <w:p>
      <w:pPr>
        <w:numPr>
          <w:ilvl w:val="0"/>
          <w:numId w:val="6"/>
        </w:numPr>
        <w:spacing w:before="120" w:after="120" w:line="260" w:lineRule="auto"/>
      </w:pPr>
      <w:r>
        <w:t>Data Aggregation‌</w:t>
      </w:r>
    </w:p>
    <w:p>
      <w:pPr>
        <w:numPr>
          <w:ilvl w:val="0"/>
          <w:numId w:val="7"/>
        </w:numPr>
        <w:spacing w:before="120" w:after="120" w:line="260" w:lineRule="auto"/>
      </w:pPr>
      <w:r>
        <w:t xml:space="preserve">‌Forward Aggregation‌: Segments 1–4 are merged into </w:t>
      </w:r>
      <w:r>
        <w:rPr>
          <w:rFonts w:hint="eastAsia"/>
        </w:rPr>
        <w:t xml:space="preserve">Merged </w:t>
      </w:r>
      <w:r>
        <w:t>Segment A</w:t>
      </w:r>
      <w:r>
        <w:rPr>
          <w:rFonts w:hint="eastAsia"/>
        </w:rPr>
        <w:t xml:space="preserve"> with 20ms long</w:t>
      </w:r>
    </w:p>
    <w:p>
      <w:pPr>
        <w:numPr>
          <w:ilvl w:val="0"/>
          <w:numId w:val="7"/>
        </w:numPr>
        <w:spacing w:before="120" w:after="120" w:line="260" w:lineRule="auto"/>
      </w:pPr>
      <w:r>
        <w:t xml:space="preserve">‌Backward Aggregation‌: Segments 5–8 are merged into </w:t>
      </w:r>
      <w:r>
        <w:rPr>
          <w:rFonts w:hint="eastAsia"/>
        </w:rPr>
        <w:t xml:space="preserve">Merged </w:t>
      </w:r>
      <w:r>
        <w:t>Segment B</w:t>
      </w:r>
      <w:r>
        <w:rPr>
          <w:rFonts w:hint="eastAsia"/>
        </w:rPr>
        <w:t xml:space="preserve"> with 20ms long</w:t>
      </w:r>
    </w:p>
    <w:p>
      <w:pPr>
        <w:spacing w:before="120" w:after="120" w:line="260" w:lineRule="auto"/>
      </w:pPr>
      <w:r>
        <w:t>Note: the</w:t>
      </w:r>
      <w:r>
        <w:rPr>
          <w:rFonts w:hint="eastAsia"/>
        </w:rPr>
        <w:t xml:space="preserve"> </w:t>
      </w:r>
      <w:r>
        <w:t xml:space="preserve">SSB reservations eliminate interference during aggregation, </w:t>
      </w:r>
      <w:r>
        <w:rPr>
          <w:rFonts w:hint="eastAsia"/>
        </w:rPr>
        <w:t xml:space="preserve">but </w:t>
      </w:r>
      <w:r>
        <w:t xml:space="preserve">accumulating </w:t>
      </w:r>
      <w:r>
        <w:rPr>
          <w:rFonts w:hint="eastAsia"/>
        </w:rPr>
        <w:t>noise</w:t>
      </w:r>
      <w:r>
        <w:t>.</w:t>
      </w:r>
    </w:p>
    <w:p>
      <w:pPr>
        <w:numPr>
          <w:ilvl w:val="0"/>
          <w:numId w:val="6"/>
        </w:numPr>
        <w:spacing w:before="120" w:after="120" w:line="260" w:lineRule="auto"/>
      </w:pPr>
      <w:r>
        <w:t>‌Two-stage detection mechanism‌</w:t>
      </w:r>
    </w:p>
    <w:p>
      <w:pPr>
        <w:numPr>
          <w:ilvl w:val="0"/>
          <w:numId w:val="8"/>
        </w:numPr>
        <w:spacing w:before="120" w:after="120" w:line="260" w:lineRule="auto"/>
      </w:pPr>
      <w:r>
        <w:t xml:space="preserve">‌Coarse-grained detection‌: Energy-based SSB detection on </w:t>
      </w:r>
      <w:r>
        <w:rPr>
          <w:rFonts w:hint="eastAsia"/>
        </w:rPr>
        <w:t xml:space="preserve">Merged </w:t>
      </w:r>
      <w:r>
        <w:t xml:space="preserve">Segments A/B to identify </w:t>
      </w:r>
      <w:r>
        <w:rPr>
          <w:rFonts w:hint="eastAsia"/>
        </w:rPr>
        <w:t xml:space="preserve">which merged segment </w:t>
      </w:r>
      <w:r>
        <w:t xml:space="preserve">the target SSB lies </w:t>
      </w:r>
      <w:r>
        <w:rPr>
          <w:rFonts w:hint="eastAsia"/>
        </w:rPr>
        <w:t>and a coarse location in the target Merged segment</w:t>
      </w:r>
      <w:r>
        <w:t>.</w:t>
      </w:r>
    </w:p>
    <w:p>
      <w:pPr>
        <w:numPr>
          <w:ilvl w:val="0"/>
          <w:numId w:val="8"/>
        </w:numPr>
        <w:spacing w:before="120" w:after="120" w:line="260" w:lineRule="auto"/>
        <w:ind w:left="0" w:firstLine="0"/>
      </w:pPr>
      <w:r>
        <w:t>‌Fine-grained localization‌: Performs precise SSB searching</w:t>
      </w:r>
      <w:r>
        <w:rPr>
          <w:rFonts w:hint="eastAsia"/>
        </w:rPr>
        <w:t xml:space="preserve"> based on the coarse location in confirmed Merged segment</w:t>
      </w:r>
    </w:p>
    <w:p>
      <w:pPr>
        <w:spacing w:before="120" w:after="120" w:line="260" w:lineRule="auto"/>
        <w:jc w:val="center"/>
      </w:pPr>
    </w:p>
    <w:p>
      <w:pPr>
        <w:spacing w:before="120" w:after="120" w:line="260" w:lineRule="auto"/>
        <w:jc w:val="center"/>
        <w:rPr>
          <w:szCs w:val="21"/>
        </w:rPr>
      </w:pPr>
      <w:r>
        <w:drawing>
          <wp:inline distT="0" distB="0" distL="114300" distR="114300">
            <wp:extent cx="4743450" cy="2803525"/>
            <wp:effectExtent l="0" t="0" r="11430" b="63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4"/>
                    <a:stretch>
                      <a:fillRect/>
                    </a:stretch>
                  </pic:blipFill>
                  <pic:spPr>
                    <a:xfrm>
                      <a:off x="0" y="0"/>
                      <a:ext cx="4743450" cy="2803525"/>
                    </a:xfrm>
                    <a:prstGeom prst="rect">
                      <a:avLst/>
                    </a:prstGeom>
                    <a:noFill/>
                    <a:ln>
                      <a:noFill/>
                    </a:ln>
                  </pic:spPr>
                </pic:pic>
              </a:graphicData>
            </a:graphic>
          </wp:inline>
        </w:drawing>
      </w:r>
    </w:p>
    <w:p>
      <w:pPr>
        <w:spacing w:before="120" w:after="120" w:line="260" w:lineRule="auto"/>
        <w:jc w:val="center"/>
        <w:rPr>
          <w:szCs w:val="21"/>
        </w:rPr>
      </w:pPr>
      <w:r>
        <w:rPr>
          <w:rFonts w:hint="eastAsia"/>
          <w:szCs w:val="21"/>
        </w:rPr>
        <w:t>Figure 3. An example for SSB muting and SSB detection</w:t>
      </w:r>
    </w:p>
    <w:p>
      <w:pPr>
        <w:pStyle w:val="61"/>
        <w:spacing w:before="120" w:after="120"/>
        <w:rPr>
          <w:rFonts w:eastAsia="宋体"/>
          <w:szCs w:val="21"/>
          <w:lang w:val="en-US" w:eastAsia="zh-CN"/>
        </w:rPr>
      </w:pPr>
      <w:bookmarkStart w:id="9" w:name="_Toc368910434"/>
      <w:bookmarkStart w:id="10" w:name="_Toc30519"/>
      <w:bookmarkStart w:id="11" w:name="_Toc1503"/>
      <w:bookmarkStart w:id="12" w:name="_Toc172580092"/>
      <w:bookmarkStart w:id="13" w:name="_Toc929416999"/>
      <w:bookmarkStart w:id="14" w:name="_Toc13787"/>
      <w:r>
        <w:rPr>
          <w:rFonts w:hint="eastAsia" w:eastAsia="宋体"/>
          <w:szCs w:val="21"/>
          <w:lang w:val="en-US" w:eastAsia="zh-CN"/>
        </w:rPr>
        <w:t>A</w:t>
      </w:r>
      <w:r>
        <w:rPr>
          <w:rFonts w:eastAsia="宋体"/>
          <w:szCs w:val="21"/>
          <w:lang w:val="en-US" w:eastAsia="zh-CN"/>
        </w:rPr>
        <w:t>n</w:t>
      </w:r>
      <w:r>
        <w:rPr>
          <w:rFonts w:hint="eastAsia" w:eastAsia="宋体"/>
          <w:szCs w:val="21"/>
          <w:lang w:val="en-US" w:eastAsia="zh-CN"/>
        </w:rPr>
        <w:t xml:space="preserve"> </w:t>
      </w:r>
      <w:r>
        <w:rPr>
          <w:rFonts w:hint="eastAsia"/>
          <w:szCs w:val="21"/>
          <w:lang w:val="en-US" w:eastAsia="zh-CN"/>
        </w:rPr>
        <w:t>SSB muting</w:t>
      </w:r>
      <w:r>
        <w:rPr>
          <w:rFonts w:hint="eastAsia" w:eastAsia="宋体"/>
          <w:szCs w:val="21"/>
          <w:lang w:val="en-US" w:eastAsia="zh-CN"/>
        </w:rPr>
        <w:t xml:space="preserve"> configuration is beneficial to UE power saving when large period SSB is used.</w:t>
      </w:r>
      <w:bookmarkEnd w:id="9"/>
      <w:bookmarkEnd w:id="10"/>
      <w:bookmarkEnd w:id="11"/>
      <w:bookmarkEnd w:id="12"/>
      <w:bookmarkEnd w:id="13"/>
      <w:bookmarkEnd w:id="14"/>
    </w:p>
    <w:p>
      <w:pPr>
        <w:spacing w:before="120" w:after="120" w:line="260" w:lineRule="auto"/>
        <w:rPr>
          <w:szCs w:val="21"/>
        </w:rPr>
      </w:pPr>
      <w:r>
        <w:rPr>
          <w:rFonts w:hint="eastAsia"/>
          <w:szCs w:val="21"/>
        </w:rPr>
        <w:t xml:space="preserve">In addition, the combination of </w:t>
      </w:r>
      <w:r>
        <w:rPr>
          <w:szCs w:val="21"/>
        </w:rPr>
        <w:t>larger</w:t>
      </w:r>
      <w:r>
        <w:rPr>
          <w:rFonts w:hint="eastAsia"/>
          <w:szCs w:val="21"/>
        </w:rPr>
        <w:t xml:space="preserve"> SSB period and </w:t>
      </w:r>
      <w:r>
        <w:rPr>
          <w:szCs w:val="21"/>
        </w:rPr>
        <w:t xml:space="preserve">sparse </w:t>
      </w:r>
      <w:r>
        <w:rPr>
          <w:rFonts w:hint="eastAsia"/>
          <w:szCs w:val="21"/>
        </w:rPr>
        <w:t>synchronization raster c</w:t>
      </w:r>
      <w:r>
        <w:rPr>
          <w:szCs w:val="21"/>
        </w:rPr>
        <w:t xml:space="preserve">an </w:t>
      </w:r>
      <w:r>
        <w:rPr>
          <w:rFonts w:hint="eastAsia"/>
          <w:szCs w:val="21"/>
        </w:rPr>
        <w:t xml:space="preserve">help reduce the detection delay caused by blind SSB detection, which can also be considered in 6GR. </w:t>
      </w:r>
    </w:p>
    <w:p>
      <w:pPr>
        <w:spacing w:before="120" w:after="120" w:line="260" w:lineRule="auto"/>
        <w:rPr>
          <w:szCs w:val="21"/>
        </w:rPr>
      </w:pPr>
      <w:r>
        <w:rPr>
          <w:rFonts w:hint="eastAsia"/>
          <w:szCs w:val="21"/>
        </w:rPr>
        <w:t>Besides, to increase successful</w:t>
      </w:r>
      <w:r>
        <w:rPr>
          <w:szCs w:val="21"/>
        </w:rPr>
        <w:t xml:space="preserve"> detection</w:t>
      </w:r>
      <w:r>
        <w:rPr>
          <w:rFonts w:hint="eastAsia"/>
          <w:szCs w:val="21"/>
        </w:rPr>
        <w:t xml:space="preserve"> probability </w:t>
      </w:r>
      <w:r>
        <w:rPr>
          <w:szCs w:val="21"/>
        </w:rPr>
        <w:t xml:space="preserve">of </w:t>
      </w:r>
      <w:r>
        <w:rPr>
          <w:rFonts w:hint="eastAsia"/>
          <w:szCs w:val="21"/>
        </w:rPr>
        <w:t xml:space="preserve">SSB and reduce the delay, </w:t>
      </w:r>
      <w:r>
        <w:rPr>
          <w:szCs w:val="21"/>
        </w:rPr>
        <w:t>a</w:t>
      </w:r>
      <w:r>
        <w:rPr>
          <w:rFonts w:hint="eastAsia"/>
          <w:szCs w:val="21"/>
        </w:rPr>
        <w:t xml:space="preserve"> centralized SSB structure can be considered. For example, one SSB period includes multiple SSB burst. </w:t>
      </w:r>
    </w:p>
    <w:p>
      <w:pPr>
        <w:pStyle w:val="62"/>
        <w:spacing w:before="120" w:after="120"/>
        <w:rPr>
          <w:lang w:val="en-US" w:eastAsia="zh-CN"/>
        </w:rPr>
      </w:pPr>
      <w:r>
        <w:rPr>
          <w:rFonts w:hint="eastAsia"/>
          <w:b w:val="0"/>
          <w:bCs w:val="0"/>
          <w:lang w:val="en-US" w:eastAsia="zh-CN"/>
        </w:rPr>
        <w:t xml:space="preserve">  </w:t>
      </w:r>
      <w:bookmarkStart w:id="15" w:name="_Toc1164820387"/>
      <w:bookmarkStart w:id="16" w:name="_Toc1294407273"/>
      <w:bookmarkStart w:id="17" w:name="_Toc1961616100"/>
      <w:bookmarkStart w:id="18" w:name="_Toc921213809"/>
      <w:bookmarkStart w:id="19" w:name="_Toc31279"/>
      <w:bookmarkStart w:id="20" w:name="_Toc261051481"/>
      <w:bookmarkStart w:id="21" w:name="_Toc2620"/>
      <w:r>
        <w:rPr>
          <w:rFonts w:hint="eastAsia"/>
          <w:lang w:val="en-US" w:eastAsia="zh-CN"/>
        </w:rPr>
        <w:t>The SSB with large period, such as 160ms for idle/inactive mode, 640ms maximum period should be considered in 6GR</w:t>
      </w:r>
      <w:r>
        <w:rPr>
          <w:lang w:val="en-US" w:eastAsia="zh-CN"/>
        </w:rPr>
        <w:t>, with</w:t>
      </w:r>
      <w:bookmarkEnd w:id="15"/>
      <w:bookmarkEnd w:id="16"/>
      <w:bookmarkEnd w:id="17"/>
      <w:bookmarkEnd w:id="18"/>
      <w:bookmarkEnd w:id="19"/>
      <w:r>
        <w:rPr>
          <w:lang w:val="en-US" w:eastAsia="zh-CN"/>
        </w:rPr>
        <w:t xml:space="preserve"> the potential impact to be studied.</w:t>
      </w:r>
      <w:bookmarkEnd w:id="20"/>
      <w:bookmarkEnd w:id="21"/>
    </w:p>
    <w:p>
      <w:pPr>
        <w:spacing w:before="120" w:after="120" w:line="260" w:lineRule="auto"/>
        <w:rPr>
          <w:szCs w:val="21"/>
        </w:rPr>
      </w:pPr>
      <w:r>
        <w:rPr>
          <w:rFonts w:hint="eastAsia"/>
          <w:szCs w:val="21"/>
        </w:rPr>
        <w:t>SSBs can be used for measurement, synchronization, and AGC adjustment to ensure system performance. However, UEs have different SSB requirements in different scenarios. A fixed set of SSB configurations cannot be applicable to all scenarios. Therefore, it</w:t>
      </w:r>
      <w:r>
        <w:rPr>
          <w:szCs w:val="21"/>
        </w:rPr>
        <w:t>’</w:t>
      </w:r>
      <w:r>
        <w:rPr>
          <w:rFonts w:hint="eastAsia"/>
          <w:szCs w:val="21"/>
        </w:rPr>
        <w:t xml:space="preserve">s better for the 6G network to support multiple SSB configurations and allow SSB adaptation. Through SSB adaptation, the network can indicate different SSB configurations under different conditions, </w:t>
      </w:r>
      <w:r>
        <w:rPr>
          <w:szCs w:val="21"/>
        </w:rPr>
        <w:t>e.g.</w:t>
      </w:r>
      <w:r>
        <w:rPr>
          <w:rFonts w:hint="eastAsia"/>
          <w:szCs w:val="21"/>
        </w:rPr>
        <w:t>, different channel conditions or different load conditions, thus achieving a compromise between energy saving effect and system performance.</w:t>
      </w:r>
    </w:p>
    <w:p>
      <w:pPr>
        <w:spacing w:before="120" w:after="120" w:line="260" w:lineRule="auto"/>
        <w:rPr>
          <w:szCs w:val="21"/>
        </w:rPr>
      </w:pPr>
      <w:r>
        <w:rPr>
          <w:rFonts w:hint="eastAsia"/>
          <w:szCs w:val="21"/>
        </w:rPr>
        <w:t xml:space="preserve">In Rel-19, the SSB adaptation in time domain is discussed for NES. However, the scheme is limited to NCD SSB on the SCell. As a result, the probability of SSB adaptation being used is greatly reduced, and the </w:t>
      </w:r>
      <w:r>
        <w:rPr>
          <w:szCs w:val="21"/>
        </w:rPr>
        <w:t>expected</w:t>
      </w:r>
      <w:r>
        <w:rPr>
          <w:rFonts w:hint="eastAsia"/>
          <w:szCs w:val="21"/>
        </w:rPr>
        <w:t xml:space="preserve"> energy saving gain cannot be obtained. For 6GR, the SSB adaptation scheme </w:t>
      </w:r>
      <w:r>
        <w:rPr>
          <w:szCs w:val="21"/>
        </w:rPr>
        <w:t>should be applied to</w:t>
      </w:r>
      <w:r>
        <w:rPr>
          <w:rFonts w:hint="eastAsia"/>
          <w:szCs w:val="21"/>
        </w:rPr>
        <w:t xml:space="preserve"> more application scenarios.</w:t>
      </w:r>
    </w:p>
    <w:p>
      <w:pPr>
        <w:spacing w:before="120" w:after="120" w:line="260" w:lineRule="auto"/>
        <w:rPr>
          <w:szCs w:val="21"/>
        </w:rPr>
      </w:pPr>
      <w:r>
        <w:rPr>
          <w:szCs w:val="21"/>
        </w:rPr>
        <w:t>Therefore, i</w:t>
      </w:r>
      <w:r>
        <w:rPr>
          <w:rFonts w:hint="eastAsia"/>
          <w:szCs w:val="21"/>
        </w:rPr>
        <w:t>n 6GR, the SSB adaptation can also be supported on the PCell. In addition, except for the period, more parameters in SSB configurations should be allowed to be adapted</w:t>
      </w:r>
      <w:r>
        <w:rPr>
          <w:szCs w:val="21"/>
        </w:rPr>
        <w:t>, e.g.,</w:t>
      </w:r>
      <w:r>
        <w:rPr>
          <w:rFonts w:hint="eastAsia"/>
          <w:szCs w:val="21"/>
        </w:rPr>
        <w:t xml:space="preserve"> the actual transmitted SSBs within an SSB burst.</w:t>
      </w:r>
    </w:p>
    <w:p>
      <w:pPr>
        <w:pStyle w:val="62"/>
        <w:spacing w:before="120" w:after="120"/>
        <w:rPr>
          <w:szCs w:val="21"/>
          <w:lang w:val="en-US" w:eastAsia="zh-CN"/>
        </w:rPr>
      </w:pPr>
      <w:bookmarkStart w:id="22" w:name="_Toc170871777"/>
      <w:bookmarkStart w:id="23" w:name="_Toc3996"/>
      <w:bookmarkStart w:id="24" w:name="_Toc1564597567"/>
      <w:bookmarkStart w:id="25" w:name="_Toc1777132086"/>
      <w:bookmarkStart w:id="26" w:name="_Toc1998697987"/>
      <w:bookmarkStart w:id="27" w:name="_Toc2511"/>
      <w:bookmarkStart w:id="28" w:name="_Toc1474573688"/>
      <w:bookmarkStart w:id="29" w:name="_Toc7608"/>
      <w:r>
        <w:rPr>
          <w:rFonts w:hint="eastAsia"/>
          <w:szCs w:val="21"/>
          <w:lang w:val="en-US" w:eastAsia="zh-CN"/>
        </w:rPr>
        <w:t>SSB adaptation in PCell and S</w:t>
      </w:r>
      <w:r>
        <w:rPr>
          <w:szCs w:val="21"/>
          <w:lang w:val="en-US" w:eastAsia="zh-CN"/>
        </w:rPr>
        <w:t>C</w:t>
      </w:r>
      <w:r>
        <w:rPr>
          <w:rFonts w:hint="eastAsia"/>
          <w:szCs w:val="21"/>
          <w:lang w:val="en-US" w:eastAsia="zh-CN"/>
        </w:rPr>
        <w:t xml:space="preserve">ell should be </w:t>
      </w:r>
      <w:r>
        <w:rPr>
          <w:rFonts w:hint="eastAsia"/>
          <w:sz w:val="21"/>
          <w:szCs w:val="21"/>
          <w:lang w:val="en-US" w:eastAsia="zh-CN"/>
        </w:rPr>
        <w:t>consider</w:t>
      </w:r>
      <w:r>
        <w:rPr>
          <w:rFonts w:hint="eastAsia"/>
          <w:szCs w:val="21"/>
          <w:lang w:val="en-US" w:eastAsia="zh-CN"/>
        </w:rPr>
        <w:t>ed.</w:t>
      </w:r>
      <w:bookmarkEnd w:id="22"/>
      <w:bookmarkEnd w:id="23"/>
      <w:bookmarkEnd w:id="24"/>
      <w:bookmarkEnd w:id="25"/>
      <w:bookmarkEnd w:id="26"/>
      <w:bookmarkEnd w:id="27"/>
      <w:bookmarkEnd w:id="28"/>
      <w:bookmarkEnd w:id="29"/>
    </w:p>
    <w:p>
      <w:pPr>
        <w:spacing w:before="120" w:after="120" w:line="260" w:lineRule="auto"/>
        <w:rPr>
          <w:szCs w:val="21"/>
        </w:rPr>
      </w:pPr>
      <w:r>
        <w:rPr>
          <w:rFonts w:hint="eastAsia"/>
          <w:szCs w:val="21"/>
        </w:rPr>
        <w:t>In NR, the PSS, SSS and PBCH are bundled as a</w:t>
      </w:r>
      <w:r>
        <w:rPr>
          <w:szCs w:val="21"/>
        </w:rPr>
        <w:t>n</w:t>
      </w:r>
      <w:r>
        <w:rPr>
          <w:rFonts w:hint="eastAsia"/>
          <w:szCs w:val="21"/>
        </w:rPr>
        <w:t xml:space="preserve"> SSB. That is, the synchronization signals and PBCH are always transmitted simultaneously. However, the information carried by PBCH doesn</w:t>
      </w:r>
      <w:r>
        <w:rPr>
          <w:szCs w:val="21"/>
        </w:rPr>
        <w:t>’</w:t>
      </w:r>
      <w:r>
        <w:rPr>
          <w:rFonts w:hint="eastAsia"/>
          <w:szCs w:val="21"/>
        </w:rPr>
        <w:t xml:space="preserve">t need frequent update. </w:t>
      </w:r>
      <w:r>
        <w:rPr>
          <w:szCs w:val="21"/>
        </w:rPr>
        <w:t xml:space="preserve">The </w:t>
      </w:r>
      <w:r>
        <w:rPr>
          <w:rFonts w:hint="eastAsia"/>
          <w:szCs w:val="21"/>
        </w:rPr>
        <w:t>PBCH</w:t>
      </w:r>
      <w:r>
        <w:rPr>
          <w:szCs w:val="21"/>
        </w:rPr>
        <w:t xml:space="preserve"> transmission with </w:t>
      </w:r>
      <w:r>
        <w:rPr>
          <w:rFonts w:hint="eastAsia"/>
          <w:szCs w:val="21"/>
        </w:rPr>
        <w:t>the same period</w:t>
      </w:r>
      <w:r>
        <w:rPr>
          <w:szCs w:val="21"/>
        </w:rPr>
        <w:t xml:space="preserve"> as PSS/SS</w:t>
      </w:r>
      <w:r>
        <w:rPr>
          <w:rFonts w:hint="eastAsia"/>
          <w:szCs w:val="21"/>
        </w:rPr>
        <w:t xml:space="preserve"> increases the power consumption of base stations.</w:t>
      </w:r>
    </w:p>
    <w:p>
      <w:pPr>
        <w:pStyle w:val="61"/>
        <w:spacing w:before="120" w:after="120"/>
        <w:rPr>
          <w:szCs w:val="21"/>
        </w:rPr>
      </w:pPr>
      <w:bookmarkStart w:id="30" w:name="_Toc529187510"/>
      <w:bookmarkStart w:id="31" w:name="_Toc523"/>
      <w:bookmarkStart w:id="32" w:name="_Toc723285056"/>
      <w:bookmarkStart w:id="33" w:name="_Toc30356"/>
      <w:bookmarkStart w:id="34" w:name="_Toc19118"/>
      <w:bookmarkStart w:id="35" w:name="_Toc1719810481"/>
      <w:r>
        <w:rPr>
          <w:rFonts w:hint="eastAsia"/>
          <w:szCs w:val="21"/>
        </w:rPr>
        <w:t>PSS, SSS, and PBCH have different periodic requirements.</w:t>
      </w:r>
      <w:bookmarkEnd w:id="30"/>
      <w:bookmarkEnd w:id="31"/>
      <w:bookmarkEnd w:id="32"/>
      <w:bookmarkEnd w:id="33"/>
      <w:bookmarkEnd w:id="34"/>
      <w:bookmarkEnd w:id="35"/>
    </w:p>
    <w:p>
      <w:pPr>
        <w:spacing w:before="120" w:after="120" w:line="260" w:lineRule="auto"/>
        <w:rPr>
          <w:szCs w:val="21"/>
        </w:rPr>
      </w:pPr>
      <w:r>
        <w:rPr>
          <w:rFonts w:hint="eastAsia"/>
          <w:szCs w:val="21"/>
        </w:rPr>
        <w:t xml:space="preserve">Therefore, SSB decoupling can be considered in 6GR. For example, in some configurations, the SSB only comprises PSS and SSS, </w:t>
      </w:r>
      <w:r>
        <w:rPr>
          <w:szCs w:val="21"/>
        </w:rPr>
        <w:t xml:space="preserve">while </w:t>
      </w:r>
      <w:r>
        <w:rPr>
          <w:rFonts w:hint="eastAsia"/>
          <w:szCs w:val="21"/>
        </w:rPr>
        <w:t xml:space="preserve">the PBCH is not transmitted. As shown in Figure 4, more than one set of SSB configurations can be activated simultaneously, </w:t>
      </w:r>
      <w:r>
        <w:rPr>
          <w:szCs w:val="21"/>
        </w:rPr>
        <w:t>where</w:t>
      </w:r>
      <w:r>
        <w:rPr>
          <w:rFonts w:hint="eastAsia"/>
          <w:szCs w:val="21"/>
        </w:rPr>
        <w:t xml:space="preserve"> SSB configuration 1 contains a normal SSB (e.g., PSS,</w:t>
      </w:r>
      <w:r>
        <w:rPr>
          <w:szCs w:val="21"/>
        </w:rPr>
        <w:t xml:space="preserve"> </w:t>
      </w:r>
      <w:r>
        <w:rPr>
          <w:rFonts w:hint="eastAsia"/>
          <w:szCs w:val="21"/>
        </w:rPr>
        <w:t xml:space="preserve">SSS and PBCH) with period 1, SSB configuration 2 contains a decoupled SSB (e.g., PSS and SSS) with a period 2. </w:t>
      </w:r>
    </w:p>
    <w:p>
      <w:pPr>
        <w:spacing w:before="120" w:after="120" w:line="260" w:lineRule="auto"/>
        <w:jc w:val="center"/>
        <w:rPr>
          <w:szCs w:val="21"/>
        </w:rPr>
      </w:pPr>
      <w:r>
        <w:drawing>
          <wp:inline distT="0" distB="0" distL="114300" distR="114300">
            <wp:extent cx="3909060" cy="845820"/>
            <wp:effectExtent l="0" t="0" r="7620" b="762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3909060" cy="845820"/>
                    </a:xfrm>
                    <a:prstGeom prst="rect">
                      <a:avLst/>
                    </a:prstGeom>
                    <a:noFill/>
                    <a:ln>
                      <a:noFill/>
                    </a:ln>
                  </pic:spPr>
                </pic:pic>
              </a:graphicData>
            </a:graphic>
          </wp:inline>
        </w:drawing>
      </w:r>
    </w:p>
    <w:p>
      <w:pPr>
        <w:spacing w:before="120" w:after="120" w:line="260" w:lineRule="auto"/>
        <w:jc w:val="center"/>
        <w:rPr>
          <w:szCs w:val="21"/>
        </w:rPr>
      </w:pPr>
      <w:r>
        <w:rPr>
          <w:rFonts w:hint="eastAsia"/>
          <w:szCs w:val="21"/>
        </w:rPr>
        <w:t xml:space="preserve">Figure 4. </w:t>
      </w:r>
      <w:r>
        <w:rPr>
          <w:szCs w:val="21"/>
        </w:rPr>
        <w:t>E</w:t>
      </w:r>
      <w:r>
        <w:rPr>
          <w:rFonts w:hint="eastAsia"/>
          <w:szCs w:val="21"/>
        </w:rPr>
        <w:t xml:space="preserve">xample </w:t>
      </w:r>
      <w:r>
        <w:rPr>
          <w:szCs w:val="21"/>
        </w:rPr>
        <w:t>of</w:t>
      </w:r>
      <w:r>
        <w:rPr>
          <w:rFonts w:hint="eastAsia"/>
          <w:szCs w:val="21"/>
        </w:rPr>
        <w:t xml:space="preserve"> SSB decoupling</w:t>
      </w:r>
    </w:p>
    <w:p>
      <w:pPr>
        <w:spacing w:before="120" w:after="120" w:line="260" w:lineRule="auto"/>
        <w:rPr>
          <w:szCs w:val="21"/>
        </w:rPr>
      </w:pPr>
      <w:r>
        <w:rPr>
          <w:rFonts w:hint="eastAsia"/>
          <w:szCs w:val="21"/>
        </w:rPr>
        <w:t>In this way, the UE can obtain the synchronization signals timely and detect the PBCH when needed.</w:t>
      </w:r>
    </w:p>
    <w:p>
      <w:pPr>
        <w:pStyle w:val="62"/>
        <w:spacing w:before="120" w:after="120"/>
        <w:rPr>
          <w:szCs w:val="21"/>
          <w:lang w:val="en-US" w:eastAsia="zh-CN"/>
        </w:rPr>
      </w:pPr>
      <w:bookmarkStart w:id="36" w:name="_Toc8925"/>
      <w:bookmarkStart w:id="37" w:name="_Toc1689739565"/>
      <w:bookmarkStart w:id="38" w:name="_Toc1660193847"/>
      <w:bookmarkStart w:id="39" w:name="_Toc2083"/>
      <w:bookmarkStart w:id="40" w:name="_Toc1995491884"/>
      <w:bookmarkStart w:id="41" w:name="_Toc571990072"/>
      <w:bookmarkStart w:id="42" w:name="_Toc2138224878"/>
      <w:bookmarkStart w:id="43" w:name="_Toc2570"/>
      <w:r>
        <w:rPr>
          <w:rFonts w:hint="eastAsia"/>
          <w:szCs w:val="21"/>
          <w:lang w:val="en-US" w:eastAsia="zh-CN"/>
        </w:rPr>
        <w:t xml:space="preserve">SSB decoupling can be </w:t>
      </w:r>
      <w:r>
        <w:rPr>
          <w:rFonts w:hint="eastAsia"/>
          <w:sz w:val="21"/>
          <w:szCs w:val="21"/>
          <w:lang w:val="en-US" w:eastAsia="zh-CN"/>
        </w:rPr>
        <w:t>consider</w:t>
      </w:r>
      <w:r>
        <w:rPr>
          <w:rFonts w:hint="eastAsia"/>
          <w:szCs w:val="21"/>
          <w:lang w:val="en-US" w:eastAsia="zh-CN"/>
        </w:rPr>
        <w:t>ed in 6GR.</w:t>
      </w:r>
      <w:bookmarkEnd w:id="36"/>
      <w:bookmarkEnd w:id="37"/>
      <w:bookmarkEnd w:id="38"/>
      <w:bookmarkEnd w:id="39"/>
      <w:bookmarkEnd w:id="40"/>
      <w:bookmarkEnd w:id="41"/>
      <w:bookmarkEnd w:id="42"/>
      <w:bookmarkEnd w:id="43"/>
    </w:p>
    <w:p>
      <w:pPr>
        <w:numPr>
          <w:ilvl w:val="255"/>
          <w:numId w:val="0"/>
        </w:numPr>
        <w:spacing w:before="120" w:after="120" w:line="260" w:lineRule="auto"/>
        <w:rPr>
          <w:szCs w:val="21"/>
        </w:rPr>
      </w:pPr>
      <w:r>
        <w:rPr>
          <w:szCs w:val="21"/>
        </w:rPr>
        <w:t xml:space="preserve">AI-based beam prediction was specified in Rel-19 for UEs in RRC-CONNECTED mode. With the help of AI, the CSI-RS resources transmitted by the base station for beam tracking reduced a lot, which in turn helps the base station and UE to reduce energy. In 6G, the AI-based beam prediction can be extended to UEs in RRC-IDLE model during the initial access procedure. In this case, base station can transmit a subset of the SSBs to the UE (i.e., Set B), the AI model at UE side can perform inference and derive the best SSB among the full set of SSBs (i.e., Set A). Then, UE can select the corresponding RACH occasion based on the predicted SSB. </w:t>
      </w:r>
    </w:p>
    <w:p>
      <w:pPr>
        <w:pStyle w:val="62"/>
        <w:spacing w:before="120" w:after="120"/>
        <w:rPr>
          <w:szCs w:val="21"/>
          <w:lang w:val="en-US" w:eastAsia="zh-CN"/>
        </w:rPr>
      </w:pPr>
      <w:bookmarkStart w:id="44" w:name="_Toc15282"/>
      <w:bookmarkStart w:id="45" w:name="_Toc34208311"/>
      <w:bookmarkStart w:id="46" w:name="_Toc1404650787"/>
      <w:bookmarkStart w:id="47" w:name="_Toc146859190"/>
      <w:bookmarkStart w:id="48" w:name="_Toc328185172"/>
      <w:bookmarkStart w:id="49" w:name="_Toc25414"/>
      <w:bookmarkStart w:id="50" w:name="_Toc1463759056"/>
      <w:r>
        <w:rPr>
          <w:szCs w:val="21"/>
          <w:lang w:val="en-US" w:eastAsia="zh-CN"/>
        </w:rPr>
        <w:t>AI-based SSB prediction for random access can be considered in 6GR</w:t>
      </w:r>
      <w:r>
        <w:rPr>
          <w:rFonts w:hint="eastAsia"/>
          <w:szCs w:val="21"/>
          <w:lang w:val="en-US" w:eastAsia="zh-CN"/>
        </w:rPr>
        <w:t>.</w:t>
      </w:r>
      <w:bookmarkEnd w:id="44"/>
      <w:bookmarkEnd w:id="45"/>
      <w:bookmarkEnd w:id="46"/>
      <w:bookmarkEnd w:id="47"/>
      <w:bookmarkEnd w:id="48"/>
      <w:bookmarkEnd w:id="49"/>
      <w:bookmarkEnd w:id="50"/>
    </w:p>
    <w:p>
      <w:pPr>
        <w:pStyle w:val="62"/>
        <w:numPr>
          <w:ilvl w:val="255"/>
          <w:numId w:val="0"/>
        </w:numPr>
        <w:spacing w:before="120" w:after="120" w:line="240" w:lineRule="auto"/>
        <w:rPr>
          <w:szCs w:val="21"/>
        </w:rPr>
      </w:pPr>
    </w:p>
    <w:p>
      <w:pPr>
        <w:numPr>
          <w:ilvl w:val="0"/>
          <w:numId w:val="5"/>
        </w:numPr>
        <w:spacing w:before="120" w:after="120" w:line="260" w:lineRule="auto"/>
        <w:rPr>
          <w:szCs w:val="21"/>
        </w:rPr>
      </w:pPr>
      <w:r>
        <w:rPr>
          <w:rFonts w:hint="eastAsia"/>
          <w:b/>
          <w:bCs/>
          <w:szCs w:val="21"/>
        </w:rPr>
        <w:t>Paging</w:t>
      </w:r>
    </w:p>
    <w:p>
      <w:pPr>
        <w:spacing w:before="120" w:after="120" w:line="260" w:lineRule="auto"/>
        <w:rPr>
          <w:szCs w:val="21"/>
        </w:rPr>
      </w:pPr>
      <w:r>
        <w:rPr>
          <w:szCs w:val="21"/>
        </w:rPr>
        <w:t xml:space="preserve">Within a paging </w:t>
      </w:r>
      <w:r>
        <w:rPr>
          <w:rFonts w:hint="eastAsia"/>
          <w:szCs w:val="21"/>
        </w:rPr>
        <w:t>cycle</w:t>
      </w:r>
      <w:r>
        <w:rPr>
          <w:szCs w:val="21"/>
        </w:rPr>
        <w:t xml:space="preserve">, </w:t>
      </w:r>
      <w:r>
        <w:rPr>
          <w:rFonts w:hint="eastAsia"/>
          <w:szCs w:val="21"/>
        </w:rPr>
        <w:t>the PO</w:t>
      </w:r>
      <w:r>
        <w:rPr>
          <w:szCs w:val="21"/>
        </w:rPr>
        <w:t xml:space="preserve"> distribution depends on the number of paging frames and the number of PO</w:t>
      </w:r>
      <w:r>
        <w:rPr>
          <w:rFonts w:hint="eastAsia"/>
          <w:szCs w:val="21"/>
        </w:rPr>
        <w:t>s</w:t>
      </w:r>
      <w:r>
        <w:rPr>
          <w:szCs w:val="21"/>
        </w:rPr>
        <w:t xml:space="preserve"> contained in a paging frame.</w:t>
      </w:r>
      <w:r>
        <w:rPr>
          <w:rFonts w:hint="eastAsia"/>
          <w:szCs w:val="21"/>
        </w:rPr>
        <w:t xml:space="preserve"> </w:t>
      </w:r>
      <w:r>
        <w:rPr>
          <w:szCs w:val="21"/>
        </w:rPr>
        <w:t>The base station transmits the paging</w:t>
      </w:r>
      <w:r>
        <w:rPr>
          <w:rFonts w:hint="eastAsia"/>
          <w:szCs w:val="21"/>
        </w:rPr>
        <w:t xml:space="preserve"> related</w:t>
      </w:r>
      <w:r>
        <w:rPr>
          <w:szCs w:val="21"/>
        </w:rPr>
        <w:t xml:space="preserve"> information</w:t>
      </w:r>
      <w:r>
        <w:rPr>
          <w:rFonts w:hint="eastAsia"/>
          <w:szCs w:val="21"/>
        </w:rPr>
        <w:t xml:space="preserve"> </w:t>
      </w:r>
      <w:r>
        <w:rPr>
          <w:szCs w:val="21"/>
        </w:rPr>
        <w:t>on the PO.</w:t>
      </w:r>
      <w:r>
        <w:rPr>
          <w:rFonts w:hint="eastAsia"/>
          <w:szCs w:val="21"/>
        </w:rPr>
        <w:t xml:space="preserve"> In NR, the PFs are uniformly distributed within the paging cycle, which leads to a further reduction in the number of the </w:t>
      </w:r>
      <w:r>
        <w:rPr>
          <w:szCs w:val="21"/>
        </w:rPr>
        <w:t>consecutive</w:t>
      </w:r>
      <w:r>
        <w:rPr>
          <w:rFonts w:hint="eastAsia"/>
          <w:szCs w:val="21"/>
        </w:rPr>
        <w:t xml:space="preserve"> idle slot. In Rel-19, PO enhancement is discussed and more POs </w:t>
      </w:r>
      <w:r>
        <w:rPr>
          <w:szCs w:val="21"/>
        </w:rPr>
        <w:t>i</w:t>
      </w:r>
      <w:r>
        <w:rPr>
          <w:rFonts w:hint="eastAsia"/>
          <w:szCs w:val="21"/>
        </w:rPr>
        <w:t xml:space="preserve">n one PF are supported. </w:t>
      </w:r>
    </w:p>
    <w:p>
      <w:pPr>
        <w:spacing w:before="120" w:after="120" w:line="260" w:lineRule="auto"/>
      </w:pPr>
      <w:r>
        <w:rPr>
          <w:szCs w:val="21"/>
        </w:rPr>
        <w:t>In previous release, whether to support dynamic PO adaptation was discussed without consensus. As the BS sleep period depends on the transmission occasion of common signal, a concentrated configuration of common signal/channel is more beneficial to BS energy saving. I</w:t>
      </w:r>
      <w:r>
        <w:rPr>
          <w:rFonts w:hint="eastAsia"/>
          <w:szCs w:val="21"/>
        </w:rPr>
        <w:t xml:space="preserve">f dynamic SSB period </w:t>
      </w:r>
      <w:r>
        <w:rPr>
          <w:szCs w:val="21"/>
        </w:rPr>
        <w:t>adaptation</w:t>
      </w:r>
      <w:r>
        <w:rPr>
          <w:rFonts w:hint="eastAsia"/>
          <w:szCs w:val="21"/>
        </w:rPr>
        <w:t xml:space="preserve"> </w:t>
      </w:r>
      <w:r>
        <w:rPr>
          <w:szCs w:val="21"/>
        </w:rPr>
        <w:t>is</w:t>
      </w:r>
      <w:r>
        <w:rPr>
          <w:rFonts w:hint="eastAsia"/>
          <w:szCs w:val="21"/>
        </w:rPr>
        <w:t xml:space="preserve"> not supported, the </w:t>
      </w:r>
      <w:r>
        <w:rPr>
          <w:szCs w:val="21"/>
        </w:rPr>
        <w:t>needs</w:t>
      </w:r>
      <w:r>
        <w:rPr>
          <w:rFonts w:hint="eastAsia"/>
          <w:szCs w:val="21"/>
        </w:rPr>
        <w:t xml:space="preserve"> of dynamic PO change</w:t>
      </w:r>
      <w:r>
        <w:rPr>
          <w:szCs w:val="21"/>
        </w:rPr>
        <w:t xml:space="preserve"> are unclear</w:t>
      </w:r>
      <w:r>
        <w:rPr>
          <w:rFonts w:hint="eastAsia"/>
          <w:szCs w:val="21"/>
        </w:rPr>
        <w:t>.</w:t>
      </w:r>
      <w:r>
        <w:rPr>
          <w:szCs w:val="21"/>
        </w:rPr>
        <w:t xml:space="preserve"> </w:t>
      </w:r>
      <w:r>
        <w:rPr>
          <w:rFonts w:hint="eastAsia"/>
          <w:szCs w:val="21"/>
        </w:rPr>
        <w:t>I</w:t>
      </w:r>
      <w:r>
        <w:rPr>
          <w:szCs w:val="21"/>
        </w:rPr>
        <w:t>n the contrast, if SSB transmission can be dynamic adapted, it is more energy efficient to update the PO configuration.</w:t>
      </w:r>
    </w:p>
    <w:p>
      <w:pPr>
        <w:pStyle w:val="61"/>
        <w:spacing w:before="120" w:after="120" w:line="260" w:lineRule="auto"/>
        <w:rPr>
          <w:szCs w:val="21"/>
        </w:rPr>
      </w:pPr>
      <w:bookmarkStart w:id="51" w:name="_Toc4024"/>
      <w:bookmarkStart w:id="52" w:name="_Toc310923517"/>
      <w:bookmarkStart w:id="53" w:name="_Toc1887762195"/>
      <w:bookmarkStart w:id="54" w:name="_Toc22630"/>
      <w:bookmarkStart w:id="55" w:name="_Toc1747592270"/>
      <w:r>
        <w:rPr>
          <w:rFonts w:hint="eastAsia"/>
          <w:szCs w:val="21"/>
          <w:lang w:val="en-US" w:eastAsia="zh-CN"/>
        </w:rPr>
        <w:t xml:space="preserve">If dynamic SSB period </w:t>
      </w:r>
      <w:r>
        <w:rPr>
          <w:szCs w:val="21"/>
          <w:lang w:val="en-US" w:eastAsia="zh-CN"/>
        </w:rPr>
        <w:t>adaptation</w:t>
      </w:r>
      <w:r>
        <w:rPr>
          <w:rFonts w:hint="eastAsia"/>
          <w:szCs w:val="21"/>
          <w:lang w:val="en-US" w:eastAsia="zh-CN"/>
        </w:rPr>
        <w:t xml:space="preserve"> </w:t>
      </w:r>
      <w:r>
        <w:rPr>
          <w:szCs w:val="21"/>
          <w:lang w:val="en-US" w:eastAsia="zh-CN"/>
        </w:rPr>
        <w:t>is</w:t>
      </w:r>
      <w:r>
        <w:rPr>
          <w:rFonts w:hint="eastAsia"/>
          <w:szCs w:val="21"/>
          <w:lang w:val="en-US" w:eastAsia="zh-CN"/>
        </w:rPr>
        <w:t xml:space="preserve"> not supported, the </w:t>
      </w:r>
      <w:r>
        <w:rPr>
          <w:szCs w:val="21"/>
          <w:lang w:val="en-US" w:eastAsia="zh-CN"/>
        </w:rPr>
        <w:t>need</w:t>
      </w:r>
      <w:r>
        <w:rPr>
          <w:rFonts w:hint="eastAsia"/>
          <w:szCs w:val="21"/>
          <w:lang w:val="en-US" w:eastAsia="zh-CN"/>
        </w:rPr>
        <w:t xml:space="preserve"> of dynamic PO chang</w:t>
      </w:r>
      <w:r>
        <w:rPr>
          <w:szCs w:val="21"/>
          <w:lang w:val="en-US" w:eastAsia="zh-CN"/>
        </w:rPr>
        <w:t>e</w:t>
      </w:r>
      <w:r>
        <w:rPr>
          <w:rFonts w:hint="eastAsia"/>
          <w:szCs w:val="21"/>
          <w:lang w:val="en-US" w:eastAsia="zh-CN"/>
        </w:rPr>
        <w:t xml:space="preserve"> </w:t>
      </w:r>
      <w:r>
        <w:rPr>
          <w:szCs w:val="21"/>
          <w:lang w:val="en-US" w:eastAsia="zh-CN"/>
        </w:rPr>
        <w:t>is unclear</w:t>
      </w:r>
      <w:r>
        <w:rPr>
          <w:rFonts w:hint="eastAsia"/>
          <w:szCs w:val="21"/>
        </w:rPr>
        <w:t>.</w:t>
      </w:r>
      <w:bookmarkEnd w:id="51"/>
      <w:bookmarkEnd w:id="52"/>
      <w:bookmarkEnd w:id="53"/>
      <w:bookmarkEnd w:id="54"/>
      <w:bookmarkEnd w:id="55"/>
    </w:p>
    <w:p>
      <w:pPr>
        <w:pStyle w:val="62"/>
        <w:spacing w:before="120" w:after="120"/>
        <w:rPr>
          <w:szCs w:val="21"/>
          <w:lang w:val="en-US" w:eastAsia="zh-CN"/>
        </w:rPr>
      </w:pPr>
      <w:bookmarkStart w:id="56" w:name="_Toc971058608"/>
      <w:bookmarkStart w:id="57" w:name="_Toc7056"/>
      <w:bookmarkStart w:id="58" w:name="_Toc10148"/>
      <w:bookmarkStart w:id="59" w:name="_Toc1809009784"/>
      <w:bookmarkStart w:id="60" w:name="_Toc9453"/>
      <w:bookmarkStart w:id="61" w:name="_Toc1957286915"/>
      <w:bookmarkStart w:id="62" w:name="_Toc1700243777"/>
      <w:bookmarkStart w:id="63" w:name="_Toc1868588907"/>
      <w:r>
        <w:rPr>
          <w:rFonts w:hint="eastAsia"/>
          <w:szCs w:val="21"/>
          <w:lang w:val="en-US" w:eastAsia="zh-CN"/>
        </w:rPr>
        <w:t>Study the PO</w:t>
      </w:r>
      <w:r>
        <w:rPr>
          <w:szCs w:val="21"/>
          <w:lang w:val="en-US" w:eastAsia="zh-CN"/>
        </w:rPr>
        <w:t xml:space="preserve"> </w:t>
      </w:r>
      <w:r>
        <w:t xml:space="preserve">adaptation mechanism </w:t>
      </w:r>
      <w:r>
        <w:rPr>
          <w:szCs w:val="21"/>
          <w:lang w:val="en-US" w:eastAsia="zh-CN"/>
        </w:rPr>
        <w:t>when</w:t>
      </w:r>
      <w:r>
        <w:rPr>
          <w:rFonts w:hint="eastAsia"/>
          <w:szCs w:val="21"/>
          <w:lang w:val="en-US" w:eastAsia="zh-CN"/>
        </w:rPr>
        <w:t xml:space="preserve"> dynamic SSB period change</w:t>
      </w:r>
      <w:r>
        <w:rPr>
          <w:szCs w:val="21"/>
          <w:lang w:val="en-US" w:eastAsia="zh-CN"/>
        </w:rPr>
        <w:t xml:space="preserve"> is considered</w:t>
      </w:r>
      <w:r>
        <w:rPr>
          <w:rFonts w:hint="eastAsia"/>
          <w:szCs w:val="21"/>
          <w:lang w:val="en-US" w:eastAsia="zh-CN"/>
        </w:rPr>
        <w:t>.</w:t>
      </w:r>
      <w:bookmarkEnd w:id="56"/>
      <w:bookmarkEnd w:id="57"/>
      <w:bookmarkEnd w:id="58"/>
      <w:bookmarkEnd w:id="59"/>
      <w:bookmarkEnd w:id="60"/>
      <w:bookmarkEnd w:id="61"/>
      <w:bookmarkEnd w:id="62"/>
      <w:bookmarkEnd w:id="63"/>
    </w:p>
    <w:p>
      <w:pPr>
        <w:spacing w:before="120" w:after="120" w:line="260" w:lineRule="auto"/>
      </w:pPr>
      <w:r>
        <w:rPr>
          <w:rFonts w:hint="eastAsia"/>
        </w:rPr>
        <w:t>A paging occasion consists of multiple PDCCH monitoring occasions (MOs) within one paging cycle</w:t>
      </w:r>
      <w:r>
        <w:t>.</w:t>
      </w:r>
      <w:r>
        <w:rPr>
          <w:rFonts w:hint="eastAsia"/>
        </w:rPr>
        <w:t xml:space="preserve"> </w:t>
      </w:r>
      <w:r>
        <w:t>E</w:t>
      </w:r>
      <w:r>
        <w:rPr>
          <w:rFonts w:hint="eastAsia"/>
        </w:rPr>
        <w:t xml:space="preserve">ach transmitted SSB is associated with one or more MOs, allowing UEs in different beam directions to detect the </w:t>
      </w:r>
      <w:r>
        <w:t xml:space="preserve">corresponding </w:t>
      </w:r>
      <w:r>
        <w:rPr>
          <w:rFonts w:hint="eastAsia"/>
        </w:rPr>
        <w:t xml:space="preserve">paging DCI. </w:t>
      </w:r>
      <w:r>
        <w:t>While l</w:t>
      </w:r>
      <w:r>
        <w:rPr>
          <w:rFonts w:hint="eastAsia"/>
        </w:rPr>
        <w:t xml:space="preserve">imiting the number of transmitted paging DCIs </w:t>
      </w:r>
      <w:r>
        <w:t xml:space="preserve">reduces BS </w:t>
      </w:r>
      <w:r>
        <w:rPr>
          <w:rFonts w:hint="eastAsia"/>
        </w:rPr>
        <w:t xml:space="preserve">energy consumption, the </w:t>
      </w:r>
      <w:r>
        <w:t>BS</w:t>
      </w:r>
      <w:r>
        <w:rPr>
          <w:rFonts w:hint="eastAsia"/>
        </w:rPr>
        <w:t xml:space="preserve"> can only</w:t>
      </w:r>
      <w:r>
        <w:t xml:space="preserve"> do this</w:t>
      </w:r>
      <w:r>
        <w:rPr>
          <w:rFonts w:hint="eastAsia"/>
        </w:rPr>
        <w:t xml:space="preserve"> if it already knows the UE</w:t>
      </w:r>
      <w:r>
        <w:t>’</w:t>
      </w:r>
      <w:r>
        <w:rPr>
          <w:rFonts w:hint="eastAsia"/>
        </w:rPr>
        <w:t xml:space="preserve">s beam direction. </w:t>
      </w:r>
    </w:p>
    <w:p>
      <w:pPr>
        <w:spacing w:before="120" w:after="120" w:line="260" w:lineRule="auto"/>
      </w:pPr>
      <w:r>
        <w:t xml:space="preserve">By acquiring </w:t>
      </w:r>
      <w:r>
        <w:rPr>
          <w:rFonts w:hint="eastAsia"/>
        </w:rPr>
        <w:t>the UE</w:t>
      </w:r>
      <w:r>
        <w:t>’</w:t>
      </w:r>
      <w:r>
        <w:rPr>
          <w:rFonts w:hint="eastAsia"/>
        </w:rPr>
        <w:t xml:space="preserve">s beam direction, the BS can transmit the paging DCI on the MOs corresponding to </w:t>
      </w:r>
      <w:r>
        <w:t xml:space="preserve">UE's </w:t>
      </w:r>
      <w:r>
        <w:rPr>
          <w:rFonts w:hint="eastAsia"/>
        </w:rPr>
        <w:t xml:space="preserve">preferred beam direction, </w:t>
      </w:r>
      <w:r>
        <w:t>minimizing the power required for paging DCI transmission</w:t>
      </w:r>
      <w:r>
        <w:rPr>
          <w:rFonts w:hint="eastAsia"/>
        </w:rPr>
        <w:t xml:space="preserve">. </w:t>
      </w:r>
      <w:r>
        <w:t>To facilitate this</w:t>
      </w:r>
      <w:r>
        <w:rPr>
          <w:rFonts w:hint="eastAsia"/>
        </w:rPr>
        <w:t xml:space="preserve">, the UE can be configured to report its preferred beam direction. </w:t>
      </w:r>
      <w:r>
        <w:t xml:space="preserve">Moreover, this </w:t>
      </w:r>
      <w:r>
        <w:rPr>
          <w:rFonts w:hint="eastAsia"/>
        </w:rPr>
        <w:t xml:space="preserve">beam </w:t>
      </w:r>
      <w:r>
        <w:t>information</w:t>
      </w:r>
      <w:r>
        <w:rPr>
          <w:rFonts w:hint="eastAsia"/>
        </w:rPr>
        <w:t xml:space="preserve"> can also be used </w:t>
      </w:r>
      <w:r>
        <w:t>for DL WUS transmission</w:t>
      </w:r>
      <w:r>
        <w:rPr>
          <w:rFonts w:hint="eastAsia"/>
        </w:rPr>
        <w:t>. Correspondingly, the number of occasions UE</w:t>
      </w:r>
      <w:r>
        <w:t xml:space="preserve"> needs to</w:t>
      </w:r>
      <w:r>
        <w:rPr>
          <w:rFonts w:hint="eastAsia"/>
        </w:rPr>
        <w:t xml:space="preserve"> monitor PDCCH/WUS will also </w:t>
      </w:r>
      <w:r>
        <w:t>be reduced, further decreasing energy consumption</w:t>
      </w:r>
      <w:r>
        <w:rPr>
          <w:rFonts w:hint="eastAsia"/>
        </w:rPr>
        <w:t xml:space="preserve">. </w:t>
      </w:r>
      <w:r>
        <w:t>To reduce power consumption caused by frequent reporting by the UE</w:t>
      </w:r>
      <w:r>
        <w:rPr>
          <w:rFonts w:hint="eastAsia"/>
        </w:rPr>
        <w:t xml:space="preserve">, </w:t>
      </w:r>
      <w:r>
        <w:t>the number of beam direction reports within a specific time period can be limited. This ensures a balance between efficient resource use and energy savings for both UE and network operations.</w:t>
      </w:r>
    </w:p>
    <w:p>
      <w:pPr>
        <w:pStyle w:val="62"/>
        <w:spacing w:before="120" w:after="120" w:line="260" w:lineRule="auto"/>
        <w:jc w:val="both"/>
        <w:rPr>
          <w:rFonts w:eastAsiaTheme="minorEastAsia"/>
          <w:szCs w:val="21"/>
          <w:lang w:val="en-US" w:eastAsia="zh-CN"/>
        </w:rPr>
      </w:pPr>
      <w:bookmarkStart w:id="64" w:name="_Toc21350"/>
      <w:bookmarkStart w:id="65" w:name="_Toc11622"/>
      <w:bookmarkStart w:id="66" w:name="_Toc860687239"/>
      <w:bookmarkStart w:id="67" w:name="_Toc958709884"/>
      <w:bookmarkStart w:id="68" w:name="_Toc1508750355"/>
      <w:bookmarkStart w:id="69" w:name="_Toc717351668"/>
      <w:bookmarkStart w:id="70" w:name="_Toc732838352"/>
      <w:r>
        <w:rPr>
          <w:rFonts w:eastAsiaTheme="minorEastAsia"/>
          <w:szCs w:val="21"/>
          <w:lang w:val="en-US" w:eastAsia="zh-CN"/>
        </w:rPr>
        <w:t>To minimize the number of transmitted</w:t>
      </w:r>
      <w:r>
        <w:rPr>
          <w:rFonts w:hint="eastAsia"/>
          <w:szCs w:val="21"/>
          <w:lang w:val="en-US" w:eastAsia="zh-CN"/>
        </w:rPr>
        <w:t>/monitoring</w:t>
      </w:r>
      <w:r>
        <w:rPr>
          <w:rFonts w:eastAsiaTheme="minorEastAsia"/>
          <w:szCs w:val="21"/>
          <w:lang w:val="en-US" w:eastAsia="zh-CN"/>
        </w:rPr>
        <w:t xml:space="preserve"> paging DCIs or Wake-Up Signals, UE </w:t>
      </w:r>
      <w:r>
        <w:rPr>
          <w:rFonts w:hint="eastAsia"/>
          <w:szCs w:val="21"/>
          <w:lang w:val="en-US" w:eastAsia="zh-CN"/>
        </w:rPr>
        <w:t xml:space="preserve">can </w:t>
      </w:r>
      <w:r>
        <w:rPr>
          <w:rFonts w:eastAsiaTheme="minorEastAsia"/>
          <w:szCs w:val="21"/>
          <w:lang w:val="en-US" w:eastAsia="zh-CN"/>
        </w:rPr>
        <w:t>report its preferred beam direction to the</w:t>
      </w:r>
      <w:r>
        <w:rPr>
          <w:rFonts w:hint="eastAsia"/>
          <w:szCs w:val="21"/>
          <w:lang w:val="en-US" w:eastAsia="zh-CN"/>
        </w:rPr>
        <w:t xml:space="preserve"> BS in idle/inactive state</w:t>
      </w:r>
      <w:r>
        <w:rPr>
          <w:rFonts w:eastAsiaTheme="minorEastAsia"/>
          <w:szCs w:val="21"/>
          <w:lang w:val="en-US" w:eastAsia="zh-CN"/>
        </w:rPr>
        <w:t>.</w:t>
      </w:r>
      <w:bookmarkEnd w:id="64"/>
      <w:bookmarkEnd w:id="65"/>
      <w:bookmarkEnd w:id="66"/>
      <w:bookmarkEnd w:id="67"/>
      <w:bookmarkEnd w:id="68"/>
      <w:bookmarkEnd w:id="69"/>
      <w:bookmarkEnd w:id="70"/>
    </w:p>
    <w:p>
      <w:pPr>
        <w:spacing w:before="120" w:after="120" w:line="260" w:lineRule="auto"/>
        <w:rPr>
          <w:szCs w:val="21"/>
        </w:rPr>
      </w:pPr>
    </w:p>
    <w:p>
      <w:pPr>
        <w:numPr>
          <w:ilvl w:val="0"/>
          <w:numId w:val="5"/>
        </w:numPr>
        <w:spacing w:before="120" w:after="120" w:line="260" w:lineRule="auto"/>
        <w:rPr>
          <w:b/>
          <w:bCs/>
          <w:szCs w:val="21"/>
        </w:rPr>
      </w:pPr>
      <w:r>
        <w:rPr>
          <w:rFonts w:hint="eastAsia"/>
          <w:b/>
          <w:bCs/>
          <w:szCs w:val="21"/>
        </w:rPr>
        <w:t>PRACH</w:t>
      </w:r>
    </w:p>
    <w:p>
      <w:pPr>
        <w:spacing w:before="120" w:after="120"/>
      </w:pPr>
      <w:r>
        <w:rPr>
          <w:rFonts w:hint="eastAsia"/>
        </w:rPr>
        <w:t xml:space="preserve">In order to obtain the initial access requests, SI requests, etc., from UEs, the BS needs to wake up to detect each RO, which leads to energy consumption. </w:t>
      </w:r>
      <w:r>
        <w:t>PRACH</w:t>
      </w:r>
      <w:r>
        <w:rPr>
          <w:rFonts w:hint="eastAsia"/>
        </w:rPr>
        <w:t xml:space="preserve"> adaptation in time domain is specified in Rel-19 to reduce network energy consumption. In 6G, if SSB configuration dynamically changes, due to the mapping relationship between SSB and PRACH, the corresponding PRACH configuration may also need to be changed accordingly. </w:t>
      </w:r>
      <w:r>
        <w:rPr>
          <w:szCs w:val="21"/>
        </w:rPr>
        <w:t>Otherwise</w:t>
      </w:r>
      <w:r>
        <w:rPr>
          <w:rFonts w:hint="eastAsia"/>
          <w:szCs w:val="21"/>
        </w:rPr>
        <w:t xml:space="preserve">, the </w:t>
      </w:r>
      <w:r>
        <w:rPr>
          <w:szCs w:val="21"/>
        </w:rPr>
        <w:t>needs</w:t>
      </w:r>
      <w:r>
        <w:rPr>
          <w:rFonts w:hint="eastAsia"/>
          <w:szCs w:val="21"/>
        </w:rPr>
        <w:t xml:space="preserve"> of dynamic PRACH configuration change </w:t>
      </w:r>
      <w:r>
        <w:rPr>
          <w:szCs w:val="21"/>
        </w:rPr>
        <w:t>is unclear</w:t>
      </w:r>
      <w:r>
        <w:rPr>
          <w:rFonts w:hint="eastAsia"/>
          <w:szCs w:val="21"/>
        </w:rPr>
        <w:t>.</w:t>
      </w:r>
    </w:p>
    <w:p>
      <w:pPr>
        <w:pStyle w:val="62"/>
        <w:spacing w:before="120" w:after="120"/>
      </w:pPr>
      <w:bookmarkStart w:id="71" w:name="_Toc26369"/>
      <w:bookmarkStart w:id="72" w:name="_Toc1721398453"/>
      <w:bookmarkStart w:id="73" w:name="_Toc32314"/>
      <w:r>
        <w:rPr>
          <w:rFonts w:hint="eastAsia"/>
        </w:rPr>
        <w:t xml:space="preserve">If dynamic SSB period </w:t>
      </w:r>
      <w:r>
        <w:t>adaptation</w:t>
      </w:r>
      <w:r>
        <w:rPr>
          <w:rFonts w:hint="eastAsia"/>
        </w:rPr>
        <w:t xml:space="preserve"> </w:t>
      </w:r>
      <w:r>
        <w:t>is</w:t>
      </w:r>
      <w:r>
        <w:rPr>
          <w:rFonts w:hint="eastAsia"/>
        </w:rPr>
        <w:t xml:space="preserve"> not supported, the </w:t>
      </w:r>
      <w:r>
        <w:t>need</w:t>
      </w:r>
      <w:r>
        <w:rPr>
          <w:rFonts w:hint="eastAsia"/>
        </w:rPr>
        <w:t xml:space="preserve"> of dynamic </w:t>
      </w:r>
      <w:r>
        <w:t>RO</w:t>
      </w:r>
      <w:r>
        <w:rPr>
          <w:rFonts w:hint="eastAsia"/>
        </w:rPr>
        <w:t xml:space="preserve"> chang</w:t>
      </w:r>
      <w:r>
        <w:t>e</w:t>
      </w:r>
      <w:r>
        <w:rPr>
          <w:rFonts w:hint="eastAsia"/>
        </w:rPr>
        <w:t xml:space="preserve"> </w:t>
      </w:r>
      <w:r>
        <w:t>is unclear</w:t>
      </w:r>
      <w:r>
        <w:rPr>
          <w:rFonts w:hint="eastAsia"/>
        </w:rPr>
        <w:t>.</w:t>
      </w:r>
      <w:bookmarkEnd w:id="71"/>
      <w:bookmarkEnd w:id="72"/>
    </w:p>
    <w:p>
      <w:pPr>
        <w:pStyle w:val="62"/>
        <w:spacing w:before="120" w:after="120"/>
      </w:pPr>
      <w:bookmarkStart w:id="74" w:name="_Toc20282"/>
      <w:bookmarkStart w:id="75" w:name="_Toc1574997609"/>
      <w:r>
        <w:rPr>
          <w:rFonts w:hint="eastAsia"/>
        </w:rPr>
        <w:t xml:space="preserve">Study the </w:t>
      </w:r>
      <w:r>
        <w:t>RO adaptation mechanism</w:t>
      </w:r>
      <w:r>
        <w:rPr>
          <w:rFonts w:hint="eastAsia"/>
        </w:rPr>
        <w:t xml:space="preserve"> </w:t>
      </w:r>
      <w:r>
        <w:t>when</w:t>
      </w:r>
      <w:r>
        <w:rPr>
          <w:rFonts w:hint="eastAsia"/>
        </w:rPr>
        <w:t xml:space="preserve"> dynamic SSB period change</w:t>
      </w:r>
      <w:r>
        <w:t xml:space="preserve"> is considered</w:t>
      </w:r>
      <w:r>
        <w:rPr>
          <w:rFonts w:hint="eastAsia"/>
        </w:rPr>
        <w:t>.</w:t>
      </w:r>
      <w:bookmarkEnd w:id="74"/>
      <w:bookmarkEnd w:id="75"/>
    </w:p>
    <w:bookmarkEnd w:id="73"/>
    <w:p>
      <w:pPr>
        <w:numPr>
          <w:ilvl w:val="0"/>
          <w:numId w:val="5"/>
        </w:numPr>
        <w:spacing w:before="120" w:after="120" w:line="260" w:lineRule="auto"/>
        <w:rPr>
          <w:b/>
          <w:bCs/>
          <w:szCs w:val="21"/>
        </w:rPr>
      </w:pPr>
      <w:r>
        <w:rPr>
          <w:rFonts w:hint="eastAsia"/>
          <w:b/>
          <w:bCs/>
          <w:szCs w:val="21"/>
        </w:rPr>
        <w:t>Cell DTX/DRX</w:t>
      </w:r>
    </w:p>
    <w:p>
      <w:pPr>
        <w:spacing w:before="120" w:after="120"/>
        <w:rPr>
          <w:bCs/>
        </w:rPr>
      </w:pPr>
      <w:r>
        <w:rPr>
          <w:rFonts w:hint="eastAsia"/>
          <w:bCs/>
        </w:rPr>
        <w:t xml:space="preserve">In NR, cell DTX/DRX mechanism for connected mode UE is </w:t>
      </w:r>
      <w:r>
        <w:rPr>
          <w:bCs/>
        </w:rPr>
        <w:t>introduced</w:t>
      </w:r>
      <w:r>
        <w:rPr>
          <w:rFonts w:hint="eastAsia"/>
          <w:bCs/>
        </w:rPr>
        <w:t xml:space="preserve">. During the cell DTX/DRX non-active period, the gNB can </w:t>
      </w:r>
      <w:r>
        <w:rPr>
          <w:bCs/>
        </w:rPr>
        <w:t>terminate the</w:t>
      </w:r>
      <w:r>
        <w:rPr>
          <w:rFonts w:hint="eastAsia"/>
          <w:bCs/>
        </w:rPr>
        <w:t xml:space="preserve"> transmi</w:t>
      </w:r>
      <w:r>
        <w:rPr>
          <w:bCs/>
        </w:rPr>
        <w:t>ssion/</w:t>
      </w:r>
      <w:r>
        <w:rPr>
          <w:rFonts w:hint="eastAsia"/>
          <w:bCs/>
        </w:rPr>
        <w:t>rece</w:t>
      </w:r>
      <w:r>
        <w:rPr>
          <w:bCs/>
        </w:rPr>
        <w:t>ption of</w:t>
      </w:r>
      <w:r>
        <w:rPr>
          <w:rFonts w:hint="eastAsia"/>
          <w:bCs/>
        </w:rPr>
        <w:t xml:space="preserve"> some signals/channels to achieve energy saving gain. While in NR, </w:t>
      </w:r>
      <w:r>
        <w:rPr>
          <w:bCs/>
        </w:rPr>
        <w:t xml:space="preserve">only SPS, periodic/semi-persistent CSI-RS for channel measurement and PDCCH can be switched off during the </w:t>
      </w:r>
      <w:r>
        <w:rPr>
          <w:rFonts w:hint="eastAsia"/>
          <w:bCs/>
        </w:rPr>
        <w:t>cell DTX non-active</w:t>
      </w:r>
      <w:r>
        <w:rPr>
          <w:bCs/>
        </w:rPr>
        <w:t xml:space="preserve"> period. For other signals, such as </w:t>
      </w:r>
      <w:r>
        <w:rPr>
          <w:rFonts w:hint="eastAsia"/>
          <w:bCs/>
        </w:rPr>
        <w:t xml:space="preserve">SSB, </w:t>
      </w:r>
      <w:r>
        <w:rPr>
          <w:bCs/>
        </w:rPr>
        <w:t xml:space="preserve">TRS, CSI-RS for RRM/RLM measurement, are not impacted by cell DTX operation. Therefore, </w:t>
      </w:r>
      <w:r>
        <w:rPr>
          <w:rFonts w:hint="eastAsia"/>
          <w:bCs/>
        </w:rPr>
        <w:t xml:space="preserve">due to the transmission of </w:t>
      </w:r>
      <w:r>
        <w:rPr>
          <w:bCs/>
        </w:rPr>
        <w:t>these</w:t>
      </w:r>
      <w:r>
        <w:rPr>
          <w:rFonts w:hint="eastAsia"/>
          <w:bCs/>
        </w:rPr>
        <w:t xml:space="preserve"> periodic signals, the gNB cannot go to sleep, the opportunities for gNB energy saving</w:t>
      </w:r>
      <w:r>
        <w:rPr>
          <w:bCs/>
        </w:rPr>
        <w:t xml:space="preserve"> are reduced</w:t>
      </w:r>
      <w:r>
        <w:rPr>
          <w:rFonts w:hint="eastAsia"/>
          <w:bCs/>
        </w:rPr>
        <w:t xml:space="preserve">. </w:t>
      </w:r>
    </w:p>
    <w:p>
      <w:pPr>
        <w:spacing w:before="120" w:after="120"/>
        <w:rPr>
          <w:bCs/>
        </w:rPr>
      </w:pPr>
      <w:r>
        <w:rPr>
          <w:rFonts w:hint="eastAsia"/>
          <w:bCs/>
        </w:rPr>
        <w:t xml:space="preserve">In 6GR, the cell DTX/DRX can also be used and to further obtain </w:t>
      </w:r>
      <w:r>
        <w:rPr>
          <w:bCs/>
        </w:rPr>
        <w:t>more</w:t>
      </w:r>
      <w:r>
        <w:rPr>
          <w:rFonts w:hint="eastAsia"/>
          <w:bCs/>
        </w:rPr>
        <w:t xml:space="preserve"> energy saving gain, more physical signals </w:t>
      </w:r>
      <w:r>
        <w:rPr>
          <w:bCs/>
        </w:rPr>
        <w:t>should</w:t>
      </w:r>
      <w:r>
        <w:rPr>
          <w:rFonts w:hint="eastAsia"/>
          <w:bCs/>
        </w:rPr>
        <w:t xml:space="preserve"> be </w:t>
      </w:r>
      <w:r>
        <w:rPr>
          <w:bCs/>
        </w:rPr>
        <w:t>muted during non-active periods of cell DTX</w:t>
      </w:r>
      <w:r>
        <w:rPr>
          <w:rFonts w:hint="eastAsia"/>
          <w:bCs/>
        </w:rPr>
        <w:t>, e.g</w:t>
      </w:r>
      <w:r>
        <w:rPr>
          <w:bCs/>
        </w:rPr>
        <w:t xml:space="preserve">., </w:t>
      </w:r>
      <w:r>
        <w:rPr>
          <w:rFonts w:hint="eastAsia"/>
          <w:bCs/>
        </w:rPr>
        <w:t>SSB, TRS and CSI-RS. What</w:t>
      </w:r>
      <w:r>
        <w:rPr>
          <w:bCs/>
        </w:rPr>
        <w:t>’</w:t>
      </w:r>
      <w:r>
        <w:rPr>
          <w:rFonts w:hint="eastAsia"/>
          <w:bCs/>
        </w:rPr>
        <w:t xml:space="preserve">s more, multiple cell DTX/DRX patterns can be configured and one cell DTX/DRX pattern </w:t>
      </w:r>
      <w:r>
        <w:rPr>
          <w:bCs/>
        </w:rPr>
        <w:t>can</w:t>
      </w:r>
      <w:r>
        <w:rPr>
          <w:rFonts w:hint="eastAsia"/>
          <w:bCs/>
        </w:rPr>
        <w:t xml:space="preserve"> be activated according to the traffic with different requirements</w:t>
      </w:r>
      <w:r>
        <w:rPr>
          <w:bCs/>
        </w:rPr>
        <w:t>, which</w:t>
      </w:r>
      <w:r>
        <w:rPr>
          <w:rFonts w:hint="eastAsia"/>
          <w:bCs/>
        </w:rPr>
        <w:t xml:space="preserve"> is beneficial to reduce the network energy consumption. </w:t>
      </w:r>
    </w:p>
    <w:p>
      <w:pPr>
        <w:pStyle w:val="62"/>
        <w:spacing w:before="120" w:after="120"/>
        <w:jc w:val="both"/>
        <w:rPr>
          <w:lang w:val="en-US" w:eastAsia="zh-CN"/>
        </w:rPr>
      </w:pPr>
      <w:bookmarkStart w:id="76" w:name="_Toc152613160"/>
      <w:bookmarkStart w:id="77" w:name="_Toc968240780"/>
      <w:bookmarkStart w:id="78" w:name="_Toc13919"/>
      <w:bookmarkStart w:id="79" w:name="_Toc1540871505"/>
      <w:bookmarkStart w:id="80" w:name="_Toc731353771"/>
      <w:bookmarkStart w:id="81" w:name="_Toc4243"/>
      <w:bookmarkStart w:id="82" w:name="_Toc911816446"/>
      <w:bookmarkStart w:id="83" w:name="_Toc283088243"/>
      <w:r>
        <w:rPr>
          <w:rFonts w:hint="eastAsia"/>
          <w:lang w:val="en-US" w:eastAsia="zh-CN"/>
        </w:rPr>
        <w:t>Cell DTX/DRX can be considered in 6GR</w:t>
      </w:r>
      <w:r>
        <w:rPr>
          <w:lang w:val="en-US" w:eastAsia="zh-CN"/>
        </w:rPr>
        <w:t>, including terminating the transmission of</w:t>
      </w:r>
      <w:r>
        <w:rPr>
          <w:bCs w:val="0"/>
        </w:rPr>
        <w:t xml:space="preserve"> </w:t>
      </w:r>
      <w:r>
        <w:rPr>
          <w:rFonts w:hint="eastAsia"/>
          <w:bCs w:val="0"/>
          <w:lang w:eastAsia="zh-CN"/>
        </w:rPr>
        <w:t>per</w:t>
      </w:r>
      <w:r>
        <w:rPr>
          <w:bCs w:val="0"/>
          <w:lang w:eastAsia="zh-CN"/>
        </w:rPr>
        <w:t>iodic</w:t>
      </w:r>
      <w:r>
        <w:rPr>
          <w:rFonts w:hint="eastAsia"/>
          <w:bCs w:val="0"/>
          <w:lang w:val="en-US" w:eastAsia="zh-CN"/>
        </w:rPr>
        <w:t xml:space="preserve"> SSB,</w:t>
      </w:r>
      <w:r>
        <w:rPr>
          <w:bCs w:val="0"/>
          <w:lang w:eastAsia="zh-CN"/>
        </w:rPr>
        <w:t xml:space="preserve"> TRS and </w:t>
      </w:r>
      <w:r>
        <w:rPr>
          <w:bCs w:val="0"/>
        </w:rPr>
        <w:t>CSI-RS for RRM/RLM</w:t>
      </w:r>
      <w:r>
        <w:rPr>
          <w:rFonts w:hint="eastAsia"/>
          <w:lang w:val="en-US" w:eastAsia="zh-CN"/>
        </w:rPr>
        <w:t xml:space="preserve"> during non-active periods of cell DTX/DRX</w:t>
      </w:r>
      <w:bookmarkEnd w:id="76"/>
      <w:bookmarkEnd w:id="77"/>
      <w:bookmarkEnd w:id="78"/>
      <w:bookmarkEnd w:id="79"/>
      <w:bookmarkEnd w:id="80"/>
      <w:bookmarkEnd w:id="81"/>
      <w:bookmarkEnd w:id="82"/>
      <w:bookmarkEnd w:id="83"/>
    </w:p>
    <w:p>
      <w:pPr>
        <w:numPr>
          <w:ilvl w:val="0"/>
          <w:numId w:val="5"/>
        </w:numPr>
        <w:spacing w:before="120" w:after="120" w:line="260" w:lineRule="auto"/>
        <w:rPr>
          <w:b/>
          <w:bCs/>
          <w:szCs w:val="21"/>
        </w:rPr>
      </w:pPr>
      <w:r>
        <w:rPr>
          <w:rFonts w:hint="eastAsia"/>
          <w:b/>
          <w:bCs/>
          <w:szCs w:val="21"/>
        </w:rPr>
        <w:t>UE specific RS reduction</w:t>
      </w:r>
      <w:r>
        <w:rPr>
          <w:b/>
          <w:bCs/>
          <w:szCs w:val="21"/>
        </w:rPr>
        <w:t xml:space="preserve"> </w:t>
      </w:r>
      <w:r>
        <w:rPr>
          <w:rFonts w:hint="eastAsia"/>
          <w:b/>
          <w:bCs/>
          <w:szCs w:val="21"/>
        </w:rPr>
        <w:t>(e.g., CSI-RS)</w:t>
      </w:r>
    </w:p>
    <w:p>
      <w:pPr>
        <w:spacing w:before="120" w:after="120"/>
      </w:pPr>
      <w:r>
        <w:rPr>
          <w:rFonts w:hint="eastAsia"/>
        </w:rPr>
        <w:t>In addition to the common signal/channel, periodic UE specific reference signals also reduce network sleep opportunity. Therefore, reducing the UE specific RS, such as dynamic adaptation of CSI-RS/TRS can be considered for 6GR.</w:t>
      </w:r>
    </w:p>
    <w:p>
      <w:pPr>
        <w:pStyle w:val="62"/>
        <w:spacing w:before="120" w:after="120"/>
        <w:jc w:val="both"/>
        <w:rPr>
          <w:lang w:val="en-US" w:eastAsia="zh-CN"/>
        </w:rPr>
      </w:pPr>
      <w:bookmarkStart w:id="84" w:name="_Toc30793"/>
      <w:bookmarkStart w:id="85" w:name="_Toc1351250211"/>
      <w:bookmarkStart w:id="86" w:name="_Toc3546"/>
      <w:bookmarkStart w:id="87" w:name="_Toc181876329"/>
      <w:bookmarkStart w:id="88" w:name="_Toc17587"/>
      <w:bookmarkStart w:id="89" w:name="_Toc1575871596"/>
      <w:bookmarkStart w:id="90" w:name="_Toc13605"/>
      <w:bookmarkStart w:id="91" w:name="_Toc871589925"/>
      <w:bookmarkStart w:id="92" w:name="_Toc29185"/>
      <w:bookmarkStart w:id="93" w:name="_Toc304857573"/>
      <w:bookmarkStart w:id="94" w:name="_Toc26806"/>
      <w:bookmarkStart w:id="95" w:name="_Toc119565128"/>
      <w:bookmarkStart w:id="96" w:name="_Toc1807"/>
      <w:bookmarkStart w:id="97" w:name="_Toc1363"/>
      <w:bookmarkStart w:id="98" w:name="_Toc24617"/>
      <w:bookmarkStart w:id="99" w:name="_Toc24509"/>
      <w:r>
        <w:rPr>
          <w:rFonts w:hint="eastAsia"/>
          <w:lang w:val="en-US" w:eastAsia="zh-CN"/>
        </w:rPr>
        <w:t>Dynamic UE specific signal/channel adaptation, e.g., CSI-RS/TRS adaptation, can be considered in 6GR</w:t>
      </w:r>
      <w:r>
        <w:rPr>
          <w:lang w:val="en-US" w:eastAsia="zh-CN"/>
        </w:rPr>
        <w:t>.</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US" w:eastAsia="zh-CN"/>
        </w:rPr>
        <w:t xml:space="preserve"> </w:t>
      </w:r>
    </w:p>
    <w:p>
      <w:pPr>
        <w:pStyle w:val="3"/>
        <w:spacing w:before="120" w:after="120" w:line="260" w:lineRule="auto"/>
        <w:ind w:left="0" w:right="200"/>
        <w:rPr>
          <w:rFonts w:ascii="Times New Roman" w:hAnsi="Times New Roman"/>
          <w:sz w:val="24"/>
          <w:szCs w:val="24"/>
        </w:rPr>
      </w:pPr>
      <w:r>
        <w:rPr>
          <w:rFonts w:hint="eastAsia" w:ascii="Times New Roman" w:hAnsi="Times New Roman" w:eastAsia="宋体"/>
          <w:b/>
          <w:bCs/>
          <w:sz w:val="21"/>
          <w:szCs w:val="21"/>
        </w:rPr>
        <w:t>Network energy saving in frequency domain</w:t>
      </w:r>
    </w:p>
    <w:p>
      <w:pPr>
        <w:spacing w:before="120" w:after="120"/>
      </w:pPr>
      <w:r>
        <w:rPr>
          <w:rFonts w:hint="eastAsia"/>
        </w:rPr>
        <w:t xml:space="preserve">In NR, uplink carriers and downlink carriers always </w:t>
      </w:r>
      <w:r>
        <w:t>configured</w:t>
      </w:r>
      <w:r>
        <w:rPr>
          <w:rFonts w:hint="eastAsia"/>
        </w:rPr>
        <w:t xml:space="preserve"> in pairs. The BS needs to transmit downlink signals such as SSB and SIB on downlink carriers, and receive SRS and PRACH on uplink carriers when the cell is activated. However, in actual scenarios, uplink and downlink services are often </w:t>
      </w:r>
      <w:r>
        <w:t>asymmetric</w:t>
      </w:r>
      <w:r>
        <w:rPr>
          <w:rFonts w:hint="eastAsia"/>
        </w:rPr>
        <w:t>. The traditional cell architecture causes unnecessary power consumption. Therefore, for 6G CA architecture, the uplink and downlink decoupling should be considered. When there is no downlink service, the uplink cell can be reserved for uplink service transmission, while</w:t>
      </w:r>
      <w:r>
        <w:t xml:space="preserve"> </w:t>
      </w:r>
      <w:r>
        <w:rPr>
          <w:rFonts w:hint="eastAsia"/>
        </w:rPr>
        <w:t>the downlink cell can be disabled for energy saving. Similarly, if there is no uplink service, the uplink cell can be disabled and only the downlink cell can be reserved.</w:t>
      </w:r>
    </w:p>
    <w:p>
      <w:pPr>
        <w:pStyle w:val="62"/>
        <w:spacing w:before="120" w:after="120"/>
        <w:jc w:val="both"/>
      </w:pPr>
      <w:bookmarkStart w:id="100" w:name="_Toc1268553693"/>
      <w:bookmarkStart w:id="101" w:name="_Toc1336119709"/>
      <w:bookmarkStart w:id="102" w:name="_Toc2070914100"/>
      <w:bookmarkStart w:id="103" w:name="_Toc24615"/>
      <w:bookmarkStart w:id="104" w:name="_Toc9439"/>
      <w:bookmarkStart w:id="105" w:name="_Toc1775929572"/>
      <w:bookmarkStart w:id="106" w:name="_Toc1308032530"/>
      <w:bookmarkStart w:id="107" w:name="_Toc11714"/>
      <w:r>
        <w:rPr>
          <w:rFonts w:hint="eastAsia"/>
          <w:lang w:val="en-US" w:eastAsia="zh-CN"/>
        </w:rPr>
        <w:t xml:space="preserve">For 6G CA architecture, the </w:t>
      </w:r>
      <w:r>
        <w:rPr>
          <w:rFonts w:hint="eastAsia"/>
        </w:rPr>
        <w:t>uplink and downlink decoupling should be considered</w:t>
      </w:r>
      <w:r>
        <w:rPr>
          <w:rFonts w:hint="eastAsia"/>
          <w:lang w:val="en-US" w:eastAsia="zh-CN"/>
        </w:rPr>
        <w:t>, for example, supporting UL only cell and the DL only cell.</w:t>
      </w:r>
      <w:bookmarkEnd w:id="100"/>
      <w:bookmarkEnd w:id="101"/>
      <w:bookmarkEnd w:id="102"/>
      <w:bookmarkEnd w:id="103"/>
      <w:bookmarkEnd w:id="104"/>
      <w:bookmarkEnd w:id="105"/>
      <w:bookmarkEnd w:id="106"/>
      <w:bookmarkEnd w:id="107"/>
    </w:p>
    <w:p>
      <w:pPr>
        <w:spacing w:before="120" w:after="120"/>
      </w:pPr>
      <w:r>
        <w:rPr>
          <w:rFonts w:hint="eastAsia"/>
        </w:rPr>
        <w:t xml:space="preserve">In addition, the NES cells with energy-saving configurations are also an important method for network energy saving in the frequency domain. In NR, the SSB-less SCell, on-demand SSB SCell and the NES cell supporting on-demand SIB1 are introduced. </w:t>
      </w:r>
      <w:r>
        <w:t>As discussed before,</w:t>
      </w:r>
      <w:r>
        <w:rPr>
          <w:rFonts w:hint="eastAsia"/>
        </w:rPr>
        <w:t xml:space="preserve"> </w:t>
      </w:r>
      <w:r>
        <w:t>some limitations are observed.</w:t>
      </w:r>
    </w:p>
    <w:p>
      <w:pPr>
        <w:numPr>
          <w:ilvl w:val="0"/>
          <w:numId w:val="6"/>
        </w:numPr>
        <w:spacing w:before="120" w:after="120" w:line="260" w:lineRule="auto"/>
      </w:pPr>
      <w:r>
        <w:t xml:space="preserve">The SSB-less SCell introduced in R15 can only be used for intra-band CA, the SSB-less SCell introduced in R18 can be used for inter-band CA, but is limited to FR1 and co-located scenario. </w:t>
      </w:r>
    </w:p>
    <w:p>
      <w:pPr>
        <w:numPr>
          <w:ilvl w:val="0"/>
          <w:numId w:val="6"/>
        </w:numPr>
        <w:spacing w:before="120" w:after="120" w:line="260" w:lineRule="auto"/>
      </w:pPr>
      <w:r>
        <w:t xml:space="preserve">The on-demand SSB SCell only supports NCD-SSB and SSB off sync-raster. </w:t>
      </w:r>
    </w:p>
    <w:p>
      <w:pPr>
        <w:numPr>
          <w:ilvl w:val="0"/>
          <w:numId w:val="6"/>
        </w:numPr>
        <w:spacing w:before="120" w:after="120" w:line="260" w:lineRule="auto"/>
        <w:rPr>
          <w:sz w:val="21"/>
          <w:szCs w:val="21"/>
        </w:rPr>
      </w:pPr>
      <w:r>
        <w:t>The on-demand SIB1 cell relies on cell A to provided WUS configuration. However, due to the periodic transmission of SSB in NES cells, NES cells still cannot enter deep sleep, achieving greater energy savings.</w:t>
      </w:r>
      <w:r>
        <w:rPr>
          <w:sz w:val="21"/>
          <w:szCs w:val="21"/>
        </w:rPr>
        <w:t xml:space="preserve"> </w:t>
      </w:r>
    </w:p>
    <w:p>
      <w:pPr>
        <w:spacing w:before="120" w:after="120"/>
      </w:pPr>
      <w:r>
        <w:rPr>
          <w:rFonts w:hint="eastAsia"/>
        </w:rPr>
        <w:t xml:space="preserve">In 6GR, the application scenarios of the above NES cells should be expanded to achieve energy saving gain. For example, SSB-less cell, SIB1-less cell, and on-demand SSB/SIB1 cell should be supported. </w:t>
      </w:r>
      <w:r>
        <w:t>It is noted w</w:t>
      </w:r>
      <w:r>
        <w:rPr>
          <w:rFonts w:hint="eastAsia"/>
        </w:rPr>
        <w:t xml:space="preserve">hen the NES cell does not transmit SSB, how the UE discovers the NES cell is a key issue. </w:t>
      </w:r>
      <w:r>
        <w:t>To address this, in the case of</w:t>
      </w:r>
      <w:r>
        <w:rPr>
          <w:rFonts w:hint="eastAsia"/>
        </w:rPr>
        <w:t xml:space="preserve"> the low load scenario, cell A can </w:t>
      </w:r>
      <w:r>
        <w:t>focus all its power on transmitting the SSB</w:t>
      </w:r>
      <w:r>
        <w:rPr>
          <w:rFonts w:hint="eastAsia"/>
        </w:rPr>
        <w:t xml:space="preserve">, resulting in </w:t>
      </w:r>
      <w:r>
        <w:t>the SSB of Cell A having a much larger coverage area compared to the uplink coverage of Cell A</w:t>
      </w:r>
      <w:r>
        <w:rPr>
          <w:rFonts w:hint="eastAsia"/>
        </w:rPr>
        <w:t xml:space="preserve">. </w:t>
      </w:r>
      <w:r>
        <w:t xml:space="preserve">In this case, </w:t>
      </w:r>
      <w:r>
        <w:rPr>
          <w:rFonts w:hint="eastAsia"/>
        </w:rPr>
        <w:t xml:space="preserve">UE can </w:t>
      </w:r>
      <w:r>
        <w:t>detect the NES cell by identifying the SSB of Cell A</w:t>
      </w:r>
      <w:r>
        <w:rPr>
          <w:rFonts w:hint="eastAsia"/>
        </w:rPr>
        <w:t>, and thus wake up the NES cell, as shown in Figure 5.</w:t>
      </w:r>
    </w:p>
    <w:p>
      <w:pPr>
        <w:spacing w:before="120" w:after="120"/>
        <w:jc w:val="center"/>
      </w:pPr>
      <w:r>
        <w:drawing>
          <wp:inline distT="0" distB="0" distL="114300" distR="114300">
            <wp:extent cx="4417695" cy="1978025"/>
            <wp:effectExtent l="0" t="0" r="1905" b="3175"/>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16"/>
                    <a:stretch>
                      <a:fillRect/>
                    </a:stretch>
                  </pic:blipFill>
                  <pic:spPr>
                    <a:xfrm>
                      <a:off x="0" y="0"/>
                      <a:ext cx="4417695" cy="1978025"/>
                    </a:xfrm>
                    <a:prstGeom prst="rect">
                      <a:avLst/>
                    </a:prstGeom>
                    <a:noFill/>
                    <a:ln>
                      <a:noFill/>
                    </a:ln>
                  </pic:spPr>
                </pic:pic>
              </a:graphicData>
            </a:graphic>
          </wp:inline>
        </w:drawing>
      </w:r>
    </w:p>
    <w:p>
      <w:pPr>
        <w:spacing w:before="120" w:after="120"/>
        <w:jc w:val="center"/>
      </w:pPr>
      <w:r>
        <w:rPr>
          <w:rFonts w:hint="eastAsia"/>
        </w:rPr>
        <w:t>Figure 5. An example for NES cells</w:t>
      </w:r>
    </w:p>
    <w:p>
      <w:pPr>
        <w:pStyle w:val="62"/>
        <w:spacing w:before="120" w:after="120"/>
        <w:jc w:val="both"/>
      </w:pPr>
      <w:bookmarkStart w:id="108" w:name="_Toc405886544"/>
      <w:bookmarkStart w:id="109" w:name="_Toc565215538"/>
      <w:bookmarkStart w:id="110" w:name="_Toc356221527"/>
      <w:bookmarkStart w:id="111" w:name="_Toc1564871693"/>
      <w:bookmarkStart w:id="112" w:name="_Toc1516312153"/>
      <w:bookmarkStart w:id="113" w:name="_Toc8085"/>
      <w:bookmarkStart w:id="114" w:name="_Toc8474"/>
      <w:bookmarkStart w:id="115" w:name="_Toc22239"/>
      <w:r>
        <w:rPr>
          <w:rFonts w:hint="eastAsia"/>
          <w:lang w:val="en-US" w:eastAsia="zh-CN"/>
        </w:rPr>
        <w:t>The NES cell such as SSB-less cell, SIB1-less cell, and on-demand SSB/SIB1 cell should be considered in 6GR.</w:t>
      </w:r>
      <w:bookmarkEnd w:id="108"/>
      <w:bookmarkEnd w:id="109"/>
      <w:bookmarkEnd w:id="110"/>
      <w:bookmarkEnd w:id="111"/>
      <w:bookmarkEnd w:id="112"/>
      <w:bookmarkEnd w:id="113"/>
      <w:bookmarkEnd w:id="114"/>
      <w:bookmarkEnd w:id="115"/>
    </w:p>
    <w:p>
      <w:pPr>
        <w:pStyle w:val="3"/>
        <w:tabs>
          <w:tab w:val="center" w:pos="4830"/>
        </w:tabs>
        <w:spacing w:before="120" w:after="120" w:line="260" w:lineRule="auto"/>
        <w:ind w:left="0" w:right="200"/>
        <w:rPr>
          <w:rFonts w:ascii="Times New Roman" w:hAnsi="Times New Roman" w:eastAsia="宋体"/>
          <w:b/>
          <w:bCs/>
          <w:szCs w:val="28"/>
        </w:rPr>
      </w:pPr>
      <w:r>
        <w:rPr>
          <w:rFonts w:hint="eastAsia" w:ascii="Times New Roman" w:hAnsi="Times New Roman" w:eastAsia="宋体"/>
          <w:b/>
          <w:bCs/>
          <w:sz w:val="21"/>
          <w:szCs w:val="21"/>
        </w:rPr>
        <w:t>Network energy saving in spatial domain</w:t>
      </w:r>
    </w:p>
    <w:p>
      <w:pPr>
        <w:spacing w:before="120" w:after="120"/>
      </w:pPr>
      <w:r>
        <w:t xml:space="preserve">In 6G networks, the increase in the number of </w:t>
      </w:r>
      <w:r>
        <w:rPr>
          <w:rFonts w:hint="eastAsia"/>
        </w:rPr>
        <w:t xml:space="preserve">BS </w:t>
      </w:r>
      <w:r>
        <w:t xml:space="preserve">antennas is expected to improve performance in terms of capacity, coverage, and </w:t>
      </w:r>
      <w:r>
        <w:rPr>
          <w:rFonts w:hint="eastAsia"/>
        </w:rPr>
        <w:t>spectrum efficiency, etc</w:t>
      </w:r>
      <w:r>
        <w:t xml:space="preserve">. </w:t>
      </w:r>
      <w:r>
        <w:rPr>
          <w:rFonts w:hint="eastAsia"/>
        </w:rPr>
        <w:t>However, this improvement comes at the cost of substantially higher power consumption, which presents a critical challenge for energy efficiency.</w:t>
      </w:r>
    </w:p>
    <w:p>
      <w:pPr>
        <w:spacing w:before="120" w:after="120"/>
      </w:pPr>
      <w:r>
        <w:rPr>
          <w:rFonts w:hint="eastAsia"/>
        </w:rPr>
        <w:t>Antenna switching is a key technique for addressing the energy consumption challenges. In scenarios where traffic demand is low, not all BS antennas are required to</w:t>
      </w:r>
      <w:r>
        <w:t xml:space="preserve"> be activated to</w:t>
      </w:r>
      <w:r>
        <w:rPr>
          <w:rFonts w:hint="eastAsia"/>
        </w:rPr>
        <w:t xml:space="preserve"> maintain adequate coverage and service quality. In such cases, dynamically deactivating unused antennas can significantly reduce BS power consumption. Conversely, when handling traffic with large packets or stringent latency requirements, the BS can activate more antennas to provide better performance. Since antenna pattern impacts the CSI information, adaptive antenna switching can be based on the information such as real-time traffic load, QoS requirements, and CSI report, etc.</w:t>
      </w:r>
    </w:p>
    <w:p>
      <w:pPr>
        <w:pStyle w:val="62"/>
        <w:spacing w:before="120" w:after="120"/>
      </w:pPr>
      <w:bookmarkStart w:id="116" w:name="_Toc26548"/>
      <w:bookmarkStart w:id="117" w:name="_Toc13293"/>
      <w:bookmarkStart w:id="118" w:name="_Toc1071789598"/>
      <w:bookmarkStart w:id="119" w:name="_Toc1449426203"/>
      <w:bookmarkStart w:id="120" w:name="_Toc767136526"/>
      <w:bookmarkStart w:id="121" w:name="_Toc505079171"/>
      <w:bookmarkStart w:id="122" w:name="_Toc1683344030"/>
      <w:r>
        <w:rPr>
          <w:rFonts w:hint="eastAsia"/>
          <w:lang w:val="en-US" w:eastAsia="zh-CN"/>
        </w:rPr>
        <w:t>Adaptive BS antenna switching</w:t>
      </w:r>
      <w:r>
        <w:rPr>
          <w:rFonts w:hint="eastAsia"/>
          <w:szCs w:val="21"/>
          <w:lang w:val="en-US" w:eastAsia="zh-CN"/>
        </w:rPr>
        <w:t xml:space="preserve"> should be supported in 6GR.</w:t>
      </w:r>
      <w:bookmarkEnd w:id="116"/>
      <w:bookmarkEnd w:id="117"/>
      <w:bookmarkEnd w:id="118"/>
      <w:bookmarkEnd w:id="119"/>
      <w:bookmarkEnd w:id="120"/>
      <w:bookmarkEnd w:id="121"/>
      <w:bookmarkEnd w:id="122"/>
    </w:p>
    <w:p>
      <w:pPr>
        <w:spacing w:before="120" w:after="120" w:line="260" w:lineRule="auto"/>
        <w:ind w:right="210"/>
        <w:rPr>
          <w:szCs w:val="21"/>
        </w:rPr>
      </w:pPr>
      <w:r>
        <w:rPr>
          <w:rFonts w:hint="eastAsia"/>
        </w:rPr>
        <w:t>To better support dynamic antenna switching, multiple CSI reports can be considered, which each of the report corresponding to an antenna pattern.</w:t>
      </w:r>
      <w:r>
        <w:rPr>
          <w:szCs w:val="21"/>
        </w:rPr>
        <w:t xml:space="preserve"> </w:t>
      </w:r>
      <w:r>
        <w:rPr>
          <w:rFonts w:hint="eastAsia"/>
          <w:szCs w:val="21"/>
        </w:rPr>
        <w:t>By multi-CSI reporting, the BS can dynamically adjust the antenna configuration to implement spatial domain energy saving.</w:t>
      </w:r>
    </w:p>
    <w:p>
      <w:pPr>
        <w:pStyle w:val="62"/>
        <w:spacing w:before="120" w:after="120"/>
        <w:rPr>
          <w:szCs w:val="21"/>
        </w:rPr>
      </w:pPr>
      <w:bookmarkStart w:id="123" w:name="_Toc28956"/>
      <w:bookmarkStart w:id="124" w:name="_Toc1975667709"/>
      <w:bookmarkStart w:id="125" w:name="_Toc664829587"/>
      <w:bookmarkStart w:id="126" w:name="_Toc2001459648"/>
      <w:bookmarkStart w:id="127" w:name="_Toc29914"/>
      <w:bookmarkStart w:id="128" w:name="_Toc1291632930"/>
      <w:bookmarkStart w:id="129" w:name="_Toc706539879"/>
      <w:bookmarkStart w:id="130" w:name="_Toc2240"/>
      <w:r>
        <w:rPr>
          <w:rFonts w:hint="eastAsia"/>
          <w:szCs w:val="21"/>
          <w:lang w:val="en-US" w:eastAsia="zh-CN"/>
        </w:rPr>
        <w:t>Multi-CSI report in spatial domain should be considered in 6GR.</w:t>
      </w:r>
      <w:bookmarkEnd w:id="123"/>
      <w:bookmarkEnd w:id="124"/>
      <w:bookmarkEnd w:id="125"/>
      <w:bookmarkEnd w:id="126"/>
      <w:bookmarkEnd w:id="127"/>
      <w:bookmarkEnd w:id="128"/>
      <w:bookmarkEnd w:id="129"/>
      <w:bookmarkEnd w:id="130"/>
    </w:p>
    <w:p>
      <w:pPr>
        <w:spacing w:before="120" w:after="120"/>
      </w:pPr>
      <w:r>
        <w:rPr>
          <w:rFonts w:hint="eastAsia"/>
        </w:rPr>
        <w:t>According to the simulation results</w:t>
      </w:r>
      <w:r>
        <w:t xml:space="preserve"> </w:t>
      </w:r>
      <w:r>
        <w:rPr>
          <w:rFonts w:hint="eastAsia"/>
        </w:rPr>
        <w:t>in</w:t>
      </w:r>
      <w:r>
        <w:t xml:space="preserve"> </w:t>
      </w:r>
      <w:r>
        <w:rPr>
          <w:rFonts w:hint="eastAsia"/>
        </w:rPr>
        <w:t xml:space="preserve">Appendix, </w:t>
      </w:r>
      <w:r>
        <w:t xml:space="preserve">it can be seen </w:t>
      </w:r>
      <w:r>
        <w:rPr>
          <w:rFonts w:hint="eastAsia"/>
          <w:bCs/>
        </w:rPr>
        <w:t xml:space="preserve">that the correlation between precoding matrices with different numbers of CSI-RS ports is high. By </w:t>
      </w:r>
      <w:r>
        <w:rPr>
          <w:rFonts w:hint="eastAsia"/>
        </w:rPr>
        <w:t>using the</w:t>
      </w:r>
      <w:r>
        <w:t xml:space="preserve"> high </w:t>
      </w:r>
      <w:r>
        <w:rPr>
          <w:rFonts w:hint="eastAsia"/>
          <w:bCs/>
        </w:rPr>
        <w:t>correlation</w:t>
      </w:r>
      <w:r>
        <w:rPr>
          <w:rFonts w:hint="eastAsia"/>
        </w:rPr>
        <w:t xml:space="preserve">, the signaling overhead of PMI can be reduced. </w:t>
      </w:r>
      <w:r>
        <w:rPr>
          <w:rFonts w:hint="eastAsia"/>
          <w:lang w:val="en-US" w:eastAsia="zh-CN"/>
        </w:rPr>
        <w:t xml:space="preserve">Furthermore, </w:t>
      </w:r>
      <w:r>
        <w:t>overhead reduction can be considered for RI and CQI reporting.</w:t>
      </w:r>
    </w:p>
    <w:p>
      <w:pPr>
        <w:spacing w:before="120" w:after="120"/>
      </w:pPr>
      <w:r>
        <w:rPr>
          <w:rFonts w:hint="eastAsia"/>
        </w:rPr>
        <w:t>AI-based overhead reduction for multi-CSI report can also be considered. For example, UE reports CSI reports for a subset of sub-configurations, and the AI model at base station side can perform inference and derive the CSI reports for other sub-configurations. The base station can turn on/off the antennas based one the CSI reports for all sub-configurations.</w:t>
      </w:r>
    </w:p>
    <w:p>
      <w:pPr>
        <w:pStyle w:val="62"/>
        <w:spacing w:before="120" w:after="120"/>
        <w:rPr>
          <w:szCs w:val="21"/>
          <w:lang w:val="en-US" w:eastAsia="zh-CN"/>
        </w:rPr>
      </w:pPr>
      <w:bookmarkStart w:id="131" w:name="_Toc4822"/>
      <w:bookmarkStart w:id="132" w:name="_Toc13452"/>
      <w:bookmarkStart w:id="133" w:name="_Toc1201600090"/>
      <w:bookmarkStart w:id="134" w:name="_Toc862106665"/>
      <w:bookmarkStart w:id="135" w:name="_Toc1998887220"/>
      <w:bookmarkStart w:id="136" w:name="_Toc1726896518"/>
      <w:bookmarkStart w:id="137" w:name="_Toc2063426223"/>
      <w:r>
        <w:rPr>
          <w:szCs w:val="21"/>
          <w:lang w:val="en-US" w:eastAsia="zh-CN"/>
        </w:rPr>
        <w:t>O</w:t>
      </w:r>
      <w:r>
        <w:rPr>
          <w:rFonts w:hint="eastAsia"/>
          <w:szCs w:val="21"/>
          <w:lang w:val="en-US" w:eastAsia="zh-CN"/>
        </w:rPr>
        <w:t xml:space="preserve">verhead </w:t>
      </w:r>
      <w:r>
        <w:rPr>
          <w:szCs w:val="21"/>
          <w:lang w:val="en-US" w:eastAsia="zh-CN"/>
        </w:rPr>
        <w:t>reduction for multi-CSI report for NES can be considered.</w:t>
      </w:r>
      <w:bookmarkEnd w:id="131"/>
      <w:bookmarkEnd w:id="132"/>
      <w:bookmarkEnd w:id="133"/>
      <w:bookmarkEnd w:id="134"/>
      <w:bookmarkEnd w:id="135"/>
      <w:bookmarkEnd w:id="136"/>
      <w:bookmarkEnd w:id="137"/>
    </w:p>
    <w:p>
      <w:pPr>
        <w:spacing w:before="120" w:after="120"/>
      </w:pPr>
      <w:r>
        <w:rPr>
          <w:rFonts w:hint="eastAsia"/>
        </w:rPr>
        <w:t xml:space="preserve">In NR, spatial/power domain adaptation focuses on single TRP scenario. While in 6G, multi-TRP scenario is also an important use case, and enhancement on multi-TRP adaptation should also be considered. Therefore, to achieve NES in multi-TRP scenarios, the dynamic on/off scheme for multi-TRP should be studied. </w:t>
      </w:r>
    </w:p>
    <w:p>
      <w:pPr>
        <w:pStyle w:val="62"/>
        <w:spacing w:before="120" w:after="120"/>
      </w:pPr>
      <w:bookmarkStart w:id="138" w:name="_Toc978983884"/>
      <w:bookmarkStart w:id="139" w:name="_Toc9588"/>
      <w:bookmarkStart w:id="140" w:name="_Toc1781707880"/>
      <w:bookmarkStart w:id="141" w:name="_Toc24728"/>
      <w:bookmarkStart w:id="142" w:name="_Toc630534575"/>
      <w:bookmarkStart w:id="143" w:name="_Toc707638773"/>
      <w:bookmarkStart w:id="144" w:name="_Toc163364257"/>
      <w:r>
        <w:rPr>
          <w:rFonts w:hint="eastAsia"/>
          <w:lang w:val="en-US" w:eastAsia="zh-CN"/>
        </w:rPr>
        <w:t>Dynamic on/off scheme for multi-TRP can be studied.</w:t>
      </w:r>
      <w:bookmarkEnd w:id="138"/>
      <w:bookmarkEnd w:id="139"/>
      <w:bookmarkEnd w:id="140"/>
      <w:bookmarkEnd w:id="141"/>
      <w:bookmarkEnd w:id="142"/>
      <w:bookmarkEnd w:id="143"/>
      <w:bookmarkEnd w:id="144"/>
    </w:p>
    <w:p>
      <w:pPr>
        <w:pStyle w:val="3"/>
        <w:spacing w:before="120" w:after="120" w:line="260" w:lineRule="auto"/>
        <w:ind w:left="0" w:right="200"/>
        <w:rPr>
          <w:rFonts w:ascii="Times New Roman" w:hAnsi="Times New Roman" w:eastAsia="宋体"/>
          <w:b/>
          <w:bCs/>
          <w:szCs w:val="28"/>
        </w:rPr>
      </w:pPr>
      <w:r>
        <w:rPr>
          <w:rFonts w:hint="eastAsia" w:ascii="Times New Roman" w:hAnsi="Times New Roman" w:eastAsia="宋体"/>
          <w:b/>
          <w:bCs/>
          <w:sz w:val="21"/>
          <w:szCs w:val="21"/>
        </w:rPr>
        <w:t>Network energy saving in power domain</w:t>
      </w:r>
    </w:p>
    <w:p>
      <w:pPr>
        <w:spacing w:before="120" w:after="120"/>
        <w:rPr>
          <w:szCs w:val="21"/>
        </w:rPr>
      </w:pPr>
      <w:r>
        <w:rPr>
          <w:rFonts w:hint="eastAsia"/>
          <w:szCs w:val="21"/>
        </w:rPr>
        <w:t xml:space="preserve">Similar as spatial domain, the multi-CSI report and the overhead reduction for multi-CSI report can also be considered in power domain. </w:t>
      </w:r>
      <w:r>
        <w:rPr>
          <w:rFonts w:hint="eastAsia"/>
        </w:rPr>
        <w:t>W</w:t>
      </w:r>
      <w:r>
        <w:rPr>
          <w:rFonts w:hint="eastAsia"/>
          <w:szCs w:val="21"/>
        </w:rPr>
        <w:t>ith multi-CSI report, each CSI report can associate with a power control offset, enabling the base station to dynamically adjust the transmission power of the data. This can reduce power waste and achieve network energy saving gain.</w:t>
      </w:r>
    </w:p>
    <w:p>
      <w:pPr>
        <w:pStyle w:val="62"/>
        <w:spacing w:before="120" w:after="120"/>
        <w:jc w:val="both"/>
        <w:rPr>
          <w:lang w:val="en-US" w:eastAsia="zh-CN"/>
        </w:rPr>
      </w:pPr>
      <w:bookmarkStart w:id="145" w:name="_Toc1149797661"/>
      <w:bookmarkStart w:id="146" w:name="_Toc1140823701"/>
      <w:bookmarkStart w:id="147" w:name="_Toc22578"/>
      <w:bookmarkStart w:id="148" w:name="_Toc23682"/>
      <w:bookmarkStart w:id="149" w:name="_Toc2052352908"/>
      <w:bookmarkStart w:id="150" w:name="_Toc2065602358"/>
      <w:bookmarkStart w:id="151" w:name="_Toc31819"/>
      <w:bookmarkStart w:id="152" w:name="_Toc1695204511"/>
      <w:r>
        <w:rPr>
          <w:rFonts w:hint="eastAsia"/>
          <w:lang w:val="en-US" w:eastAsia="zh-CN"/>
        </w:rPr>
        <w:t>M</w:t>
      </w:r>
      <w:r>
        <w:rPr>
          <w:lang w:val="en-US" w:eastAsia="zh-CN"/>
        </w:rPr>
        <w:t>ulti-CSI report and the overhead reduction for multi-CSI report</w:t>
      </w:r>
      <w:r>
        <w:rPr>
          <w:rFonts w:hint="eastAsia"/>
          <w:lang w:val="en-US" w:eastAsia="zh-CN"/>
        </w:rPr>
        <w:t xml:space="preserve"> in power domain should be considered.</w:t>
      </w:r>
      <w:bookmarkEnd w:id="145"/>
      <w:bookmarkEnd w:id="146"/>
      <w:bookmarkEnd w:id="147"/>
      <w:bookmarkEnd w:id="148"/>
      <w:bookmarkEnd w:id="149"/>
      <w:bookmarkEnd w:id="150"/>
      <w:bookmarkEnd w:id="151"/>
      <w:bookmarkEnd w:id="152"/>
    </w:p>
    <w:p>
      <w:pPr>
        <w:spacing w:before="120" w:after="120" w:line="260" w:lineRule="auto"/>
        <w:rPr>
          <w:szCs w:val="21"/>
        </w:rPr>
      </w:pPr>
      <w:r>
        <w:rPr>
          <w:szCs w:val="21"/>
        </w:rPr>
        <w:t>Besides,</w:t>
      </w:r>
      <w:r>
        <w:rPr>
          <w:rFonts w:hint="eastAsia"/>
          <w:szCs w:val="21"/>
        </w:rPr>
        <w:t xml:space="preserve"> in NR, the transmitted SSBs within an SSB burst have the same transmission power. However, in practice, the SSBs in different beam directions may correspond to different coverage requirement, such as differences in actual path loss in different beam SSB directions. When the same transmission power is used, the power in the beam direction with limited coverage is wasted, which can lead to greater neighboring interference, and the reception in the beam direction with large coverage may fail. Therefore, in 6GR, the non-uniformed power allocation for multi-beam SSB should be supported.</w:t>
      </w:r>
    </w:p>
    <w:p>
      <w:pPr>
        <w:pStyle w:val="62"/>
        <w:spacing w:before="120" w:after="120"/>
        <w:rPr>
          <w:szCs w:val="21"/>
          <w:lang w:val="en-US" w:eastAsia="zh-CN"/>
        </w:rPr>
      </w:pPr>
      <w:bookmarkStart w:id="153" w:name="_Toc21704939"/>
      <w:bookmarkStart w:id="154" w:name="_Toc1672429690"/>
      <w:bookmarkStart w:id="155" w:name="_Toc239824342"/>
      <w:bookmarkStart w:id="156" w:name="_Toc1296873618"/>
      <w:bookmarkStart w:id="157" w:name="_Toc10162"/>
      <w:bookmarkStart w:id="158" w:name="_Toc2069274806"/>
      <w:bookmarkStart w:id="159" w:name="_Toc8173"/>
      <w:bookmarkStart w:id="160" w:name="_Toc25649"/>
      <w:r>
        <w:rPr>
          <w:rFonts w:hint="eastAsia"/>
          <w:szCs w:val="21"/>
          <w:lang w:val="en-US" w:eastAsia="zh-CN"/>
        </w:rPr>
        <w:t>The non-uniformed power allocation for multi-beam SSB should be supported in 6GR.</w:t>
      </w:r>
      <w:bookmarkEnd w:id="153"/>
      <w:bookmarkEnd w:id="154"/>
      <w:bookmarkEnd w:id="155"/>
      <w:bookmarkEnd w:id="156"/>
      <w:bookmarkEnd w:id="157"/>
      <w:bookmarkEnd w:id="158"/>
      <w:bookmarkEnd w:id="159"/>
      <w:bookmarkEnd w:id="160"/>
    </w:p>
    <w:p>
      <w:pPr>
        <w:pStyle w:val="62"/>
        <w:numPr>
          <w:ilvl w:val="0"/>
          <w:numId w:val="0"/>
        </w:numPr>
        <w:spacing w:before="120" w:after="120"/>
        <w:rPr>
          <w:szCs w:val="21"/>
          <w:lang w:val="en-US" w:eastAsia="zh-CN"/>
        </w:rPr>
      </w:pPr>
    </w:p>
    <w:p>
      <w:pPr>
        <w:pStyle w:val="3"/>
        <w:spacing w:before="120" w:after="120" w:line="260" w:lineRule="auto"/>
        <w:ind w:left="0" w:right="200"/>
        <w:rPr>
          <w:rFonts w:ascii="Times New Roman" w:hAnsi="Times New Roman" w:eastAsia="宋体"/>
          <w:b/>
          <w:bCs/>
          <w:sz w:val="21"/>
          <w:szCs w:val="21"/>
        </w:rPr>
      </w:pPr>
      <w:r>
        <w:rPr>
          <w:rFonts w:ascii="Times New Roman" w:hAnsi="Times New Roman" w:eastAsia="宋体"/>
          <w:b/>
          <w:bCs/>
          <w:sz w:val="21"/>
          <w:szCs w:val="21"/>
        </w:rPr>
        <w:t>Network energy saving with energy-efficient nodes</w:t>
      </w:r>
    </w:p>
    <w:p>
      <w:pPr>
        <w:snapToGrid w:val="0"/>
        <w:spacing w:before="120" w:after="120"/>
        <w:textAlignment w:val="center"/>
      </w:pPr>
      <w:r>
        <w:t xml:space="preserve">With </w:t>
      </w:r>
      <w:r>
        <w:rPr>
          <w:rFonts w:hint="eastAsia"/>
        </w:rPr>
        <w:t>topology</w:t>
      </w:r>
      <w:r>
        <w:t xml:space="preserve"> </w:t>
      </w:r>
      <w:r>
        <w:rPr>
          <w:rFonts w:hint="eastAsia"/>
        </w:rPr>
        <w:t>improvement</w:t>
      </w:r>
      <w:r>
        <w:t xml:space="preserve"> by introducing additional nodes, e.g., deployment of mTRP, Reconfigurable Intelligent Surfaces (RIS) or Network Controlled Repeater (NCR), the overall quality of transmission links can be effectively improved.  </w:t>
      </w:r>
      <w:r>
        <w:rPr>
          <w:color w:val="000000"/>
        </w:rPr>
        <w:t>Among all the energy-efficient nodes, reconfigurable intelligent surfaces(RIS) and network-controlled repeaters(NCR) are considered as potential types of nodes for the future trend of multi-layer heterogeneous network deployment. Especially, in the past years, RIS is considered as the promising enabler to construct the smart propagation with decent progress in R&amp;D, e.g., IMT-2030(6G)</w:t>
      </w:r>
      <w:r>
        <w:rPr>
          <w:color w:val="000000"/>
        </w:rPr>
        <w:fldChar w:fldCharType="begin"/>
      </w:r>
      <w:r>
        <w:rPr>
          <w:color w:val="000000"/>
        </w:rPr>
        <w:instrText xml:space="preserve"> REF _Ref199409174 \r \h  \* MERGEFORMAT </w:instrText>
      </w:r>
      <w:r>
        <w:rPr>
          <w:color w:val="000000"/>
        </w:rPr>
        <w:fldChar w:fldCharType="separate"/>
      </w:r>
      <w:r>
        <w:rPr>
          <w:color w:val="000000"/>
        </w:rPr>
        <w:t>[4]</w:t>
      </w:r>
      <w:r>
        <w:rPr>
          <w:color w:val="000000"/>
        </w:rPr>
        <w:fldChar w:fldCharType="end"/>
      </w:r>
      <w:r>
        <w:rPr>
          <w:rFonts w:hint="eastAsia"/>
          <w:color w:val="000000"/>
        </w:rPr>
        <w:t>,</w:t>
      </w:r>
      <w:r>
        <w:rPr>
          <w:color w:val="000000"/>
        </w:rPr>
        <w:t xml:space="preserve"> RISTA </w:t>
      </w:r>
      <w:r>
        <w:rPr>
          <w:rFonts w:hint="eastAsia"/>
          <w:color w:val="000000"/>
        </w:rPr>
        <w:t>alliance</w:t>
      </w:r>
      <w:r>
        <w:rPr>
          <w:color w:val="000000"/>
        </w:rPr>
        <w:fldChar w:fldCharType="begin"/>
      </w:r>
      <w:r>
        <w:rPr>
          <w:color w:val="000000"/>
        </w:rPr>
        <w:instrText xml:space="preserve"> REF _Ref199409175 \r \h  \* MERGEFORMAT </w:instrText>
      </w:r>
      <w:r>
        <w:rPr>
          <w:color w:val="000000"/>
        </w:rPr>
        <w:fldChar w:fldCharType="separate"/>
      </w:r>
      <w:r>
        <w:rPr>
          <w:color w:val="000000"/>
        </w:rPr>
        <w:t>[5]</w:t>
      </w:r>
      <w:r>
        <w:rPr>
          <w:color w:val="000000"/>
        </w:rPr>
        <w:fldChar w:fldCharType="end"/>
      </w:r>
      <w:r>
        <w:rPr>
          <w:color w:val="000000"/>
        </w:rPr>
        <w:t xml:space="preserve"> </w:t>
      </w:r>
      <w:r>
        <w:rPr>
          <w:rFonts w:hint="eastAsia"/>
          <w:color w:val="000000"/>
        </w:rPr>
        <w:t>a</w:t>
      </w:r>
      <w:r>
        <w:rPr>
          <w:color w:val="000000"/>
        </w:rPr>
        <w:t>nd ETSI RIS ISG</w:t>
      </w:r>
      <w:r>
        <w:rPr>
          <w:color w:val="000000"/>
        </w:rPr>
        <w:fldChar w:fldCharType="begin"/>
      </w:r>
      <w:r>
        <w:rPr>
          <w:color w:val="000000"/>
        </w:rPr>
        <w:instrText xml:space="preserve"> REF _Ref199409177 \r \h  \* MERGEFORMAT </w:instrText>
      </w:r>
      <w:r>
        <w:rPr>
          <w:color w:val="000000"/>
        </w:rPr>
        <w:fldChar w:fldCharType="separate"/>
      </w:r>
      <w:r>
        <w:rPr>
          <w:color w:val="000000"/>
        </w:rPr>
        <w:t>[6]</w:t>
      </w:r>
      <w:r>
        <w:rPr>
          <w:color w:val="000000"/>
        </w:rPr>
        <w:fldChar w:fldCharType="end"/>
      </w:r>
      <w:r>
        <w:rPr>
          <w:color w:val="000000"/>
        </w:rPr>
        <w:t xml:space="preserve">. As an assisting node, RIS is considered to tune the incident wireless signals through various mechanism, e.g., reflection, refraction, absorption, with either controllable (i.e., the adjustable response of RIS on the incident wave based on the received signalling) or fixed operation in the deployment. Additionally, the study and specification works in 5G-A Rel-18 for NCR can also be considered as the stepping stone to enable RIS deployment in 6G </w:t>
      </w:r>
      <w:r>
        <w:rPr>
          <w:color w:val="000000"/>
        </w:rPr>
        <w:fldChar w:fldCharType="begin"/>
      </w:r>
      <w:r>
        <w:rPr>
          <w:color w:val="000000"/>
        </w:rPr>
        <w:instrText xml:space="preserve"> REF _Ref199432711 \r \h  \* MERGEFORMAT </w:instrText>
      </w:r>
      <w:r>
        <w:rPr>
          <w:color w:val="000000"/>
        </w:rPr>
        <w:fldChar w:fldCharType="separate"/>
      </w:r>
      <w:r>
        <w:rPr>
          <w:color w:val="000000"/>
        </w:rPr>
        <w:t>[7]</w:t>
      </w:r>
      <w:r>
        <w:rPr>
          <w:color w:val="000000"/>
        </w:rPr>
        <w:fldChar w:fldCharType="end"/>
      </w:r>
      <w:r>
        <w:rPr>
          <w:color w:val="000000"/>
        </w:rPr>
        <w:t xml:space="preserve">. </w:t>
      </w:r>
    </w:p>
    <w:p>
      <w:pPr>
        <w:snapToGrid w:val="0"/>
        <w:spacing w:before="120" w:after="120"/>
        <w:textAlignment w:val="center"/>
        <w:rPr>
          <w:color w:val="000000"/>
          <w:highlight w:val="yellow"/>
        </w:rPr>
      </w:pPr>
      <w:r>
        <w:rPr>
          <w:color w:val="000000"/>
        </w:rPr>
        <w:t>Based on all the progress, a</w:t>
      </w:r>
      <w:r>
        <w:rPr>
          <w:rFonts w:hint="eastAsia"/>
          <w:color w:val="000000"/>
        </w:rPr>
        <w:t>s</w:t>
      </w:r>
      <w:r>
        <w:rPr>
          <w:color w:val="000000"/>
        </w:rPr>
        <w:t xml:space="preserve"> the typical </w:t>
      </w:r>
      <w:r>
        <w:rPr>
          <w:rFonts w:hint="eastAsia"/>
          <w:color w:val="000000"/>
        </w:rPr>
        <w:t>example</w:t>
      </w:r>
      <w:r>
        <w:rPr>
          <w:color w:val="000000"/>
        </w:rPr>
        <w:t xml:space="preserve"> shown in </w:t>
      </w:r>
      <w:r>
        <w:rPr>
          <w:rFonts w:hint="eastAsia"/>
          <w:color w:val="000000"/>
          <w:lang w:val="en-US" w:eastAsia="zh-CN"/>
        </w:rPr>
        <w:t>Figure 6</w:t>
      </w:r>
      <w:r>
        <w:rPr>
          <w:color w:val="000000"/>
        </w:rPr>
        <w:t xml:space="preserve">, the deployment </w:t>
      </w:r>
      <w:r>
        <w:rPr>
          <w:rFonts w:hint="eastAsia"/>
          <w:color w:val="000000"/>
        </w:rPr>
        <w:t>with</w:t>
      </w:r>
      <w:r>
        <w:rPr>
          <w:color w:val="000000"/>
        </w:rPr>
        <w:t xml:space="preserve"> RIS can be </w:t>
      </w:r>
      <w:r>
        <w:rPr>
          <w:rFonts w:hint="eastAsia"/>
          <w:color w:val="000000"/>
        </w:rPr>
        <w:t>flexibl</w:t>
      </w:r>
      <w:r>
        <w:rPr>
          <w:color w:val="000000"/>
        </w:rPr>
        <w:t xml:space="preserve">y (e.g., on-demand) integrated in the traditional scenarios (e.g., UMa, UMi, InH, etc) to improve the service quality for all services. </w:t>
      </w:r>
    </w:p>
    <w:p>
      <w:pPr>
        <w:snapToGrid w:val="0"/>
        <w:spacing w:before="120" w:after="120"/>
        <w:textAlignment w:val="center"/>
        <w:rPr>
          <w:color w:val="000000"/>
        </w:rPr>
      </w:pPr>
    </w:p>
    <w:p>
      <w:pPr>
        <w:keepNext/>
        <w:snapToGrid w:val="0"/>
        <w:spacing w:before="120" w:after="120"/>
        <w:jc w:val="center"/>
        <w:textAlignment w:val="center"/>
      </w:pPr>
      <w:r>
        <w:rPr>
          <w:color w:val="000000"/>
        </w:rPr>
        <w:drawing>
          <wp:inline distT="0" distB="0" distL="0" distR="0">
            <wp:extent cx="3009900" cy="1944370"/>
            <wp:effectExtent l="0" t="0" r="0" b="0"/>
            <wp:docPr id="22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5"/>
                    <pic:cNvPicPr>
                      <a:picLocks noChangeAspect="1"/>
                    </pic:cNvPicPr>
                  </pic:nvPicPr>
                  <pic:blipFill>
                    <a:blip r:embed="rId17"/>
                    <a:stretch>
                      <a:fillRect/>
                    </a:stretch>
                  </pic:blipFill>
                  <pic:spPr>
                    <a:xfrm>
                      <a:off x="0" y="0"/>
                      <a:ext cx="3018930" cy="1950196"/>
                    </a:xfrm>
                    <a:prstGeom prst="rect">
                      <a:avLst/>
                    </a:prstGeom>
                  </pic:spPr>
                </pic:pic>
              </a:graphicData>
            </a:graphic>
          </wp:inline>
        </w:drawing>
      </w:r>
    </w:p>
    <w:p>
      <w:pPr>
        <w:pStyle w:val="12"/>
        <w:spacing w:before="120" w:after="120"/>
        <w:jc w:val="center"/>
        <w:rPr>
          <w:rFonts w:ascii="Times New Roman" w:hAnsi="Times New Roman"/>
        </w:rPr>
      </w:pPr>
      <w:r>
        <w:rPr>
          <w:rFonts w:hint="eastAsia" w:ascii="Times New Roman" w:hAnsi="Times New Roman"/>
          <w:lang w:val="en-US" w:eastAsia="zh-CN"/>
        </w:rPr>
        <w:t>Figure 6</w:t>
      </w:r>
      <w:r>
        <w:rPr>
          <w:rFonts w:ascii="Times New Roman" w:hAnsi="Times New Roman"/>
        </w:rPr>
        <w:t xml:space="preserve"> </w:t>
      </w:r>
      <w:r>
        <w:rPr>
          <w:rFonts w:hint="eastAsia" w:ascii="Times New Roman" w:hAnsi="Times New Roman"/>
        </w:rPr>
        <w:t>I</w:t>
      </w:r>
      <w:r>
        <w:rPr>
          <w:rFonts w:ascii="Times New Roman" w:hAnsi="Times New Roman"/>
        </w:rPr>
        <w:t>llustration of the outdoor scenarios with RIS</w:t>
      </w:r>
    </w:p>
    <w:p>
      <w:pPr>
        <w:spacing w:before="120" w:after="120"/>
      </w:pPr>
      <w:r>
        <w:t>Additionally, BS with energy harvesting capability can also be considered for study.</w:t>
      </w:r>
    </w:p>
    <w:p>
      <w:pPr>
        <w:snapToGrid w:val="0"/>
        <w:spacing w:before="120" w:after="120"/>
        <w:textAlignment w:val="center"/>
        <w:rPr>
          <w:color w:val="000000"/>
        </w:rPr>
      </w:pPr>
      <w:r>
        <w:rPr>
          <w:color w:val="000000"/>
        </w:rPr>
        <w:t xml:space="preserve">In addition to the improvement of performance, comparing with other approaches, e.g., repeater, relay, due to negligible power consumption, </w:t>
      </w:r>
      <w:bookmarkStart w:id="161" w:name="_Ref32608518"/>
      <w:r>
        <w:rPr>
          <w:color w:val="000000"/>
        </w:rPr>
        <w:t xml:space="preserve">the deployment of RIS, especially multi-RISs, can be considered as the </w:t>
      </w:r>
      <w:r>
        <w:rPr>
          <w:rFonts w:hint="eastAsia"/>
          <w:color w:val="000000"/>
        </w:rPr>
        <w:t>efficient</w:t>
      </w:r>
      <w:r>
        <w:rPr>
          <w:color w:val="000000"/>
        </w:rPr>
        <w:t xml:space="preserve"> way to boost the benefits of MIMO. To assess the energy efficiency gains of the multi-layer deployment, the simulation is conducted with the results shown in </w:t>
      </w:r>
      <w:r>
        <w:rPr>
          <w:rFonts w:hint="eastAsia"/>
          <w:color w:val="000000"/>
          <w:lang w:val="en-US" w:eastAsia="zh-CN"/>
        </w:rPr>
        <w:t>Figure 7</w:t>
      </w:r>
      <w:r>
        <w:rPr>
          <w:color w:val="000000"/>
        </w:rPr>
        <w:t>, i.e., performance of both systems in terms of power usage and energy efficiency with respect to achievable spectral efficiency. It can be found that with deployment of RIS, overall energy efficiency is improved.</w:t>
      </w:r>
    </w:p>
    <w:p>
      <w:pPr>
        <w:pStyle w:val="83"/>
        <w:keepNext/>
        <w:snapToGrid w:val="0"/>
        <w:spacing w:before="120" w:beforeLines="50" w:after="120" w:afterLines="50"/>
        <w:jc w:val="center"/>
      </w:pPr>
      <w:r>
        <w:rPr>
          <w:lang w:val="en-US" w:eastAsia="en-US"/>
        </w:rPr>
        <w:drawing>
          <wp:inline distT="0" distB="0" distL="0" distR="0">
            <wp:extent cx="2806065" cy="2092960"/>
            <wp:effectExtent l="0" t="0" r="635" b="2540"/>
            <wp:docPr id="5"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4" descr="Chart, bar chart&#10;&#10;Description automatically generated"/>
                    <pic:cNvPicPr>
                      <a:picLocks noChangeAspect="1"/>
                    </pic:cNvPicPr>
                  </pic:nvPicPr>
                  <pic:blipFill>
                    <a:blip r:embed="rId18"/>
                    <a:stretch>
                      <a:fillRect/>
                    </a:stretch>
                  </pic:blipFill>
                  <pic:spPr>
                    <a:xfrm>
                      <a:off x="0" y="0"/>
                      <a:ext cx="2806144" cy="2093266"/>
                    </a:xfrm>
                    <a:prstGeom prst="rect">
                      <a:avLst/>
                    </a:prstGeom>
                  </pic:spPr>
                </pic:pic>
              </a:graphicData>
            </a:graphic>
          </wp:inline>
        </w:drawing>
      </w:r>
      <w:r>
        <w:rPr>
          <w:lang w:val="en-US" w:eastAsia="en-US"/>
        </w:rPr>
        <w:drawing>
          <wp:inline distT="0" distB="0" distL="0" distR="0">
            <wp:extent cx="2807970" cy="2092960"/>
            <wp:effectExtent l="0" t="0" r="11430" b="2540"/>
            <wp:docPr id="14" name="Picture 7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5" descr="Chart, histogram&#10;&#10;Description automatically generated"/>
                    <pic:cNvPicPr>
                      <a:picLocks noChangeAspect="1"/>
                    </pic:cNvPicPr>
                  </pic:nvPicPr>
                  <pic:blipFill>
                    <a:blip r:embed="rId19"/>
                    <a:stretch>
                      <a:fillRect/>
                    </a:stretch>
                  </pic:blipFill>
                  <pic:spPr>
                    <a:xfrm>
                      <a:off x="0" y="0"/>
                      <a:ext cx="2808358" cy="2093266"/>
                    </a:xfrm>
                    <a:prstGeom prst="rect">
                      <a:avLst/>
                    </a:prstGeom>
                  </pic:spPr>
                </pic:pic>
              </a:graphicData>
            </a:graphic>
          </wp:inline>
        </w:drawing>
      </w:r>
    </w:p>
    <w:p>
      <w:pPr>
        <w:pStyle w:val="83"/>
        <w:numPr>
          <w:ilvl w:val="0"/>
          <w:numId w:val="9"/>
        </w:numPr>
        <w:snapToGrid w:val="0"/>
        <w:spacing w:before="120" w:beforeLines="50" w:after="120" w:afterLines="50"/>
        <w:ind w:firstLine="1540"/>
        <w:rPr>
          <w:color w:val="000000"/>
          <w:kern w:val="2"/>
          <w:lang w:val="en-US" w:eastAsia="zh-CN"/>
        </w:rPr>
      </w:pPr>
      <w:r>
        <w:rPr>
          <w:color w:val="000000"/>
          <w:kern w:val="2"/>
          <w:lang w:val="en-US" w:eastAsia="zh-CN"/>
        </w:rPr>
        <w:t>Power consumption                       b) Energy efficiency</w:t>
      </w:r>
    </w:p>
    <w:p>
      <w:pPr>
        <w:pStyle w:val="12"/>
        <w:spacing w:before="120" w:after="120"/>
        <w:jc w:val="center"/>
        <w:rPr>
          <w:rFonts w:ascii="Times New Roman" w:hAnsi="Times New Roman"/>
          <w:b/>
          <w:color w:val="000000"/>
        </w:rPr>
      </w:pPr>
      <w:r>
        <w:rPr>
          <w:rFonts w:hint="eastAsia" w:ascii="Times New Roman" w:hAnsi="Times New Roman"/>
          <w:lang w:val="en-US" w:eastAsia="zh-CN"/>
        </w:rPr>
        <w:t xml:space="preserve">Figure 7 </w:t>
      </w:r>
      <w:r>
        <w:rPr>
          <w:rFonts w:ascii="Times New Roman" w:hAnsi="Times New Roman"/>
          <w:color w:val="000000"/>
        </w:rPr>
        <w:t>Comparison of Power consumption and Energy efficiency for the cases with/without RIS</w:t>
      </w:r>
    </w:p>
    <w:p>
      <w:pPr>
        <w:snapToGrid w:val="0"/>
        <w:spacing w:before="120" w:after="120"/>
        <w:textAlignment w:val="center"/>
        <w:rPr>
          <w:bCs/>
        </w:rPr>
      </w:pPr>
      <w:r>
        <w:rPr>
          <w:bCs/>
        </w:rPr>
        <w:t xml:space="preserve">The simulations are repeated with different BS antenna configurations, different BS transmit power as well as different distribution of </w:t>
      </w:r>
      <w:r>
        <w:rPr>
          <w:color w:val="000000"/>
        </w:rPr>
        <w:t>RIS</w:t>
      </w:r>
      <w:r>
        <w:rPr>
          <w:bCs/>
        </w:rPr>
        <w:t xml:space="preserve">, to show that the increase in energy efficiency introduced by </w:t>
      </w:r>
      <w:r>
        <w:rPr>
          <w:color w:val="000000"/>
        </w:rPr>
        <w:t>passive nodes</w:t>
      </w:r>
      <w:r>
        <w:rPr>
          <w:bCs/>
        </w:rPr>
        <w:t xml:space="preserve"> can be achieved in a wide range of deployment scenarios.</w:t>
      </w:r>
    </w:p>
    <w:p>
      <w:pPr>
        <w:pStyle w:val="61"/>
        <w:spacing w:before="120" w:after="120"/>
        <w:jc w:val="both"/>
        <w:rPr>
          <w:lang w:val="en-US" w:eastAsia="zh-CN"/>
        </w:rPr>
      </w:pPr>
      <w:r>
        <w:t>Network energy efficiency can be improved with deployment of passive nodes e.g., RIS</w:t>
      </w:r>
      <w:r>
        <w:rPr>
          <w:lang w:val="en-US" w:eastAsia="zh-CN"/>
        </w:rPr>
        <w:t xml:space="preserve"> </w:t>
      </w:r>
    </w:p>
    <w:bookmarkEnd w:id="161"/>
    <w:p>
      <w:pPr>
        <w:pStyle w:val="62"/>
        <w:spacing w:before="120" w:after="120"/>
        <w:rPr>
          <w:lang w:val="en-US" w:eastAsia="zh-CN"/>
        </w:rPr>
      </w:pPr>
      <w:r>
        <w:t>The multi-layer deployment scenarios with passive nodes e.g., RIS, should be conisdered for network energy saving.  Energy saving schemes e.g. SSB on-off/allocation should be considered in such scenarios.</w:t>
      </w:r>
    </w:p>
    <w:p>
      <w:pPr>
        <w:pStyle w:val="62"/>
        <w:numPr>
          <w:ilvl w:val="0"/>
          <w:numId w:val="0"/>
        </w:numPr>
        <w:spacing w:before="120" w:after="120"/>
        <w:rPr>
          <w:szCs w:val="21"/>
          <w:lang w:val="en-US" w:eastAsia="zh-CN"/>
        </w:rPr>
      </w:pPr>
      <w:r>
        <w:t xml:space="preserve">  </w:t>
      </w: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Discussion on UE energy saving</w:t>
      </w:r>
    </w:p>
    <w:p>
      <w:pPr>
        <w:pStyle w:val="3"/>
        <w:spacing w:before="120" w:after="120" w:line="260" w:lineRule="auto"/>
        <w:ind w:left="0" w:right="200"/>
        <w:rPr>
          <w:rFonts w:ascii="Times New Roman" w:hAnsi="Times New Roman" w:eastAsia="宋体"/>
          <w:b/>
          <w:bCs/>
          <w:sz w:val="21"/>
          <w:szCs w:val="21"/>
        </w:rPr>
      </w:pPr>
      <w:r>
        <w:rPr>
          <w:rFonts w:hint="eastAsia" w:ascii="Times New Roman" w:hAnsi="Times New Roman" w:eastAsia="宋体"/>
          <w:b/>
          <w:bCs/>
          <w:sz w:val="21"/>
          <w:szCs w:val="21"/>
        </w:rPr>
        <w:t>Idle/inactive mode</w:t>
      </w:r>
    </w:p>
    <w:p>
      <w:pPr>
        <w:spacing w:before="0" w:beforeLines="0" w:after="0" w:afterLines="0" w:line="240" w:lineRule="auto"/>
      </w:pPr>
      <w:r>
        <w:rPr>
          <w:rFonts w:hint="eastAsia"/>
        </w:rPr>
        <w:t xml:space="preserve">In RRC Idle/Inactive, </w:t>
      </w:r>
      <w:r>
        <w:t>UE needs to wake up to detect paging DCI and performance RRM measurement, which are the contributor of UE power consumption</w:t>
      </w:r>
      <w:r>
        <w:rPr>
          <w:rFonts w:hint="eastAsia"/>
        </w:rPr>
        <w:t xml:space="preserve">. </w:t>
      </w:r>
      <w:r>
        <w:t>In the following section, the solutions to reduce UE power consumption in idle/inactive mode are discussed.</w:t>
      </w:r>
    </w:p>
    <w:p>
      <w:pPr>
        <w:pStyle w:val="4"/>
        <w:numPr>
          <w:ilvl w:val="2"/>
          <w:numId w:val="1"/>
        </w:numPr>
        <w:spacing w:after="120"/>
        <w:rPr>
          <w:b/>
          <w:bCs/>
          <w:sz w:val="21"/>
          <w:szCs w:val="21"/>
        </w:rPr>
      </w:pPr>
      <w:r>
        <w:rPr>
          <w:b/>
          <w:bCs/>
          <w:sz w:val="21"/>
          <w:szCs w:val="21"/>
        </w:rPr>
        <w:t>Paging procedure</w:t>
      </w:r>
    </w:p>
    <w:p>
      <w:pPr>
        <w:widowControl w:val="0"/>
        <w:spacing w:before="120" w:beforeLines="0" w:after="120" w:afterLines="0" w:line="240" w:lineRule="auto"/>
      </w:pPr>
      <w:r>
        <w:t xml:space="preserve">In 5G NR, PEI and LP-WUS were introduced to reduce the power </w:t>
      </w:r>
      <w:r>
        <w:rPr>
          <w:rFonts w:hint="eastAsia"/>
        </w:rPr>
        <w:t xml:space="preserve">associated </w:t>
      </w:r>
      <w:r>
        <w:t>on blind</w:t>
      </w:r>
      <w:r>
        <w:rPr>
          <w:rFonts w:hint="eastAsia"/>
        </w:rPr>
        <w:t xml:space="preserve"> detection of</w:t>
      </w:r>
      <w:r>
        <w:t xml:space="preserve"> paging DCI. </w:t>
      </w:r>
      <w:r>
        <w:rPr>
          <w:rFonts w:hint="eastAsia"/>
        </w:rPr>
        <w:t>These mechanisms divide UEs into multiple groups</w:t>
      </w:r>
      <w:r>
        <w:t xml:space="preserve">, </w:t>
      </w:r>
      <w:r>
        <w:rPr>
          <w:rFonts w:hint="eastAsia"/>
        </w:rPr>
        <w:t xml:space="preserve">where </w:t>
      </w:r>
      <w:r>
        <w:t>the UE</w:t>
      </w:r>
      <w:r>
        <w:rPr>
          <w:rFonts w:hint="eastAsia"/>
        </w:rPr>
        <w:t xml:space="preserve"> group is a</w:t>
      </w:r>
      <w:r>
        <w:t>waken</w:t>
      </w:r>
      <w:r>
        <w:rPr>
          <w:rFonts w:hint="eastAsia"/>
        </w:rPr>
        <w:t>ed</w:t>
      </w:r>
      <w:r>
        <w:t xml:space="preserve"> when one or more UEs in </w:t>
      </w:r>
      <w:r>
        <w:rPr>
          <w:rFonts w:hint="eastAsia"/>
        </w:rPr>
        <w:t>the</w:t>
      </w:r>
      <w:r>
        <w:t xml:space="preserve"> group are pag</w:t>
      </w:r>
      <w:r>
        <w:rPr>
          <w:rFonts w:hint="eastAsia"/>
        </w:rPr>
        <w:t>ed</w:t>
      </w:r>
      <w:r>
        <w:t xml:space="preserve">. </w:t>
      </w:r>
      <w:r>
        <w:rPr>
          <w:rFonts w:hint="eastAsia"/>
        </w:rPr>
        <w:t>However, this group-based wake-up approach carries an inherent probability of false alarms.</w:t>
      </w:r>
      <w:r>
        <w:t xml:space="preserve"> </w:t>
      </w:r>
      <w:r>
        <w:rPr>
          <w:rFonts w:hint="eastAsia"/>
        </w:rPr>
        <w:t xml:space="preserve">It is possible </w:t>
      </w:r>
      <w:r>
        <w:t xml:space="preserve">that the UE </w:t>
      </w:r>
      <w:r>
        <w:rPr>
          <w:rFonts w:hint="eastAsia"/>
        </w:rPr>
        <w:t xml:space="preserve">may </w:t>
      </w:r>
      <w:r>
        <w:t>be mistakenly awakened</w:t>
      </w:r>
      <w:r>
        <w:rPr>
          <w:rFonts w:hint="eastAsia"/>
        </w:rPr>
        <w:t xml:space="preserve"> when it is not the intended recipient of a paging message. This</w:t>
      </w:r>
      <w:r>
        <w:t xml:space="preserve"> result</w:t>
      </w:r>
      <w:r>
        <w:rPr>
          <w:rFonts w:hint="eastAsia"/>
        </w:rPr>
        <w:t>s</w:t>
      </w:r>
      <w:r>
        <w:t xml:space="preserve"> in unnecessary paging DCI blind detection and </w:t>
      </w:r>
      <w:r>
        <w:rPr>
          <w:rFonts w:hint="eastAsia"/>
        </w:rPr>
        <w:t xml:space="preserve">increased </w:t>
      </w:r>
      <w:r>
        <w:t>UE power consumption.</w:t>
      </w:r>
      <w:r>
        <w:rPr>
          <w:rFonts w:hint="eastAsia"/>
        </w:rPr>
        <w:t xml:space="preserve"> Meanwhile, </w:t>
      </w:r>
      <w:r>
        <w:t>g</w:t>
      </w:r>
      <w:r>
        <w:rPr>
          <w:rFonts w:hint="eastAsia"/>
        </w:rPr>
        <w:t>roup</w:t>
      </w:r>
      <w:r>
        <w:t xml:space="preserve"> based</w:t>
      </w:r>
      <w:r>
        <w:rPr>
          <w:rFonts w:hint="eastAsia"/>
        </w:rPr>
        <w:t xml:space="preserve"> PEI and LP-WUS have also increased network overhead</w:t>
      </w:r>
      <w:r>
        <w:t xml:space="preserve"> as they are</w:t>
      </w:r>
      <w:r>
        <w:rPr>
          <w:rFonts w:hint="eastAsia"/>
        </w:rPr>
        <w:t xml:space="preserve"> additional signal</w:t>
      </w:r>
      <w:r>
        <w:t>s</w:t>
      </w:r>
      <w:r>
        <w:rPr>
          <w:rFonts w:hint="eastAsia"/>
        </w:rPr>
        <w:t xml:space="preserve"> for the NW.</w:t>
      </w:r>
    </w:p>
    <w:p>
      <w:pPr>
        <w:pStyle w:val="61"/>
        <w:spacing w:before="120" w:after="120"/>
        <w:jc w:val="both"/>
        <w:rPr>
          <w:lang w:val="en-US" w:eastAsia="zh-CN"/>
        </w:rPr>
      </w:pPr>
      <w:bookmarkStart w:id="162" w:name="_Toc10515"/>
      <w:bookmarkStart w:id="163" w:name="_Toc1706653871"/>
      <w:bookmarkStart w:id="164" w:name="_Toc2655"/>
      <w:bookmarkStart w:id="165" w:name="_Toc18738"/>
      <w:bookmarkStart w:id="166" w:name="_Toc1831274147"/>
      <w:bookmarkStart w:id="167" w:name="_Toc1039616514"/>
      <w:r>
        <w:rPr>
          <w:lang w:val="en-US" w:eastAsia="zh-CN"/>
        </w:rPr>
        <w:t>Group wake</w:t>
      </w:r>
      <w:r>
        <w:rPr>
          <w:rFonts w:hint="eastAsia"/>
          <w:lang w:val="en-US" w:eastAsia="zh-CN"/>
        </w:rPr>
        <w:t>-</w:t>
      </w:r>
      <w:r>
        <w:rPr>
          <w:lang w:val="en-US" w:eastAsia="zh-CN"/>
        </w:rPr>
        <w:t xml:space="preserve">up </w:t>
      </w:r>
      <w:r>
        <w:rPr>
          <w:rFonts w:eastAsiaTheme="minorEastAsia"/>
          <w:szCs w:val="21"/>
          <w:lang w:val="en-US" w:eastAsia="zh-CN"/>
        </w:rPr>
        <w:t xml:space="preserve">introduces a </w:t>
      </w:r>
      <w:r>
        <w:rPr>
          <w:lang w:val="en-US" w:eastAsia="zh-CN"/>
        </w:rPr>
        <w:t xml:space="preserve">probability of false alarms, </w:t>
      </w:r>
      <w:r>
        <w:rPr>
          <w:rFonts w:hint="eastAsia"/>
          <w:lang w:val="en-US" w:eastAsia="zh-CN"/>
        </w:rPr>
        <w:t>leading to</w:t>
      </w:r>
      <w:r>
        <w:rPr>
          <w:lang w:val="en-US" w:eastAsia="zh-CN"/>
        </w:rPr>
        <w:t xml:space="preserve"> </w:t>
      </w:r>
      <w:r>
        <w:rPr>
          <w:rFonts w:hint="eastAsia"/>
          <w:lang w:val="en-US" w:eastAsia="zh-CN"/>
        </w:rPr>
        <w:t>unnecessary UE wake-ups</w:t>
      </w:r>
      <w:r>
        <w:rPr>
          <w:lang w:val="en-US" w:eastAsia="zh-CN"/>
        </w:rPr>
        <w:t>,</w:t>
      </w:r>
      <w:r>
        <w:rPr>
          <w:rFonts w:hint="eastAsia"/>
          <w:lang w:val="en-US" w:eastAsia="zh-CN"/>
        </w:rPr>
        <w:t xml:space="preserve"> ineffective </w:t>
      </w:r>
      <w:r>
        <w:rPr>
          <w:lang w:val="en-US" w:eastAsia="zh-CN"/>
        </w:rPr>
        <w:t>blind d</w:t>
      </w:r>
      <w:r>
        <w:rPr>
          <w:rFonts w:hint="eastAsia"/>
          <w:lang w:val="en-US" w:eastAsia="zh-CN"/>
        </w:rPr>
        <w:t>etection</w:t>
      </w:r>
      <w:r>
        <w:rPr>
          <w:lang w:val="en-US" w:eastAsia="zh-CN"/>
        </w:rPr>
        <w:t>, waste energy</w:t>
      </w:r>
      <w:r>
        <w:rPr>
          <w:rFonts w:hint="eastAsia"/>
          <w:lang w:val="en-US" w:eastAsia="zh-CN"/>
        </w:rPr>
        <w:t xml:space="preserve"> and</w:t>
      </w:r>
      <w:r>
        <w:rPr>
          <w:rFonts w:hint="eastAsia"/>
        </w:rPr>
        <w:t xml:space="preserve"> increased network overhead</w:t>
      </w:r>
      <w:r>
        <w:rPr>
          <w:lang w:val="en-US" w:eastAsia="zh-CN"/>
        </w:rPr>
        <w:t>.</w:t>
      </w:r>
      <w:bookmarkEnd w:id="162"/>
      <w:bookmarkEnd w:id="163"/>
      <w:bookmarkEnd w:id="164"/>
      <w:bookmarkEnd w:id="165"/>
      <w:bookmarkEnd w:id="166"/>
      <w:bookmarkEnd w:id="167"/>
    </w:p>
    <w:p>
      <w:pPr>
        <w:widowControl w:val="0"/>
        <w:spacing w:before="120" w:beforeLines="0" w:after="120" w:afterLines="0" w:line="240" w:lineRule="auto"/>
      </w:pPr>
      <w:r>
        <w:rPr>
          <w:rFonts w:hint="eastAsia"/>
        </w:rPr>
        <w:t xml:space="preserve">In 6GR, UE specific WUS can be considered. Unlike group-based WUS in 5G, a UE-specific WUS is transmitted specifically for an individual UE. </w:t>
      </w:r>
      <w:r>
        <w:rPr>
          <w:rFonts w:hint="eastAsia"/>
          <w:sz w:val="21"/>
        </w:rPr>
        <w:t xml:space="preserve">Unlike a group wake-up indicator, a UE-specific WUS </w:t>
      </w:r>
      <w:r>
        <w:rPr>
          <w:sz w:val="21"/>
        </w:rPr>
        <w:t>reduces</w:t>
      </w:r>
      <w:r>
        <w:rPr>
          <w:rFonts w:hint="eastAsia"/>
          <w:sz w:val="21"/>
        </w:rPr>
        <w:t xml:space="preserve"> the false-alarm rate, eliminating the </w:t>
      </w:r>
      <w:r>
        <w:rPr>
          <w:sz w:val="21"/>
        </w:rPr>
        <w:t xml:space="preserve">needs </w:t>
      </w:r>
      <w:r>
        <w:rPr>
          <w:rFonts w:hint="eastAsia"/>
          <w:sz w:val="21"/>
        </w:rPr>
        <w:t xml:space="preserve">of monitoring paging DCIs triggered by wake-ups transmitted for other UEs in </w:t>
      </w:r>
      <w:r>
        <w:rPr>
          <w:sz w:val="21"/>
        </w:rPr>
        <w:t>the</w:t>
      </w:r>
      <w:r>
        <w:rPr>
          <w:rFonts w:hint="eastAsia"/>
          <w:sz w:val="21"/>
        </w:rPr>
        <w:t xml:space="preserve"> group. </w:t>
      </w:r>
    </w:p>
    <w:p>
      <w:pPr>
        <w:widowControl w:val="0"/>
        <w:spacing w:before="120" w:beforeLines="0" w:after="120" w:afterLines="0" w:line="240" w:lineRule="auto"/>
      </w:pPr>
      <w:r>
        <w:rPr>
          <w:rFonts w:hint="eastAsia"/>
        </w:rPr>
        <w:t>This also allows the targeted UE to skip the reception</w:t>
      </w:r>
      <w:r>
        <w:t xml:space="preserve"> of paging DCI and paging PDSCH</w:t>
      </w:r>
      <w:r>
        <w:rPr>
          <w:rFonts w:hint="eastAsia"/>
        </w:rPr>
        <w:t xml:space="preserve">. Instead, the UE can directly initiate </w:t>
      </w:r>
      <w:r>
        <w:t>PRACH</w:t>
      </w:r>
      <w:r>
        <w:rPr>
          <w:rFonts w:hint="eastAsia"/>
        </w:rPr>
        <w:t xml:space="preserve"> procedure</w:t>
      </w:r>
      <w:r>
        <w:t xml:space="preserve"> when the UE specific WUS is received. As shown in Figure</w:t>
      </w:r>
      <w:r>
        <w:rPr>
          <w:rFonts w:hint="eastAsia"/>
        </w:rPr>
        <w:t xml:space="preserve"> </w:t>
      </w:r>
      <w:r>
        <w:rPr>
          <w:rFonts w:hint="eastAsia"/>
          <w:lang w:val="en-US" w:eastAsia="zh-CN"/>
        </w:rPr>
        <w:t>8</w:t>
      </w:r>
      <w:r>
        <w:rPr>
          <w:rFonts w:hint="eastAsia"/>
        </w:rPr>
        <w:t xml:space="preserve"> </w:t>
      </w:r>
      <w:r>
        <w:t>below, the power of receiving paging DCI and paging PDSCH can be reduced.</w:t>
      </w:r>
      <w:r>
        <w:rPr>
          <w:rFonts w:hint="eastAsia"/>
        </w:rPr>
        <w:t xml:space="preserve"> The resources allocated for paging DCI and paging PDSCH can also be reduced.</w:t>
      </w:r>
    </w:p>
    <w:p>
      <w:pPr>
        <w:widowControl w:val="0"/>
        <w:spacing w:before="120" w:beforeLines="0" w:after="120" w:afterLines="0" w:line="240" w:lineRule="auto"/>
        <w:jc w:val="center"/>
      </w:pPr>
      <w:r>
        <w:drawing>
          <wp:inline distT="0" distB="0" distL="114300" distR="114300">
            <wp:extent cx="4484370" cy="2034540"/>
            <wp:effectExtent l="0" t="0" r="11430" b="381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0"/>
                    <a:stretch>
                      <a:fillRect/>
                    </a:stretch>
                  </pic:blipFill>
                  <pic:spPr>
                    <a:xfrm>
                      <a:off x="0" y="0"/>
                      <a:ext cx="4484370" cy="2034540"/>
                    </a:xfrm>
                    <a:prstGeom prst="rect">
                      <a:avLst/>
                    </a:prstGeom>
                    <a:noFill/>
                    <a:ln>
                      <a:noFill/>
                    </a:ln>
                  </pic:spPr>
                </pic:pic>
              </a:graphicData>
            </a:graphic>
          </wp:inline>
        </w:drawing>
      </w:r>
    </w:p>
    <w:p>
      <w:pPr>
        <w:widowControl w:val="0"/>
        <w:spacing w:before="120" w:beforeLines="0" w:after="120" w:afterLines="0" w:line="240" w:lineRule="auto"/>
        <w:jc w:val="center"/>
      </w:pPr>
      <w:r>
        <w:rPr>
          <w:rFonts w:hint="eastAsia"/>
        </w:rPr>
        <w:t xml:space="preserve">Figure </w:t>
      </w:r>
      <w:r>
        <w:rPr>
          <w:rFonts w:hint="eastAsia"/>
          <w:lang w:val="en-US" w:eastAsia="zh-CN"/>
        </w:rPr>
        <w:t>8</w:t>
      </w:r>
      <w:r>
        <w:rPr>
          <w:rFonts w:hint="eastAsia"/>
        </w:rPr>
        <w:t>. UE specific WUS</w:t>
      </w:r>
    </w:p>
    <w:p>
      <w:pPr>
        <w:pStyle w:val="61"/>
        <w:widowControl w:val="0"/>
        <w:spacing w:before="120" w:beforeLines="0" w:after="120" w:afterLines="0" w:line="240" w:lineRule="auto"/>
        <w:jc w:val="both"/>
        <w:rPr>
          <w:rFonts w:eastAsiaTheme="minorEastAsia"/>
          <w:lang w:val="en-US" w:eastAsia="zh-CN"/>
        </w:rPr>
      </w:pPr>
      <w:bookmarkStart w:id="168" w:name="_Toc30147"/>
      <w:bookmarkStart w:id="169" w:name="_Toc2718"/>
      <w:bookmarkStart w:id="170" w:name="_Toc1325042563"/>
      <w:bookmarkStart w:id="171" w:name="_Toc1590547976"/>
      <w:bookmarkStart w:id="172" w:name="_Toc611399859"/>
      <w:bookmarkStart w:id="173" w:name="_Toc4626"/>
      <w:r>
        <w:rPr>
          <w:rFonts w:eastAsiaTheme="minorEastAsia"/>
          <w:lang w:val="en-US" w:eastAsia="zh-CN"/>
        </w:rPr>
        <w:t xml:space="preserve">UE-specific WUS can </w:t>
      </w:r>
      <w:r>
        <w:rPr>
          <w:rFonts w:hint="eastAsia" w:eastAsiaTheme="minorEastAsia"/>
          <w:lang w:val="en-US" w:eastAsia="zh-CN"/>
        </w:rPr>
        <w:t>r</w:t>
      </w:r>
      <w:r>
        <w:rPr>
          <w:rFonts w:eastAsiaTheme="minorEastAsia"/>
          <w:lang w:val="en-US" w:eastAsia="zh-CN"/>
        </w:rPr>
        <w:t>educe the false-alarm rate, eliminate the need of monitoring paging DCIs triggered by wake-ups</w:t>
      </w:r>
      <w:r>
        <w:rPr>
          <w:lang w:val="en-US" w:eastAsia="zh-CN"/>
        </w:rPr>
        <w:t xml:space="preserve"> transmitted for other UEs in the group, and reduce the resources allocated for paging DCI and paging PDSCH.</w:t>
      </w:r>
      <w:bookmarkEnd w:id="168"/>
      <w:bookmarkEnd w:id="169"/>
      <w:bookmarkEnd w:id="170"/>
      <w:bookmarkEnd w:id="171"/>
      <w:bookmarkEnd w:id="172"/>
    </w:p>
    <w:p>
      <w:pPr>
        <w:widowControl w:val="0"/>
        <w:spacing w:before="120" w:beforeLines="0" w:after="120" w:afterLines="0" w:line="240" w:lineRule="auto"/>
      </w:pPr>
      <w:r>
        <w:rPr>
          <w:rFonts w:hint="eastAsia"/>
        </w:rPr>
        <w:t>However, if multiple UEs need to be waken up, the overhead of UE specific WUS may increase</w:t>
      </w:r>
      <w:r>
        <w:t>,</w:t>
      </w:r>
      <w:r>
        <w:rPr>
          <w:rFonts w:hint="eastAsia"/>
        </w:rPr>
        <w:t xml:space="preserve"> which may slightly increase the energy consumption of base station</w:t>
      </w:r>
      <w:r>
        <w:t>. But the configuration of UE specific WUS can be</w:t>
      </w:r>
      <w:r>
        <w:rPr>
          <w:rFonts w:hint="eastAsia"/>
        </w:rPr>
        <w:t xml:space="preserve"> under NW</w:t>
      </w:r>
      <w:r>
        <w:t>’s</w:t>
      </w:r>
      <w:r>
        <w:rPr>
          <w:rFonts w:hint="eastAsia"/>
        </w:rPr>
        <w:t xml:space="preserve"> control</w:t>
      </w:r>
      <w:r>
        <w:t>, allowing for flexible management to mitigate overhead.</w:t>
      </w:r>
      <w:r>
        <w:rPr>
          <w:rFonts w:hint="eastAsia"/>
        </w:rPr>
        <w:t xml:space="preserve"> Additionally, </w:t>
      </w:r>
      <w:r>
        <w:t>with</w:t>
      </w:r>
      <w:r>
        <w:rPr>
          <w:rFonts w:hint="eastAsia"/>
        </w:rPr>
        <w:t xml:space="preserve"> UE specific WUS, mobility issue may need to be studied since the NW may not be aware of that the UE has moved to another cell. In this case, the UE may fall back to </w:t>
      </w:r>
      <w:r>
        <w:t xml:space="preserve">monitor </w:t>
      </w:r>
      <w:r>
        <w:rPr>
          <w:rFonts w:hint="eastAsia"/>
        </w:rPr>
        <w:t xml:space="preserve">group specific WUS or paging </w:t>
      </w:r>
      <w:r>
        <w:t>DCI</w:t>
      </w:r>
      <w:r>
        <w:rPr>
          <w:rFonts w:hint="eastAsia"/>
        </w:rPr>
        <w:t xml:space="preserve">. </w:t>
      </w:r>
    </w:p>
    <w:p>
      <w:pPr>
        <w:pStyle w:val="62"/>
        <w:spacing w:before="120" w:after="120"/>
        <w:rPr>
          <w:lang w:val="en-US" w:eastAsia="zh-CN"/>
        </w:rPr>
      </w:pPr>
      <w:bookmarkStart w:id="174" w:name="_Toc2074248024"/>
      <w:bookmarkStart w:id="175" w:name="_Toc87213540"/>
      <w:bookmarkStart w:id="176" w:name="_Toc1535397771"/>
      <w:bookmarkStart w:id="177" w:name="_Toc521382295"/>
      <w:bookmarkStart w:id="178" w:name="_Toc2452"/>
      <w:bookmarkStart w:id="179" w:name="_Toc1779303004"/>
      <w:r>
        <w:rPr>
          <w:rFonts w:hint="eastAsia"/>
          <w:lang w:val="en-US" w:eastAsia="zh-CN"/>
        </w:rPr>
        <w:t xml:space="preserve">UE specific and group specific WUS in idle/ </w:t>
      </w:r>
      <w:r>
        <w:rPr>
          <w:lang w:val="en-US" w:eastAsia="zh-CN"/>
        </w:rPr>
        <w:t>inactive</w:t>
      </w:r>
      <w:r>
        <w:rPr>
          <w:rFonts w:hint="eastAsia"/>
          <w:lang w:val="en-US" w:eastAsia="zh-CN"/>
        </w:rPr>
        <w:t xml:space="preserve"> </w:t>
      </w:r>
      <w:r>
        <w:rPr>
          <w:lang w:val="en-US" w:eastAsia="zh-CN"/>
        </w:rPr>
        <w:t xml:space="preserve">mode can be </w:t>
      </w:r>
      <w:r>
        <w:rPr>
          <w:rFonts w:hint="eastAsia"/>
          <w:lang w:val="en-US" w:eastAsia="zh-CN"/>
        </w:rPr>
        <w:t>studied</w:t>
      </w:r>
      <w:r>
        <w:rPr>
          <w:lang w:val="en-US" w:eastAsia="zh-CN"/>
        </w:rPr>
        <w:t>.</w:t>
      </w:r>
      <w:bookmarkEnd w:id="174"/>
      <w:bookmarkEnd w:id="175"/>
      <w:bookmarkEnd w:id="176"/>
      <w:bookmarkEnd w:id="177"/>
      <w:bookmarkEnd w:id="178"/>
      <w:bookmarkEnd w:id="179"/>
    </w:p>
    <w:p>
      <w:pPr>
        <w:spacing w:before="120" w:after="120"/>
      </w:pPr>
      <w:r>
        <w:rPr>
          <w:rFonts w:hint="eastAsia"/>
        </w:rPr>
        <w:t>During 5G LP-WUS discussion, sequence WUS</w:t>
      </w:r>
      <w:r>
        <w:t xml:space="preserve"> </w:t>
      </w:r>
      <w:r>
        <w:rPr>
          <w:rFonts w:hint="eastAsia"/>
        </w:rPr>
        <w:t xml:space="preserve">(OFDM WUS) and OOK WUS are studied. Compared with PDCCH WUS, sequence WUS and OOK WUS consume less power since the detection is performed in time domain. </w:t>
      </w:r>
      <w:r>
        <w:t>To be more specific,</w:t>
      </w:r>
      <w:r>
        <w:rPr>
          <w:rFonts w:hint="eastAsia"/>
        </w:rPr>
        <w:t xml:space="preserve"> PDCCH WUS relative power is</w:t>
      </w:r>
      <w:r>
        <w:t xml:space="preserve"> modeled as</w:t>
      </w:r>
      <w:r>
        <w:rPr>
          <w:rFonts w:hint="eastAsia"/>
        </w:rPr>
        <w:t xml:space="preserve"> 100, the relative power </w:t>
      </w:r>
      <w:r>
        <w:t xml:space="preserve">of </w:t>
      </w:r>
      <w:r>
        <w:rPr>
          <w:rFonts w:hint="eastAsia"/>
        </w:rPr>
        <w:t xml:space="preserve">sequence WUS is around 10, which only cost at most 1/10 power of PDCCH WUS. </w:t>
      </w:r>
      <w:r>
        <w:t>LP-WUS can achieve comparable MIL performance with that of NR PUSCH MSG3</w:t>
      </w:r>
      <w:r>
        <w:rPr>
          <w:rFonts w:hint="eastAsia"/>
        </w:rPr>
        <w:t xml:space="preserve"> [3]. However, </w:t>
      </w:r>
      <w:r>
        <w:t>to provide the</w:t>
      </w:r>
      <w:r>
        <w:rPr>
          <w:rFonts w:hint="eastAsia"/>
        </w:rPr>
        <w:t xml:space="preserve"> same coverage</w:t>
      </w:r>
      <w:r>
        <w:t>,</w:t>
      </w:r>
      <w:r>
        <w:rPr>
          <w:rFonts w:hint="eastAsia"/>
        </w:rPr>
        <w:t xml:space="preserve"> OOK WUS requires more resource </w:t>
      </w:r>
      <w:r>
        <w:t>c</w:t>
      </w:r>
      <w:r>
        <w:rPr>
          <w:rFonts w:hint="eastAsia"/>
        </w:rPr>
        <w:t>ompared with sequence WUS</w:t>
      </w:r>
      <w:r>
        <w:t>.</w:t>
      </w:r>
      <w:r>
        <w:rPr>
          <w:rFonts w:hint="eastAsia"/>
        </w:rPr>
        <w:t xml:space="preserve"> </w:t>
      </w:r>
      <w:r>
        <w:t>In 6GR,</w:t>
      </w:r>
      <w:r>
        <w:rPr>
          <w:rFonts w:hint="eastAsia"/>
        </w:rPr>
        <w:t xml:space="preserve"> sequence WUS can be studied.</w:t>
      </w:r>
    </w:p>
    <w:p>
      <w:pPr>
        <w:pStyle w:val="61"/>
        <w:widowControl w:val="0"/>
        <w:spacing w:before="120" w:beforeLines="0" w:after="120" w:afterLines="0" w:line="240" w:lineRule="auto"/>
        <w:rPr>
          <w:lang w:val="en-US" w:eastAsia="zh-CN"/>
        </w:rPr>
      </w:pPr>
      <w:bookmarkStart w:id="180" w:name="_Toc689216084"/>
      <w:bookmarkStart w:id="181" w:name="_Toc2388"/>
      <w:r>
        <w:rPr>
          <w:rFonts w:hint="eastAsia"/>
          <w:lang w:val="en-US" w:eastAsia="zh-CN"/>
        </w:rPr>
        <w:t>Compared with PDCCH WUS, sequence WUS and OOK WUS consume less power.</w:t>
      </w:r>
      <w:bookmarkEnd w:id="180"/>
      <w:bookmarkEnd w:id="181"/>
    </w:p>
    <w:p>
      <w:pPr>
        <w:pStyle w:val="61"/>
        <w:widowControl w:val="0"/>
        <w:spacing w:before="120" w:beforeLines="0" w:after="120" w:afterLines="0" w:line="240" w:lineRule="auto"/>
        <w:rPr>
          <w:lang w:val="en-US" w:eastAsia="zh-CN"/>
        </w:rPr>
      </w:pPr>
      <w:bookmarkStart w:id="182" w:name="_Toc1344625733"/>
      <w:bookmarkStart w:id="183" w:name="_Toc24218"/>
      <w:r>
        <w:rPr>
          <w:rFonts w:hint="eastAsia"/>
          <w:lang w:val="en-US" w:eastAsia="zh-CN"/>
        </w:rPr>
        <w:t>With same coverage requirement, OOK WUS needs more resources.</w:t>
      </w:r>
      <w:bookmarkEnd w:id="182"/>
      <w:bookmarkEnd w:id="183"/>
    </w:p>
    <w:p>
      <w:pPr>
        <w:pStyle w:val="62"/>
        <w:spacing w:before="120" w:after="120"/>
        <w:rPr>
          <w:lang w:val="en-US" w:eastAsia="zh-CN"/>
        </w:rPr>
      </w:pPr>
      <w:bookmarkStart w:id="184" w:name="_Toc25802"/>
      <w:bookmarkStart w:id="185" w:name="_Toc1149111993"/>
      <w:r>
        <w:t>S</w:t>
      </w:r>
      <w:r>
        <w:rPr>
          <w:rFonts w:hint="eastAsia"/>
        </w:rPr>
        <w:t>equence WUS can be studied</w:t>
      </w:r>
      <w:r>
        <w:rPr>
          <w:lang w:val="en-US" w:eastAsia="zh-CN"/>
        </w:rPr>
        <w:t>.</w:t>
      </w:r>
      <w:bookmarkEnd w:id="184"/>
      <w:bookmarkEnd w:id="185"/>
    </w:p>
    <w:bookmarkEnd w:id="173"/>
    <w:p>
      <w:pPr>
        <w:pStyle w:val="4"/>
        <w:numPr>
          <w:ilvl w:val="2"/>
          <w:numId w:val="1"/>
        </w:numPr>
        <w:spacing w:after="120"/>
        <w:rPr>
          <w:b/>
          <w:bCs/>
          <w:sz w:val="21"/>
          <w:szCs w:val="21"/>
        </w:rPr>
      </w:pPr>
      <w:r>
        <w:rPr>
          <w:rFonts w:hint="eastAsia"/>
          <w:b/>
          <w:bCs/>
          <w:sz w:val="21"/>
          <w:szCs w:val="21"/>
        </w:rPr>
        <w:t>Energy saving for cell search</w:t>
      </w:r>
    </w:p>
    <w:p>
      <w:pPr>
        <w:spacing w:before="120" w:after="120"/>
      </w:pPr>
      <w:r>
        <w:rPr>
          <w:rFonts w:hint="eastAsia"/>
        </w:rPr>
        <w:t xml:space="preserve">When the UE initiate the RACH procedure, </w:t>
      </w:r>
      <w:r>
        <w:t>it is essential for the SSB to provide accurate</w:t>
      </w:r>
      <w:r>
        <w:rPr>
          <w:rFonts w:hint="eastAsia"/>
        </w:rPr>
        <w:t xml:space="preserve"> beam </w:t>
      </w:r>
      <w:r>
        <w:t>information</w:t>
      </w:r>
      <w:r>
        <w:rPr>
          <w:rFonts w:hint="eastAsia"/>
        </w:rPr>
        <w:t xml:space="preserve"> to guarantee RACH performance. However, if UE need</w:t>
      </w:r>
      <w:r>
        <w:t>s</w:t>
      </w:r>
      <w:r>
        <w:rPr>
          <w:rFonts w:hint="eastAsia"/>
        </w:rPr>
        <w:t xml:space="preserve"> to detect massive number of beams before RACH</w:t>
      </w:r>
      <w:r>
        <w:t xml:space="preserve"> (e.g., in the case of </w:t>
      </w:r>
      <w:r>
        <w:rPr>
          <w:rFonts w:hint="eastAsia"/>
        </w:rPr>
        <w:t xml:space="preserve">cell-free/multi-TRP </w:t>
      </w:r>
      <w:r>
        <w:t>or higher frequency deployments)</w:t>
      </w:r>
      <w:r>
        <w:rPr>
          <w:rFonts w:hint="eastAsia"/>
        </w:rPr>
        <w:t xml:space="preserve">, it </w:t>
      </w:r>
      <w:r>
        <w:t>will result to</w:t>
      </w:r>
      <w:r>
        <w:rPr>
          <w:rFonts w:hint="eastAsia"/>
        </w:rPr>
        <w:t xml:space="preserve"> </w:t>
      </w:r>
      <w:r>
        <w:t xml:space="preserve">significant </w:t>
      </w:r>
      <w:r>
        <w:rPr>
          <w:rFonts w:hint="eastAsia"/>
        </w:rPr>
        <w:t>power consumption due to blind detection.</w:t>
      </w:r>
    </w:p>
    <w:p>
      <w:pPr>
        <w:spacing w:before="120" w:after="120"/>
      </w:pPr>
      <w:r>
        <w:rPr>
          <w:rFonts w:hint="eastAsia"/>
        </w:rPr>
        <w:t xml:space="preserve">To solve this issue, a mixed beam pattern </w:t>
      </w:r>
      <w:r>
        <w:t xml:space="preserve">combining </w:t>
      </w:r>
      <w:r>
        <w:rPr>
          <w:rFonts w:hint="eastAsia"/>
        </w:rPr>
        <w:t>on wide beam and narrow beam could be considered. For example, wide-beam based SSB</w:t>
      </w:r>
      <w:r>
        <w:t>s</w:t>
      </w:r>
      <w:r>
        <w:rPr>
          <w:rFonts w:hint="eastAsia"/>
        </w:rPr>
        <w:t xml:space="preserve"> </w:t>
      </w:r>
      <w:r>
        <w:t>are</w:t>
      </w:r>
      <w:r>
        <w:rPr>
          <w:rFonts w:hint="eastAsia"/>
        </w:rPr>
        <w:t xml:space="preserve"> transmitted with less beam indexes and narrow</w:t>
      </w:r>
      <w:r>
        <w:t>-</w:t>
      </w:r>
      <w:r>
        <w:rPr>
          <w:rFonts w:hint="eastAsia"/>
        </w:rPr>
        <w:t>beam based SSB</w:t>
      </w:r>
      <w:r>
        <w:t>s</w:t>
      </w:r>
      <w:r>
        <w:rPr>
          <w:rFonts w:hint="eastAsia"/>
        </w:rPr>
        <w:t xml:space="preserve"> </w:t>
      </w:r>
      <w:r>
        <w:t>are</w:t>
      </w:r>
      <w:r>
        <w:rPr>
          <w:rFonts w:hint="eastAsia"/>
        </w:rPr>
        <w:t xml:space="preserve"> transmitted with </w:t>
      </w:r>
      <w:r>
        <w:t>more</w:t>
      </w:r>
      <w:r>
        <w:rPr>
          <w:rFonts w:hint="eastAsia"/>
        </w:rPr>
        <w:t xml:space="preserve"> beam indexes. For the UE, it can firstly detect the wide beam based SSB and then detect narrow beam based SSB which is associated with a wide beam SSB, which c</w:t>
      </w:r>
      <w:r>
        <w:t>an</w:t>
      </w:r>
      <w:r>
        <w:rPr>
          <w:rFonts w:hint="eastAsia"/>
        </w:rPr>
        <w:t xml:space="preserve"> help reduce the number </w:t>
      </w:r>
      <w:r>
        <w:t>of</w:t>
      </w:r>
      <w:r>
        <w:rPr>
          <w:rFonts w:hint="eastAsia"/>
        </w:rPr>
        <w:t xml:space="preserve"> blind detection</w:t>
      </w:r>
      <w:r>
        <w:t xml:space="preserve"> of SSBs</w:t>
      </w:r>
      <w:r>
        <w:rPr>
          <w:rFonts w:hint="eastAsia"/>
        </w:rPr>
        <w:t>. For the NW, the number of transmitted wide beam SSBs c</w:t>
      </w:r>
      <w:r>
        <w:t>an</w:t>
      </w:r>
      <w:r>
        <w:rPr>
          <w:rFonts w:hint="eastAsia"/>
        </w:rPr>
        <w:t xml:space="preserve"> be reduced which </w:t>
      </w:r>
      <w:r>
        <w:t>is beneficial to</w:t>
      </w:r>
      <w:r>
        <w:rPr>
          <w:rFonts w:hint="eastAsia"/>
        </w:rPr>
        <w:t xml:space="preserve"> NW energy saving. The </w:t>
      </w:r>
      <w:r>
        <w:t>procedure</w:t>
      </w:r>
      <w:r>
        <w:rPr>
          <w:rFonts w:hint="eastAsia"/>
        </w:rPr>
        <w:t xml:space="preserve"> is shown </w:t>
      </w:r>
      <w:r>
        <w:t xml:space="preserve">in Figure </w:t>
      </w:r>
      <w:r>
        <w:rPr>
          <w:rFonts w:hint="eastAsia"/>
          <w:lang w:val="en-US" w:eastAsia="zh-CN"/>
        </w:rPr>
        <w:t>9</w:t>
      </w:r>
      <w:r>
        <w:t xml:space="preserve"> </w:t>
      </w:r>
      <w:r>
        <w:rPr>
          <w:rFonts w:hint="eastAsia"/>
        </w:rPr>
        <w:t>as follows:</w:t>
      </w:r>
    </w:p>
    <w:p>
      <w:pPr>
        <w:spacing w:before="120" w:after="120"/>
        <w:jc w:val="center"/>
      </w:pPr>
      <w:r>
        <w:drawing>
          <wp:inline distT="0" distB="0" distL="114300" distR="114300">
            <wp:extent cx="5179695" cy="2770505"/>
            <wp:effectExtent l="0" t="0" r="190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21"/>
                    <a:stretch>
                      <a:fillRect/>
                    </a:stretch>
                  </pic:blipFill>
                  <pic:spPr>
                    <a:xfrm>
                      <a:off x="0" y="0"/>
                      <a:ext cx="5179695" cy="2770505"/>
                    </a:xfrm>
                    <a:prstGeom prst="rect">
                      <a:avLst/>
                    </a:prstGeom>
                  </pic:spPr>
                </pic:pic>
              </a:graphicData>
            </a:graphic>
          </wp:inline>
        </w:drawing>
      </w:r>
    </w:p>
    <w:p>
      <w:pPr>
        <w:spacing w:before="120" w:after="120"/>
        <w:jc w:val="center"/>
      </w:pPr>
      <w:r>
        <w:rPr>
          <w:rFonts w:hint="eastAsia"/>
        </w:rPr>
        <w:t xml:space="preserve">Figure </w:t>
      </w:r>
      <w:r>
        <w:rPr>
          <w:rFonts w:hint="eastAsia"/>
          <w:lang w:val="en-US" w:eastAsia="zh-CN"/>
        </w:rPr>
        <w:t>9</w:t>
      </w:r>
      <w:r>
        <w:rPr>
          <w:rFonts w:hint="eastAsia"/>
        </w:rPr>
        <w:t>. Two</w:t>
      </w:r>
      <w:r>
        <w:t>-</w:t>
      </w:r>
      <w:r>
        <w:rPr>
          <w:rFonts w:hint="eastAsia"/>
        </w:rPr>
        <w:t>stage SSB based on wide beam and narrow beam</w:t>
      </w:r>
    </w:p>
    <w:p>
      <w:pPr>
        <w:spacing w:before="120" w:after="120"/>
      </w:pPr>
      <w:r>
        <w:t xml:space="preserve">As shown in Figure 7, the UE can reduce its detection efforts </w:t>
      </w:r>
      <w:r>
        <w:rPr>
          <w:rFonts w:hint="eastAsia"/>
        </w:rPr>
        <w:t>by 40% (</w:t>
      </w:r>
      <w:r>
        <w:t>from 10 beam detections to 6</w:t>
      </w:r>
      <w:r>
        <w:rPr>
          <w:rFonts w:hint="eastAsia"/>
        </w:rPr>
        <w:t>) and save power consumption for blind detection. Additionally, for the NW, the wide beam based SSB c</w:t>
      </w:r>
      <w:r>
        <w:t xml:space="preserve">an </w:t>
      </w:r>
      <w:r>
        <w:rPr>
          <w:rFonts w:hint="eastAsia"/>
        </w:rPr>
        <w:t>save NW energy due to less beam indexes</w:t>
      </w:r>
      <w:r>
        <w:t>, while</w:t>
      </w:r>
      <w:r>
        <w:rPr>
          <w:rFonts w:hint="eastAsia"/>
        </w:rPr>
        <w:t xml:space="preserve"> narrow beam</w:t>
      </w:r>
      <w:r>
        <w:rPr>
          <w:rStyle w:val="32"/>
          <w:rFonts w:hint="eastAsia"/>
        </w:rPr>
        <w:t xml:space="preserve"> </w:t>
      </w:r>
      <w:r>
        <w:rPr>
          <w:rFonts w:hint="eastAsia"/>
        </w:rPr>
        <w:t>based SSB c</w:t>
      </w:r>
      <w:r>
        <w:t>an</w:t>
      </w:r>
      <w:r>
        <w:rPr>
          <w:rFonts w:hint="eastAsia"/>
        </w:rPr>
        <w:t xml:space="preserve"> be </w:t>
      </w:r>
      <w:r>
        <w:t>transmitted</w:t>
      </w:r>
      <w:r>
        <w:rPr>
          <w:rFonts w:hint="eastAsia"/>
        </w:rPr>
        <w:t xml:space="preserve"> on on-demand. </w:t>
      </w:r>
      <w:r>
        <w:t>This approach provides energy-saving benefits to both the UE and the network.</w:t>
      </w:r>
    </w:p>
    <w:p>
      <w:pPr>
        <w:spacing w:before="120" w:after="120"/>
      </w:pPr>
      <w:r>
        <w:rPr>
          <w:rFonts w:hint="eastAsia"/>
        </w:rPr>
        <w:t xml:space="preserve">To further reduced the overhead for narrow beam signal, narrow beam SSB </w:t>
      </w:r>
      <w:r>
        <w:t xml:space="preserve">replaced by CSI-RS </w:t>
      </w:r>
      <w:r>
        <w:rPr>
          <w:rFonts w:hint="eastAsia"/>
        </w:rPr>
        <w:t>in idle/inactive mode can be</w:t>
      </w:r>
      <w:r>
        <w:t xml:space="preserve"> also</w:t>
      </w:r>
      <w:r>
        <w:rPr>
          <w:rFonts w:hint="eastAsia"/>
        </w:rPr>
        <w:t xml:space="preserve"> considered,</w:t>
      </w:r>
      <w:r>
        <w:t xml:space="preserve"> or</w:t>
      </w:r>
      <w:r>
        <w:rPr>
          <w:rFonts w:hint="eastAsia"/>
        </w:rPr>
        <w:t xml:space="preserve"> a simplified SSB </w:t>
      </w:r>
      <w:r>
        <w:t xml:space="preserve">can </w:t>
      </w:r>
      <w:r>
        <w:rPr>
          <w:rFonts w:hint="eastAsia"/>
        </w:rPr>
        <w:t xml:space="preserve">be studied for the second stage SSB. </w:t>
      </w:r>
    </w:p>
    <w:p>
      <w:pPr>
        <w:pStyle w:val="62"/>
        <w:spacing w:before="120" w:after="120"/>
        <w:rPr>
          <w:rFonts w:eastAsia="宋体"/>
          <w:lang w:val="en-US" w:eastAsia="zh-CN"/>
        </w:rPr>
      </w:pPr>
      <w:bookmarkStart w:id="186" w:name="_Toc2023894183"/>
      <w:bookmarkStart w:id="187" w:name="_Toc285402898"/>
      <w:bookmarkStart w:id="188" w:name="_Toc14999"/>
      <w:bookmarkStart w:id="189" w:name="_Toc1566710936"/>
      <w:bookmarkStart w:id="190" w:name="_Toc2079649747"/>
      <w:bookmarkStart w:id="191" w:name="_Toc791758628"/>
      <w:r>
        <w:rPr>
          <w:rFonts w:hint="eastAsia"/>
          <w:lang w:val="en-US" w:eastAsia="zh-CN"/>
        </w:rPr>
        <w:t>Two stage SSB c</w:t>
      </w:r>
      <w:r>
        <w:rPr>
          <w:lang w:val="en-US" w:eastAsia="zh-CN"/>
        </w:rPr>
        <w:t>an</w:t>
      </w:r>
      <w:r>
        <w:rPr>
          <w:rFonts w:hint="eastAsia"/>
          <w:lang w:val="en-US" w:eastAsia="zh-CN"/>
        </w:rPr>
        <w:t xml:space="preserve"> be considered for UE and N</w:t>
      </w:r>
      <w:r>
        <w:rPr>
          <w:lang w:val="en-US" w:eastAsia="zh-CN"/>
        </w:rPr>
        <w:t>W energy saving</w:t>
      </w:r>
      <w:r>
        <w:rPr>
          <w:rFonts w:hint="eastAsia"/>
          <w:lang w:val="en-US" w:eastAsia="zh-CN"/>
        </w:rPr>
        <w:t>.</w:t>
      </w:r>
      <w:bookmarkEnd w:id="186"/>
      <w:bookmarkEnd w:id="187"/>
      <w:bookmarkEnd w:id="188"/>
      <w:bookmarkEnd w:id="189"/>
      <w:bookmarkEnd w:id="190"/>
      <w:bookmarkEnd w:id="191"/>
    </w:p>
    <w:p>
      <w:pPr>
        <w:pStyle w:val="3"/>
        <w:spacing w:before="120" w:after="120" w:line="260" w:lineRule="auto"/>
        <w:ind w:left="0" w:right="200"/>
        <w:rPr>
          <w:rFonts w:ascii="Times New Roman" w:hAnsi="Times New Roman" w:eastAsia="宋体"/>
          <w:b/>
          <w:bCs/>
          <w:sz w:val="21"/>
          <w:szCs w:val="21"/>
        </w:rPr>
      </w:pPr>
      <w:r>
        <w:rPr>
          <w:rFonts w:ascii="Times New Roman" w:hAnsi="Times New Roman" w:eastAsia="宋体"/>
          <w:b/>
          <w:bCs/>
          <w:sz w:val="21"/>
          <w:szCs w:val="21"/>
        </w:rPr>
        <w:t>C</w:t>
      </w:r>
      <w:r>
        <w:rPr>
          <w:rFonts w:hint="eastAsia" w:ascii="Times New Roman" w:hAnsi="Times New Roman" w:eastAsia="宋体"/>
          <w:b/>
          <w:bCs/>
          <w:sz w:val="21"/>
          <w:szCs w:val="21"/>
        </w:rPr>
        <w:t>onnect</w:t>
      </w:r>
      <w:r>
        <w:rPr>
          <w:rFonts w:ascii="Times New Roman" w:hAnsi="Times New Roman" w:eastAsia="宋体"/>
          <w:b/>
          <w:bCs/>
          <w:sz w:val="21"/>
          <w:szCs w:val="21"/>
        </w:rPr>
        <w:t>ed mode</w:t>
      </w:r>
    </w:p>
    <w:p>
      <w:pPr>
        <w:pStyle w:val="4"/>
        <w:numPr>
          <w:ilvl w:val="2"/>
          <w:numId w:val="1"/>
        </w:numPr>
        <w:spacing w:after="120"/>
        <w:rPr>
          <w:b/>
          <w:bCs/>
          <w:sz w:val="21"/>
          <w:szCs w:val="21"/>
        </w:rPr>
      </w:pPr>
      <w:r>
        <w:rPr>
          <w:rFonts w:hint="eastAsia"/>
          <w:b/>
          <w:bCs/>
          <w:sz w:val="21"/>
          <w:szCs w:val="21"/>
        </w:rPr>
        <w:t xml:space="preserve">UE energy saving in time </w:t>
      </w:r>
      <w:r>
        <w:rPr>
          <w:b/>
          <w:bCs/>
          <w:sz w:val="21"/>
          <w:szCs w:val="21"/>
        </w:rPr>
        <w:t>domain</w:t>
      </w:r>
    </w:p>
    <w:p>
      <w:pPr>
        <w:widowControl w:val="0"/>
        <w:spacing w:before="120" w:beforeLines="0" w:after="120" w:afterLines="0" w:line="240" w:lineRule="auto"/>
      </w:pPr>
      <w:r>
        <w:t xml:space="preserve">In 5G NR, </w:t>
      </w:r>
      <w:r>
        <w:rPr>
          <w:rFonts w:hint="eastAsia"/>
        </w:rPr>
        <w:t xml:space="preserve">as shown in the </w:t>
      </w:r>
      <w:r>
        <w:t xml:space="preserve">Figure </w:t>
      </w:r>
      <w:r>
        <w:rPr>
          <w:rFonts w:hint="eastAsia"/>
          <w:lang w:val="en-US" w:eastAsia="zh-CN"/>
        </w:rPr>
        <w:t>10</w:t>
      </w:r>
      <w:r>
        <w:rPr>
          <w:rFonts w:hint="eastAsia"/>
        </w:rPr>
        <w:t>, the dominant</w:t>
      </w:r>
      <w:r>
        <w:t xml:space="preserve"> component of UE</w:t>
      </w:r>
      <w:r>
        <w:rPr>
          <w:rFonts w:hint="eastAsia"/>
        </w:rPr>
        <w:t xml:space="preserve"> power consumption is PDCCH monitoring (PDCCH-only state). Thus, </w:t>
      </w:r>
      <w:r>
        <w:t xml:space="preserve">most </w:t>
      </w:r>
      <w:r>
        <w:rPr>
          <w:rFonts w:hint="eastAsia"/>
        </w:rPr>
        <w:t xml:space="preserve">UE saving </w:t>
      </w:r>
      <w:r>
        <w:t>schemes in time domain aim to reduce the power of PDCCH monitoring.</w:t>
      </w:r>
    </w:p>
    <w:tbl>
      <w:tblPr>
        <w:tblStyle w:val="25"/>
        <w:tblW w:w="0" w:type="auto"/>
        <w:jc w:val="center"/>
        <w:tblLayout w:type="autofit"/>
        <w:tblCellMar>
          <w:top w:w="0" w:type="dxa"/>
          <w:left w:w="108" w:type="dxa"/>
          <w:bottom w:w="0" w:type="dxa"/>
          <w:right w:w="108" w:type="dxa"/>
        </w:tblCellMar>
      </w:tblPr>
      <w:tblGrid>
        <w:gridCol w:w="4830"/>
      </w:tblGrid>
      <w:tr>
        <w:tblPrEx>
          <w:tblCellMar>
            <w:top w:w="0" w:type="dxa"/>
            <w:left w:w="108" w:type="dxa"/>
            <w:bottom w:w="0" w:type="dxa"/>
            <w:right w:w="108" w:type="dxa"/>
          </w:tblCellMar>
        </w:tblPrEx>
        <w:trPr>
          <w:jc w:val="center"/>
        </w:trPr>
        <w:tc>
          <w:tcPr>
            <w:tcW w:w="4830" w:type="dxa"/>
            <w:vAlign w:val="center"/>
          </w:tcPr>
          <w:p>
            <w:pPr>
              <w:widowControl w:val="0"/>
              <w:spacing w:before="120" w:beforeLines="0" w:after="120" w:afterLines="0" w:line="240" w:lineRule="auto"/>
              <w:jc w:val="center"/>
            </w:pPr>
            <w:r>
              <w:drawing>
                <wp:inline distT="0" distB="0" distL="114300" distR="114300">
                  <wp:extent cx="2207895" cy="1656080"/>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2"/>
                          <a:stretch>
                            <a:fillRect/>
                          </a:stretch>
                        </pic:blipFill>
                        <pic:spPr>
                          <a:xfrm>
                            <a:off x="0" y="0"/>
                            <a:ext cx="2207895" cy="1656080"/>
                          </a:xfrm>
                          <a:prstGeom prst="rect">
                            <a:avLst/>
                          </a:prstGeom>
                          <a:noFill/>
                          <a:ln w="9525">
                            <a:noFill/>
                          </a:ln>
                        </pic:spPr>
                      </pic:pic>
                    </a:graphicData>
                  </a:graphic>
                </wp:inline>
              </w:drawing>
            </w:r>
          </w:p>
        </w:tc>
      </w:tr>
    </w:tbl>
    <w:p>
      <w:pPr>
        <w:widowControl w:val="0"/>
        <w:numPr>
          <w:ilvl w:val="255"/>
          <w:numId w:val="0"/>
        </w:numPr>
        <w:spacing w:before="120" w:beforeLines="0" w:after="120" w:afterLines="0" w:line="240" w:lineRule="auto"/>
        <w:jc w:val="center"/>
      </w:pPr>
      <w:r>
        <w:rPr>
          <w:rFonts w:hint="eastAsia"/>
        </w:rPr>
        <w:t xml:space="preserve">Figure </w:t>
      </w:r>
      <w:r>
        <w:rPr>
          <w:rFonts w:hint="eastAsia"/>
          <w:lang w:val="en-US" w:eastAsia="zh-CN"/>
        </w:rPr>
        <w:t>10</w:t>
      </w:r>
      <w:r>
        <w:rPr>
          <w:rFonts w:hint="eastAsia"/>
        </w:rPr>
        <w:t xml:space="preserve">. </w:t>
      </w:r>
      <w:r>
        <w:t>UE power distribution</w:t>
      </w:r>
      <w:r>
        <w:rPr>
          <w:rFonts w:hint="eastAsia"/>
        </w:rPr>
        <w:t xml:space="preserve"> with C-DRX configuration</w:t>
      </w:r>
      <w:r>
        <w:t xml:space="preserve"> </w:t>
      </w:r>
      <w:r>
        <w:rPr>
          <w:rFonts w:hint="eastAsia"/>
        </w:rPr>
        <w:t>for VoIP</w:t>
      </w:r>
    </w:p>
    <w:p>
      <w:pPr>
        <w:widowControl w:val="0"/>
        <w:numPr>
          <w:ilvl w:val="255"/>
          <w:numId w:val="0"/>
        </w:numPr>
        <w:spacing w:before="120" w:beforeLines="0" w:after="120" w:afterLines="0" w:line="240" w:lineRule="auto"/>
      </w:pPr>
      <w:r>
        <w:rPr>
          <w:rFonts w:hint="eastAsia"/>
        </w:rPr>
        <w:t xml:space="preserve">These approaches can be categorized into two main directions: </w:t>
      </w:r>
      <w:r>
        <w:t>reduc</w:t>
      </w:r>
      <w:r>
        <w:rPr>
          <w:rFonts w:hint="eastAsia"/>
        </w:rPr>
        <w:t>ing</w:t>
      </w:r>
      <w:r>
        <w:t xml:space="preserve"> the PDCCH monitoring occasions and reduc</w:t>
      </w:r>
      <w:r>
        <w:rPr>
          <w:rFonts w:hint="eastAsia"/>
        </w:rPr>
        <w:t>ing</w:t>
      </w:r>
      <w:r>
        <w:t xml:space="preserve"> the power of PDCCH monitoring. The schemes o</w:t>
      </w:r>
      <w:r>
        <w:rPr>
          <w:rFonts w:hint="eastAsia"/>
        </w:rPr>
        <w:t>f</w:t>
      </w:r>
      <w:r>
        <w:t xml:space="preserve"> reducing the </w:t>
      </w:r>
      <w:r>
        <w:rPr>
          <w:rFonts w:hint="eastAsia"/>
        </w:rPr>
        <w:t xml:space="preserve">of </w:t>
      </w:r>
      <w:r>
        <w:t>PDCCH monitoring</w:t>
      </w:r>
      <w:r>
        <w:rPr>
          <w:rFonts w:hint="eastAsia"/>
        </w:rPr>
        <w:t xml:space="preserve"> occasions</w:t>
      </w:r>
      <w:r>
        <w:t xml:space="preserve"> include DRX, WUS, PDCCH skipping and search space group switching. </w:t>
      </w:r>
      <w:r>
        <w:rPr>
          <w:rFonts w:hint="eastAsia"/>
        </w:rPr>
        <w:t>While cross-slot scheduling is used to</w:t>
      </w:r>
      <w:r>
        <w:t xml:space="preserve"> reduc</w:t>
      </w:r>
      <w:r>
        <w:rPr>
          <w:rFonts w:hint="eastAsia"/>
        </w:rPr>
        <w:t>e</w:t>
      </w:r>
      <w:r>
        <w:t xml:space="preserve"> the power of PDCCH</w:t>
      </w:r>
      <w:r>
        <w:rPr>
          <w:rFonts w:hint="eastAsia"/>
        </w:rPr>
        <w:t xml:space="preserve"> monitoring.</w:t>
      </w:r>
    </w:p>
    <w:p>
      <w:pPr>
        <w:widowControl w:val="0"/>
        <w:spacing w:before="120" w:beforeLines="0" w:after="120" w:afterLines="0" w:line="240" w:lineRule="auto"/>
      </w:pPr>
      <w:r>
        <w:t xml:space="preserve">In 6G, the power consumption of PDCCH </w:t>
      </w:r>
      <w:r>
        <w:rPr>
          <w:rFonts w:hint="eastAsia"/>
        </w:rPr>
        <w:t xml:space="preserve">associated with PDCCH blind detection </w:t>
      </w:r>
      <w:r>
        <w:t xml:space="preserve">can </w:t>
      </w:r>
      <w:r>
        <w:rPr>
          <w:rFonts w:hint="eastAsia"/>
        </w:rPr>
        <w:t xml:space="preserve">further </w:t>
      </w:r>
      <w:r>
        <w:t xml:space="preserve">be reduced from the </w:t>
      </w:r>
      <w:r>
        <w:rPr>
          <w:rFonts w:hint="eastAsia"/>
        </w:rPr>
        <w:t xml:space="preserve">following </w:t>
      </w:r>
      <w:r>
        <w:t>directions.</w:t>
      </w:r>
    </w:p>
    <w:p>
      <w:pPr>
        <w:pStyle w:val="41"/>
        <w:widowControl w:val="0"/>
        <w:numPr>
          <w:ilvl w:val="0"/>
          <w:numId w:val="10"/>
        </w:numPr>
        <w:spacing w:before="120" w:after="120" w:afterLines="0" w:line="240" w:lineRule="auto"/>
        <w:rPr>
          <w:sz w:val="21"/>
          <w:szCs w:val="21"/>
        </w:rPr>
      </w:pPr>
      <w:r>
        <w:rPr>
          <w:rFonts w:eastAsia="宋体"/>
          <w:sz w:val="21"/>
          <w:szCs w:val="21"/>
        </w:rPr>
        <w:t xml:space="preserve">Dynamic </w:t>
      </w:r>
      <w:r>
        <w:rPr>
          <w:rFonts w:hint="eastAsia" w:eastAsia="宋体"/>
          <w:sz w:val="21"/>
          <w:szCs w:val="21"/>
        </w:rPr>
        <w:t>DRX</w:t>
      </w:r>
    </w:p>
    <w:p>
      <w:pPr>
        <w:spacing w:before="120" w:after="120"/>
      </w:pPr>
      <w:r>
        <w:rPr>
          <w:rFonts w:hint="eastAsia"/>
        </w:rPr>
        <w:t xml:space="preserve">DRX </w:t>
      </w:r>
      <w:r>
        <w:t>is effective</w:t>
      </w:r>
      <w:r>
        <w:rPr>
          <w:rFonts w:hint="eastAsia"/>
        </w:rPr>
        <w:t xml:space="preserve"> </w:t>
      </w:r>
      <w:r>
        <w:t xml:space="preserve">for </w:t>
      </w:r>
      <w:r>
        <w:rPr>
          <w:rFonts w:hint="eastAsia"/>
        </w:rPr>
        <w:t>periodic traffic and time insensitive traffic</w:t>
      </w:r>
      <w:r>
        <w:t xml:space="preserve"> and operates as a long on-off cycle scheme</w:t>
      </w:r>
      <w:r>
        <w:rPr>
          <w:rFonts w:hint="eastAsia"/>
        </w:rPr>
        <w:t xml:space="preserve">. If the </w:t>
      </w:r>
      <w:r>
        <w:t>e DRX on-off pattern can be aligned with the traffic arrival time</w:t>
      </w:r>
      <w:r>
        <w:rPr>
          <w:rFonts w:hint="eastAsia"/>
        </w:rPr>
        <w:t xml:space="preserve">, unnecessary power consumption will be </w:t>
      </w:r>
      <w:r>
        <w:t>reduced</w:t>
      </w:r>
      <w:r>
        <w:rPr>
          <w:rFonts w:hint="eastAsia"/>
        </w:rPr>
        <w:t xml:space="preserve">. </w:t>
      </w:r>
      <w:r>
        <w:t>However, d</w:t>
      </w:r>
      <w:r>
        <w:rPr>
          <w:rFonts w:hint="eastAsia"/>
        </w:rPr>
        <w:t xml:space="preserve">ifferent traffic </w:t>
      </w:r>
      <w:r>
        <w:t>may have varying periodicities or exhibit jitter, requiring adjustments to DRX parameters</w:t>
      </w:r>
      <w:r>
        <w:rPr>
          <w:rFonts w:hint="eastAsia"/>
        </w:rPr>
        <w:t xml:space="preserve">. </w:t>
      </w:r>
      <w:r>
        <w:t>I</w:t>
      </w:r>
      <w:r>
        <w:rPr>
          <w:rFonts w:hint="eastAsia"/>
        </w:rPr>
        <w:t xml:space="preserve">n 5G, the </w:t>
      </w:r>
      <w:r>
        <w:t>DRX parameters are configured by RRC signaling and applied in the MAC entity, which limits flexibility.</w:t>
      </w:r>
      <w:r>
        <w:rPr>
          <w:rFonts w:hint="eastAsia"/>
        </w:rPr>
        <w:t xml:space="preserve"> </w:t>
      </w:r>
    </w:p>
    <w:p>
      <w:pPr>
        <w:spacing w:before="120" w:after="120"/>
      </w:pPr>
      <w:r>
        <w:rPr>
          <w:rFonts w:hint="eastAsia"/>
        </w:rPr>
        <w:t>Dynamic adaptation of DRX parameters</w:t>
      </w:r>
      <w:r>
        <w:t xml:space="preserve"> </w:t>
      </w:r>
      <w:r>
        <w:rPr>
          <w:rFonts w:hint="eastAsia"/>
        </w:rPr>
        <w:t xml:space="preserve">(e.g., cycle, drx-start offset, value of drx-onDurationTimer, etc.,) </w:t>
      </w:r>
      <w:r>
        <w:t>via indication</w:t>
      </w:r>
      <w:r>
        <w:rPr>
          <w:rFonts w:hint="eastAsia"/>
        </w:rPr>
        <w:t xml:space="preserve"> (e.g. by WUS) can be considered which c</w:t>
      </w:r>
      <w:r>
        <w:t xml:space="preserve">an be </w:t>
      </w:r>
      <w:r>
        <w:rPr>
          <w:rFonts w:hint="eastAsia"/>
        </w:rPr>
        <w:t xml:space="preserve">referred to case 2 in Rel-19 LP-WUS discussion in connected mode. This allows DRX parameters to be </w:t>
      </w:r>
      <w:r>
        <w:t>more effectively tailored to traffic characteristics</w:t>
      </w:r>
      <w:r>
        <w:rPr>
          <w:rFonts w:hint="eastAsia"/>
        </w:rPr>
        <w:t xml:space="preserve">, effectively reducing PDCCH monitoring time while improving scheduling flexibility. </w:t>
      </w:r>
    </w:p>
    <w:p>
      <w:pPr>
        <w:pStyle w:val="62"/>
        <w:spacing w:before="120" w:after="120"/>
        <w:rPr>
          <w:lang w:val="en-US" w:eastAsia="zh-CN"/>
        </w:rPr>
      </w:pPr>
      <w:bookmarkStart w:id="192" w:name="_Toc351683947"/>
      <w:bookmarkStart w:id="193" w:name="_Toc323625991"/>
      <w:bookmarkStart w:id="194" w:name="_Toc337590185"/>
      <w:bookmarkStart w:id="195" w:name="_Toc424500896"/>
      <w:bookmarkStart w:id="196" w:name="_Toc13076"/>
      <w:bookmarkStart w:id="197" w:name="_Toc1875152846"/>
      <w:r>
        <w:rPr>
          <w:lang w:val="en-US" w:eastAsia="zh-CN"/>
        </w:rPr>
        <w:t>Dynamic adaptation of DRX parameters</w:t>
      </w:r>
      <w:r>
        <w:rPr>
          <w:rFonts w:hint="eastAsia"/>
          <w:lang w:val="en-US" w:eastAsia="zh-CN"/>
        </w:rPr>
        <w:t>, e.g., by WUS</w:t>
      </w:r>
      <w:r>
        <w:rPr>
          <w:lang w:val="en-US" w:eastAsia="zh-CN"/>
        </w:rPr>
        <w:t>, can be considered.</w:t>
      </w:r>
      <w:bookmarkEnd w:id="192"/>
      <w:bookmarkEnd w:id="193"/>
      <w:bookmarkEnd w:id="194"/>
      <w:bookmarkEnd w:id="195"/>
      <w:bookmarkEnd w:id="196"/>
      <w:bookmarkEnd w:id="197"/>
    </w:p>
    <w:p>
      <w:pPr>
        <w:pStyle w:val="41"/>
        <w:widowControl w:val="0"/>
        <w:numPr>
          <w:ilvl w:val="0"/>
          <w:numId w:val="10"/>
        </w:numPr>
        <w:spacing w:before="120" w:after="120" w:afterLines="0" w:line="240" w:lineRule="auto"/>
        <w:rPr>
          <w:rFonts w:eastAsia="宋体"/>
          <w:sz w:val="21"/>
          <w:szCs w:val="21"/>
        </w:rPr>
      </w:pPr>
      <w:r>
        <w:rPr>
          <w:rFonts w:hint="eastAsia" w:eastAsia="宋体"/>
          <w:sz w:val="21"/>
          <w:szCs w:val="21"/>
        </w:rPr>
        <w:t xml:space="preserve">Power saving </w:t>
      </w:r>
      <w:r>
        <w:rPr>
          <w:rFonts w:eastAsia="宋体"/>
          <w:sz w:val="21"/>
          <w:szCs w:val="21"/>
        </w:rPr>
        <w:t>indication</w:t>
      </w:r>
      <w:r>
        <w:rPr>
          <w:rFonts w:hint="eastAsia" w:eastAsia="宋体"/>
          <w:sz w:val="21"/>
          <w:szCs w:val="21"/>
        </w:rPr>
        <w:t xml:space="preserve"> in</w:t>
      </w:r>
      <w:r>
        <w:rPr>
          <w:rFonts w:eastAsia="宋体"/>
          <w:sz w:val="21"/>
          <w:szCs w:val="21"/>
        </w:rPr>
        <w:t xml:space="preserve"> DRX active</w:t>
      </w:r>
      <w:r>
        <w:rPr>
          <w:rFonts w:hint="eastAsia" w:eastAsia="宋体"/>
          <w:sz w:val="21"/>
          <w:szCs w:val="21"/>
        </w:rPr>
        <w:t xml:space="preserve"> </w:t>
      </w:r>
      <w:r>
        <w:rPr>
          <w:rFonts w:eastAsia="宋体"/>
          <w:sz w:val="21"/>
          <w:szCs w:val="21"/>
        </w:rPr>
        <w:t>time</w:t>
      </w:r>
    </w:p>
    <w:p>
      <w:pPr>
        <w:spacing w:before="120" w:after="120"/>
      </w:pPr>
      <w:r>
        <w:rPr>
          <w:rFonts w:hint="eastAsia"/>
        </w:rPr>
        <w:t xml:space="preserve">In addition to </w:t>
      </w:r>
      <w:r>
        <w:t xml:space="preserve">dynamic </w:t>
      </w:r>
      <w:r>
        <w:rPr>
          <w:rFonts w:hint="eastAsia"/>
        </w:rPr>
        <w:t xml:space="preserve">DRX, </w:t>
      </w:r>
      <w:r>
        <w:t xml:space="preserve">reducing </w:t>
      </w:r>
      <w:r>
        <w:rPr>
          <w:rFonts w:hint="eastAsia"/>
        </w:rPr>
        <w:t xml:space="preserve">the power </w:t>
      </w:r>
      <w:r>
        <w:t xml:space="preserve">consumption </w:t>
      </w:r>
      <w:r>
        <w:rPr>
          <w:rFonts w:hint="eastAsia"/>
        </w:rPr>
        <w:t xml:space="preserve">of PDCCH monitoring during the </w:t>
      </w:r>
      <w:r>
        <w:t>DRX active time</w:t>
      </w:r>
      <w:r>
        <w:rPr>
          <w:rFonts w:hint="eastAsia"/>
        </w:rPr>
        <w:t xml:space="preserve"> can also be considered.</w:t>
      </w:r>
    </w:p>
    <w:p>
      <w:pPr>
        <w:spacing w:before="120" w:after="120"/>
      </w:pPr>
      <w:r>
        <w:t xml:space="preserve">The PDCCH monitoring process for UE typically involves the following steps: Based on to its configuration, the UE monitors the configured CORESETs and search spaces by blind decoding of PDCCH candidates across multiple aggregation levels, DCI formats, payload sizes. Therefore, if the PDCCH occasion (determined by CORESET and search space) or the total number of blind-decoding attempts is reduced, the energy consumption of PDCCH monitoring is reduced. Thus, techniques to reduce the number of PDCCH candidates or reduce the blind decoding times can be considered. </w:t>
      </w:r>
    </w:p>
    <w:p>
      <w:pPr>
        <w:spacing w:before="120" w:after="120"/>
      </w:pPr>
      <w:r>
        <w:rPr>
          <w:rFonts w:hint="eastAsia"/>
        </w:rPr>
        <w:t>For example, signaling can be used to reduce the monitoring occasion number, e.g., early termination, indicat</w:t>
      </w:r>
      <w:r>
        <w:t>ing</w:t>
      </w:r>
      <w:r>
        <w:rPr>
          <w:rFonts w:hint="eastAsia"/>
        </w:rPr>
        <w:t xml:space="preserve"> blind decoding information of PDCCH (e.g., the search space set, CORESET, or DCI format) for a specific period of time according to the traffic requirement. With </w:t>
      </w:r>
      <w:r>
        <w:t>this information</w:t>
      </w:r>
      <w:r>
        <w:rPr>
          <w:rFonts w:hint="eastAsia"/>
        </w:rPr>
        <w:t>, the number of PDCCH monitoring candidates</w:t>
      </w:r>
      <w:r>
        <w:t xml:space="preserve"> and </w:t>
      </w:r>
      <w:r>
        <w:rPr>
          <w:rFonts w:hint="eastAsia"/>
        </w:rPr>
        <w:t>the power of PDCCH monitorin</w:t>
      </w:r>
      <w:r>
        <w:t>g</w:t>
      </w:r>
      <w:r>
        <w:rPr>
          <w:rFonts w:hint="eastAsia"/>
        </w:rPr>
        <w:t xml:space="preserve"> can be reduced. </w:t>
      </w:r>
      <w:r>
        <w:t>And t</w:t>
      </w:r>
      <w:r>
        <w:rPr>
          <w:rFonts w:hint="eastAsia"/>
        </w:rPr>
        <w:t xml:space="preserve">he signaling can be WUS or DCI. </w:t>
      </w:r>
    </w:p>
    <w:p>
      <w:pPr>
        <w:spacing w:before="120" w:after="120"/>
        <w:jc w:val="center"/>
      </w:pPr>
      <w:r>
        <w:drawing>
          <wp:inline distT="0" distB="0" distL="114300" distR="114300">
            <wp:extent cx="3123565" cy="1080135"/>
            <wp:effectExtent l="0" t="0" r="635" b="571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3"/>
                    <a:stretch>
                      <a:fillRect/>
                    </a:stretch>
                  </pic:blipFill>
                  <pic:spPr>
                    <a:xfrm>
                      <a:off x="0" y="0"/>
                      <a:ext cx="3123565" cy="1080135"/>
                    </a:xfrm>
                    <a:prstGeom prst="rect">
                      <a:avLst/>
                    </a:prstGeom>
                    <a:noFill/>
                    <a:ln>
                      <a:noFill/>
                    </a:ln>
                  </pic:spPr>
                </pic:pic>
              </a:graphicData>
            </a:graphic>
          </wp:inline>
        </w:drawing>
      </w:r>
    </w:p>
    <w:p>
      <w:pPr>
        <w:spacing w:before="120" w:after="120"/>
        <w:jc w:val="center"/>
      </w:pPr>
      <w:r>
        <w:rPr>
          <w:rFonts w:hint="eastAsia"/>
        </w:rPr>
        <w:t xml:space="preserve">Figure </w:t>
      </w:r>
      <w:r>
        <w:rPr>
          <w:rFonts w:hint="eastAsia"/>
          <w:lang w:val="en-US" w:eastAsia="zh-CN"/>
        </w:rPr>
        <w:t>11</w:t>
      </w:r>
      <w:r>
        <w:rPr>
          <w:rFonts w:hint="eastAsia"/>
        </w:rPr>
        <w:t>. Mecha</w:t>
      </w:r>
      <w:r>
        <w:t xml:space="preserve">nism </w:t>
      </w:r>
      <w:r>
        <w:rPr>
          <w:rFonts w:hint="eastAsia"/>
        </w:rPr>
        <w:t>to indicate decoding information</w:t>
      </w:r>
    </w:p>
    <w:p>
      <w:pPr>
        <w:pStyle w:val="62"/>
        <w:spacing w:before="120" w:after="120"/>
        <w:rPr>
          <w:lang w:val="en-US" w:eastAsia="zh-CN"/>
        </w:rPr>
      </w:pPr>
      <w:bookmarkStart w:id="198" w:name="_Toc2912"/>
      <w:bookmarkStart w:id="199" w:name="_Toc1647246497"/>
      <w:bookmarkStart w:id="200" w:name="_Toc260026164"/>
      <w:bookmarkStart w:id="201" w:name="_Toc570620705"/>
      <w:bookmarkStart w:id="202" w:name="_Toc1205555448"/>
      <w:bookmarkStart w:id="203" w:name="_Toc587438058"/>
      <w:r>
        <w:rPr>
          <w:lang w:val="en-US" w:eastAsia="zh-CN"/>
        </w:rPr>
        <w:t xml:space="preserve">Mechanism to </w:t>
      </w:r>
      <w:r>
        <w:t xml:space="preserve">indicate the number of PDCCH </w:t>
      </w:r>
      <w:r>
        <w:rPr>
          <w:rFonts w:hint="eastAsia"/>
          <w:lang w:val="en-US" w:eastAsia="zh-CN"/>
        </w:rPr>
        <w:t>monitoring occasion</w:t>
      </w:r>
      <w:r>
        <w:rPr>
          <w:lang w:val="en-US" w:eastAsia="zh-CN"/>
        </w:rPr>
        <w:t>s</w:t>
      </w:r>
      <w:r>
        <w:rPr>
          <w:rFonts w:hint="eastAsia"/>
          <w:lang w:val="en-US" w:eastAsia="zh-CN"/>
        </w:rPr>
        <w:t xml:space="preserve"> or the</w:t>
      </w:r>
      <w:r>
        <w:rPr>
          <w:lang w:val="en-US" w:eastAsia="zh-CN"/>
        </w:rPr>
        <w:t xml:space="preserve"> PDCCH</w:t>
      </w:r>
      <w:r>
        <w:rPr>
          <w:rFonts w:hint="eastAsia"/>
          <w:lang w:val="en-US" w:eastAsia="zh-CN"/>
        </w:rPr>
        <w:t xml:space="preserve"> </w:t>
      </w:r>
      <w:r>
        <w:t xml:space="preserve">blind decoding information (e.g., the search space set, CORESET, DCI format) </w:t>
      </w:r>
      <w:r>
        <w:rPr>
          <w:lang w:val="en-US" w:eastAsia="zh-CN"/>
        </w:rPr>
        <w:t>can be considered.</w:t>
      </w:r>
      <w:bookmarkEnd w:id="198"/>
      <w:bookmarkEnd w:id="199"/>
      <w:bookmarkEnd w:id="200"/>
      <w:bookmarkEnd w:id="201"/>
      <w:bookmarkEnd w:id="202"/>
      <w:bookmarkEnd w:id="203"/>
    </w:p>
    <w:p>
      <w:pPr>
        <w:spacing w:before="120" w:after="120"/>
      </w:pPr>
      <w:r>
        <w:t xml:space="preserve">In 5G, cross-slot scheduling can reduce the PDCCH monitoring power by relaxing the PDCCH decoding process. Specifically, </w:t>
      </w:r>
      <w:r>
        <w:rPr>
          <w:rFonts w:hint="eastAsia"/>
        </w:rPr>
        <w:t xml:space="preserve">when k0min or k2min is greater than 0, the UE </w:t>
      </w:r>
      <w:r>
        <w:t xml:space="preserve">can </w:t>
      </w:r>
      <w:r>
        <w:rPr>
          <w:rFonts w:hint="eastAsia"/>
        </w:rPr>
        <w:t xml:space="preserve">enter into micro sleep after PDCCH monitoring </w:t>
      </w:r>
      <w:r>
        <w:t xml:space="preserve">to </w:t>
      </w:r>
      <w:r>
        <w:rPr>
          <w:rFonts w:hint="eastAsia"/>
        </w:rPr>
        <w:t>save power. The cross</w:t>
      </w:r>
      <w:r>
        <w:t>-</w:t>
      </w:r>
      <w:r>
        <w:rPr>
          <w:rFonts w:hint="eastAsia"/>
        </w:rPr>
        <w:t>slot scheduling does not introduce large scheduling latency and can be considered in 6G.</w:t>
      </w:r>
    </w:p>
    <w:p>
      <w:pPr>
        <w:spacing w:before="120" w:after="120"/>
      </w:pPr>
      <w:r>
        <w:t>In 5G</w:t>
      </w:r>
      <w:r>
        <w:rPr>
          <w:rFonts w:hint="eastAsia"/>
        </w:rPr>
        <w:t>,</w:t>
      </w:r>
      <w:r>
        <w:t xml:space="preserve"> PDCCH monitoring adaptation (i.e., PDCCH skipping, SSSG switch) only introduce minimal additional latency and is more suitable for latency-sensitive traffic. Enhancement on PDCCH monitoring adaptation (e.g., timer based PDCCH skipping) can also be considered. </w:t>
      </w:r>
    </w:p>
    <w:p>
      <w:pPr>
        <w:pStyle w:val="62"/>
        <w:spacing w:before="120" w:after="120"/>
        <w:jc w:val="both"/>
        <w:rPr>
          <w:lang w:val="en-US" w:eastAsia="zh-CN"/>
        </w:rPr>
      </w:pPr>
      <w:bookmarkStart w:id="204" w:name="_Toc1900074589"/>
      <w:bookmarkStart w:id="205" w:name="_Toc28394"/>
      <w:r>
        <w:rPr>
          <w:lang w:val="en-US" w:eastAsia="zh-CN"/>
        </w:rPr>
        <w:t xml:space="preserve">Mechanisms, such as cross-slot scheduling, PDCCH skipping, SSSG </w:t>
      </w:r>
      <w:r>
        <w:t>switch</w:t>
      </w:r>
      <w:r>
        <w:rPr>
          <w:lang w:val="en-US" w:eastAsia="zh-CN"/>
        </w:rPr>
        <w:t>, can be considered for 6GR with necessary enhancements.</w:t>
      </w:r>
      <w:bookmarkEnd w:id="204"/>
      <w:bookmarkEnd w:id="205"/>
    </w:p>
    <w:p>
      <w:pPr>
        <w:pStyle w:val="4"/>
        <w:numPr>
          <w:ilvl w:val="2"/>
          <w:numId w:val="1"/>
        </w:numPr>
        <w:spacing w:after="120"/>
        <w:rPr>
          <w:b/>
          <w:bCs/>
          <w:sz w:val="21"/>
          <w:szCs w:val="21"/>
        </w:rPr>
      </w:pPr>
      <w:r>
        <w:rPr>
          <w:rFonts w:hint="eastAsia"/>
          <w:b/>
          <w:bCs/>
          <w:sz w:val="21"/>
          <w:szCs w:val="21"/>
        </w:rPr>
        <w:t xml:space="preserve">UE energy saving in frequency </w:t>
      </w:r>
      <w:r>
        <w:rPr>
          <w:b/>
          <w:bCs/>
          <w:sz w:val="21"/>
          <w:szCs w:val="21"/>
        </w:rPr>
        <w:t>domain</w:t>
      </w:r>
    </w:p>
    <w:p>
      <w:pPr>
        <w:spacing w:before="120" w:after="120"/>
      </w:pPr>
      <w:r>
        <w:t xml:space="preserve">In </w:t>
      </w:r>
      <w:r>
        <w:rPr>
          <w:rFonts w:hint="eastAsia"/>
        </w:rPr>
        <w:t>5G NR</w:t>
      </w:r>
      <w:r>
        <w:t xml:space="preserve">, BWP switching and dormancy BWP are specified to reduce the UE power consumption. The design </w:t>
      </w:r>
      <w:r>
        <w:rPr>
          <w:rFonts w:hint="eastAsia"/>
        </w:rPr>
        <w:t xml:space="preserve">target </w:t>
      </w:r>
      <w:r>
        <w:t>is to</w:t>
      </w:r>
      <w:r>
        <w:rPr>
          <w:rFonts w:hint="eastAsia"/>
        </w:rPr>
        <w:t xml:space="preserve"> enable</w:t>
      </w:r>
      <w:r>
        <w:t xml:space="preserve"> </w:t>
      </w:r>
      <w:r>
        <w:rPr>
          <w:rFonts w:hint="eastAsia"/>
        </w:rPr>
        <w:t xml:space="preserve">rapid </w:t>
      </w:r>
      <w:r>
        <w:t>switch</w:t>
      </w:r>
      <w:r>
        <w:rPr>
          <w:rFonts w:hint="eastAsia"/>
        </w:rPr>
        <w:t>ing of</w:t>
      </w:r>
      <w:r>
        <w:t xml:space="preserve"> frequency domain resources (e.g., BWP or </w:t>
      </w:r>
      <w:r>
        <w:rPr>
          <w:rFonts w:hint="eastAsia"/>
        </w:rPr>
        <w:t>S</w:t>
      </w:r>
      <w:r>
        <w:t xml:space="preserve">Cell) to ensure that the activated frequency domain resources match the data transmission requirements. </w:t>
      </w:r>
      <w:r>
        <w:rPr>
          <w:sz w:val="21"/>
          <w:szCs w:val="21"/>
        </w:rPr>
        <w:t>This approach minimizes the use of unnecessary frequency domain resources, thereby</w:t>
      </w:r>
      <w:r>
        <w:t xml:space="preserve"> reducing </w:t>
      </w:r>
      <w:r>
        <w:rPr>
          <w:rFonts w:hint="eastAsia"/>
        </w:rPr>
        <w:t>power consumption</w:t>
      </w:r>
      <w:r>
        <w:t>.</w:t>
      </w:r>
    </w:p>
    <w:p>
      <w:pPr>
        <w:pStyle w:val="61"/>
        <w:spacing w:before="120" w:after="120"/>
        <w:jc w:val="both"/>
        <w:rPr>
          <w:lang w:val="en-US" w:eastAsia="zh-CN"/>
        </w:rPr>
      </w:pPr>
      <w:bookmarkStart w:id="206" w:name="_Toc30786"/>
      <w:bookmarkStart w:id="207" w:name="_Toc12424"/>
      <w:bookmarkStart w:id="208" w:name="_Toc177218593"/>
      <w:bookmarkStart w:id="209" w:name="_Toc29979"/>
      <w:bookmarkStart w:id="210" w:name="_Toc727337252"/>
      <w:bookmarkStart w:id="211" w:name="_Toc1122018016"/>
      <w:r>
        <w:rPr>
          <w:rFonts w:hint="eastAsia"/>
          <w:lang w:val="en-US" w:eastAsia="zh-CN"/>
        </w:rPr>
        <w:t xml:space="preserve">The </w:t>
      </w:r>
      <w:r>
        <w:t>BWP switching and dormancy BWP</w:t>
      </w:r>
      <w:r>
        <w:rPr>
          <w:lang w:val="en-US" w:eastAsia="zh-CN"/>
        </w:rPr>
        <w:t xml:space="preserve"> </w:t>
      </w:r>
      <w:r>
        <w:rPr>
          <w:rFonts w:hint="eastAsia"/>
          <w:lang w:val="en-US" w:eastAsia="zh-CN"/>
        </w:rPr>
        <w:t>can</w:t>
      </w:r>
      <w:r>
        <w:rPr>
          <w:lang w:val="en-US" w:eastAsia="zh-CN"/>
        </w:rPr>
        <w:t xml:space="preserve"> reduce the unnecessary</w:t>
      </w:r>
      <w:r>
        <w:rPr>
          <w:rFonts w:hint="eastAsia"/>
          <w:lang w:val="en-US" w:eastAsia="zh-CN"/>
        </w:rPr>
        <w:t xml:space="preserve"> utilization of </w:t>
      </w:r>
      <w:r>
        <w:rPr>
          <w:lang w:val="en-US" w:eastAsia="zh-CN"/>
        </w:rPr>
        <w:t xml:space="preserve">frequency domain resources and </w:t>
      </w:r>
      <w:r>
        <w:rPr>
          <w:rFonts w:hint="eastAsia"/>
          <w:lang w:val="en-US" w:eastAsia="zh-CN"/>
        </w:rPr>
        <w:t>power consumption</w:t>
      </w:r>
      <w:r>
        <w:rPr>
          <w:lang w:val="en-US" w:eastAsia="zh-CN"/>
        </w:rPr>
        <w:t>.</w:t>
      </w:r>
      <w:bookmarkEnd w:id="206"/>
      <w:bookmarkEnd w:id="207"/>
      <w:bookmarkEnd w:id="208"/>
      <w:bookmarkEnd w:id="209"/>
      <w:bookmarkEnd w:id="210"/>
      <w:bookmarkEnd w:id="211"/>
    </w:p>
    <w:p>
      <w:pPr>
        <w:spacing w:before="120" w:after="120"/>
      </w:pPr>
      <w:r>
        <w:t xml:space="preserve">In 5G, the switching delay of </w:t>
      </w:r>
      <w:r>
        <w:rPr>
          <w:rFonts w:hint="eastAsia"/>
        </w:rPr>
        <w:t>BWP switching</w:t>
      </w:r>
      <w:r>
        <w:t xml:space="preserve"> can be up to several millisecond</w:t>
      </w:r>
      <w:r>
        <w:rPr>
          <w:rFonts w:hint="eastAsia"/>
        </w:rPr>
        <w:t>s</w:t>
      </w:r>
      <w:r>
        <w:t xml:space="preserve">, </w:t>
      </w:r>
      <w:r>
        <w:rPr>
          <w:rFonts w:hint="eastAsia"/>
        </w:rPr>
        <w:t xml:space="preserve">which </w:t>
      </w:r>
      <w:r>
        <w:t xml:space="preserve">limits the </w:t>
      </w:r>
      <w:r>
        <w:rPr>
          <w:rFonts w:hint="eastAsia"/>
        </w:rPr>
        <w:t>practicality and efficiency in adapting to dynamic traffic demands</w:t>
      </w:r>
      <w:r>
        <w:t>. In 6G, faster BWP switching can be considered</w:t>
      </w:r>
      <w:r>
        <w:rPr>
          <w:rFonts w:hint="eastAsia"/>
        </w:rPr>
        <w:t xml:space="preserve"> to address this limitation</w:t>
      </w:r>
      <w:r>
        <w:t>.</w:t>
      </w:r>
    </w:p>
    <w:p>
      <w:pPr>
        <w:spacing w:before="120" w:after="120"/>
      </w:pPr>
      <w:r>
        <w:t>The main reason for the prolonged BWP switching delay in 5G is that the large set of parameters can be configured per BWP</w:t>
      </w:r>
      <w:r>
        <w:rPr>
          <w:rFonts w:hint="eastAsia"/>
        </w:rPr>
        <w:t>.</w:t>
      </w:r>
      <w:r>
        <w:t xml:space="preserve"> Updating these parameters</w:t>
      </w:r>
      <w:r>
        <w:rPr>
          <w:rFonts w:hint="eastAsia"/>
        </w:rPr>
        <w:t xml:space="preserve"> </w:t>
      </w:r>
      <w:r>
        <w:t>requires time</w:t>
      </w:r>
      <w:r>
        <w:rPr>
          <w:rFonts w:hint="eastAsia"/>
        </w:rPr>
        <w:t xml:space="preserve"> </w:t>
      </w:r>
      <w:r>
        <w:t>for UE to read data from the memory. On the other hand, update configuration in frequency location require</w:t>
      </w:r>
      <w:r>
        <w:rPr>
          <w:rFonts w:hint="eastAsia"/>
        </w:rPr>
        <w:t>s</w:t>
      </w:r>
      <w:r>
        <w:t xml:space="preserve"> RF retuning time. However,</w:t>
      </w:r>
      <w:r>
        <w:rPr>
          <w:rFonts w:hint="eastAsia"/>
        </w:rPr>
        <w:t xml:space="preserve"> </w:t>
      </w:r>
      <w:r>
        <w:t>i</w:t>
      </w:r>
      <w:r>
        <w:rPr>
          <w:rFonts w:hint="eastAsia"/>
        </w:rPr>
        <w:t xml:space="preserve">f only </w:t>
      </w:r>
      <w:r>
        <w:t xml:space="preserve">a </w:t>
      </w:r>
      <w:r>
        <w:rPr>
          <w:rFonts w:hint="eastAsia"/>
        </w:rPr>
        <w:t xml:space="preserve">limited </w:t>
      </w:r>
      <w:r>
        <w:t xml:space="preserve">set of </w:t>
      </w:r>
      <w:r>
        <w:rPr>
          <w:rFonts w:hint="eastAsia"/>
        </w:rPr>
        <w:t>parameters</w:t>
      </w:r>
      <w:r>
        <w:t xml:space="preserve"> can</w:t>
      </w:r>
      <w:r>
        <w:rPr>
          <w:rFonts w:hint="eastAsia"/>
        </w:rPr>
        <w:t xml:space="preserve"> change and the frequency center of BWP remains </w:t>
      </w:r>
      <w:r>
        <w:t>fixed</w:t>
      </w:r>
      <w:r>
        <w:rPr>
          <w:rFonts w:hint="eastAsia"/>
        </w:rPr>
        <w:t xml:space="preserve">, the switching delay </w:t>
      </w:r>
      <w:r>
        <w:t xml:space="preserve">and power consumption </w:t>
      </w:r>
      <w:r>
        <w:rPr>
          <w:rFonts w:hint="eastAsia"/>
        </w:rPr>
        <w:t>of</w:t>
      </w:r>
      <w:r>
        <w:t xml:space="preserve"> </w:t>
      </w:r>
      <w:r>
        <w:rPr>
          <w:rFonts w:hint="eastAsia"/>
        </w:rPr>
        <w:t xml:space="preserve">BWP switching can be reduced. </w:t>
      </w:r>
    </w:p>
    <w:p>
      <w:pPr>
        <w:spacing w:before="120" w:after="120"/>
      </w:pPr>
      <w:r>
        <w:t xml:space="preserve">Therefore, faster BWP switching can be enabled by restricting the parameter set that </w:t>
      </w:r>
      <w:r>
        <w:rPr>
          <w:rFonts w:hint="eastAsia"/>
        </w:rPr>
        <w:t>varies</w:t>
      </w:r>
      <w:r>
        <w:t xml:space="preserve"> between BWPs to a small</w:t>
      </w:r>
      <w:r>
        <w:rPr>
          <w:rFonts w:hint="eastAsia"/>
        </w:rPr>
        <w:t xml:space="preserve">. For example, limiting the </w:t>
      </w:r>
      <w:r>
        <w:t xml:space="preserve">set </w:t>
      </w:r>
      <w:r>
        <w:rPr>
          <w:rFonts w:hint="eastAsia"/>
        </w:rPr>
        <w:t>to</w:t>
      </w:r>
      <w:r>
        <w:t xml:space="preserve"> power-saving parameters such as K0min, K2min,</w:t>
      </w:r>
      <w:r>
        <w:rPr>
          <w:rFonts w:hint="eastAsia"/>
        </w:rPr>
        <w:t xml:space="preserve"> MIMO layer</w:t>
      </w:r>
      <w:r>
        <w:t xml:space="preserve"> and PDCCH skipping duration</w:t>
      </w:r>
      <w:r>
        <w:rPr>
          <w:rFonts w:hint="eastAsia"/>
        </w:rPr>
        <w:t>.</w:t>
      </w:r>
      <w:r>
        <w:t xml:space="preserve"> </w:t>
      </w:r>
      <w:r>
        <w:rPr>
          <w:rFonts w:hint="eastAsia"/>
        </w:rPr>
        <w:t>Thus,</w:t>
      </w:r>
      <w:r>
        <w:t xml:space="preserve"> gNB </w:t>
      </w:r>
      <w:r>
        <w:rPr>
          <w:rFonts w:hint="eastAsia"/>
        </w:rPr>
        <w:t xml:space="preserve">can dynamically </w:t>
      </w:r>
      <w:r>
        <w:t xml:space="preserve">select an appropriate BWP to match </w:t>
      </w:r>
      <w:r>
        <w:rPr>
          <w:rFonts w:hint="eastAsia"/>
        </w:rPr>
        <w:t xml:space="preserve">the real-time </w:t>
      </w:r>
      <w:r>
        <w:t xml:space="preserve">traffic </w:t>
      </w:r>
      <w:r>
        <w:rPr>
          <w:rFonts w:hint="eastAsia"/>
        </w:rPr>
        <w:t>requirements</w:t>
      </w:r>
      <w:r>
        <w:t xml:space="preserve">, and the UE can </w:t>
      </w:r>
      <w:r>
        <w:rPr>
          <w:rFonts w:hint="eastAsia"/>
        </w:rPr>
        <w:t xml:space="preserve">rapidly </w:t>
      </w:r>
      <w:r>
        <w:t xml:space="preserve">switch to </w:t>
      </w:r>
      <w:r>
        <w:rPr>
          <w:rFonts w:hint="eastAsia"/>
        </w:rPr>
        <w:t xml:space="preserve">the target </w:t>
      </w:r>
      <w:r>
        <w:t>BWP</w:t>
      </w:r>
      <w:r>
        <w:rPr>
          <w:rFonts w:hint="eastAsia"/>
        </w:rPr>
        <w:t>, potentially within</w:t>
      </w:r>
      <w:r>
        <w:t xml:space="preserve"> in a fraction of a millisecond.</w:t>
      </w:r>
    </w:p>
    <w:p>
      <w:pPr>
        <w:pStyle w:val="62"/>
        <w:spacing w:before="120" w:after="120"/>
        <w:rPr>
          <w:lang w:val="en-US" w:eastAsia="zh-CN"/>
        </w:rPr>
      </w:pPr>
      <w:bookmarkStart w:id="212" w:name="_Toc885394944"/>
      <w:bookmarkStart w:id="213" w:name="_Toc836075910"/>
      <w:bookmarkStart w:id="214" w:name="_Toc10737"/>
      <w:bookmarkStart w:id="215" w:name="_Toc1473638734"/>
      <w:bookmarkStart w:id="216" w:name="_Toc948953776"/>
      <w:bookmarkStart w:id="217" w:name="_Toc682420724"/>
      <w:r>
        <w:rPr>
          <w:lang w:val="en-US" w:eastAsia="zh-CN"/>
        </w:rPr>
        <w:t xml:space="preserve">Faster BWP switching </w:t>
      </w:r>
      <w:r>
        <w:t>by restricting the parameter set</w:t>
      </w:r>
      <w:r>
        <w:rPr>
          <w:rFonts w:hint="eastAsia"/>
          <w:lang w:val="en-US" w:eastAsia="zh-CN"/>
        </w:rPr>
        <w:t xml:space="preserve"> </w:t>
      </w:r>
      <w:r>
        <w:t xml:space="preserve">that </w:t>
      </w:r>
      <w:r>
        <w:rPr>
          <w:rFonts w:hint="eastAsia"/>
        </w:rPr>
        <w:t>varies</w:t>
      </w:r>
      <w:r>
        <w:t xml:space="preserve"> between BWP </w:t>
      </w:r>
      <w:r>
        <w:rPr>
          <w:lang w:val="en-US" w:eastAsia="zh-CN"/>
        </w:rPr>
        <w:t>can be considered.</w:t>
      </w:r>
      <w:bookmarkEnd w:id="212"/>
      <w:bookmarkEnd w:id="213"/>
      <w:bookmarkEnd w:id="214"/>
      <w:bookmarkEnd w:id="215"/>
      <w:bookmarkEnd w:id="216"/>
      <w:bookmarkEnd w:id="217"/>
    </w:p>
    <w:p>
      <w:pPr>
        <w:spacing w:before="120" w:after="120"/>
      </w:pPr>
      <w:r>
        <w:rPr>
          <w:rFonts w:hint="eastAsia"/>
        </w:rPr>
        <w:t xml:space="preserve">For </w:t>
      </w:r>
      <w:r>
        <w:t>SC</w:t>
      </w:r>
      <w:r>
        <w:rPr>
          <w:rFonts w:hint="eastAsia"/>
        </w:rPr>
        <w:t>ell</w:t>
      </w:r>
      <w:r>
        <w:t xml:space="preserve"> power saving</w:t>
      </w:r>
      <w:r>
        <w:rPr>
          <w:rFonts w:hint="eastAsia"/>
        </w:rPr>
        <w:t xml:space="preserve">, </w:t>
      </w:r>
      <w:r>
        <w:t>SC</w:t>
      </w:r>
      <w:r>
        <w:rPr>
          <w:rFonts w:hint="eastAsia"/>
        </w:rPr>
        <w:t xml:space="preserve">ell dormant BWP was specified in 5G and can be reused in 6G. The enhancements for SCell power saving aim to faster activation and deactivation, which </w:t>
      </w:r>
      <w:r>
        <w:rPr>
          <w:rFonts w:hint="eastAsia"/>
          <w:sz w:val="21"/>
        </w:rPr>
        <w:t>allows the SCell to be quickly switched on or off based on traffic needs, eliminating unnecessary power consumption.</w:t>
      </w:r>
      <w:r>
        <w:rPr>
          <w:rFonts w:hint="eastAsia"/>
        </w:rPr>
        <w:t xml:space="preserve"> Therefore, other enhancements on SCell fast activation and deactivation can also be considered.</w:t>
      </w:r>
    </w:p>
    <w:p>
      <w:pPr>
        <w:pStyle w:val="4"/>
        <w:numPr>
          <w:ilvl w:val="2"/>
          <w:numId w:val="1"/>
        </w:numPr>
        <w:spacing w:after="120"/>
        <w:rPr>
          <w:b/>
          <w:bCs/>
          <w:sz w:val="21"/>
          <w:szCs w:val="21"/>
        </w:rPr>
      </w:pPr>
      <w:r>
        <w:rPr>
          <w:rFonts w:hint="eastAsia"/>
          <w:b/>
          <w:bCs/>
          <w:sz w:val="21"/>
          <w:szCs w:val="21"/>
        </w:rPr>
        <w:t xml:space="preserve">UE energy saving in spatial </w:t>
      </w:r>
      <w:r>
        <w:rPr>
          <w:b/>
          <w:bCs/>
          <w:sz w:val="21"/>
          <w:szCs w:val="21"/>
        </w:rPr>
        <w:t>domain</w:t>
      </w:r>
    </w:p>
    <w:p>
      <w:pPr>
        <w:spacing w:before="120" w:after="120"/>
      </w:pPr>
      <w:r>
        <w:t xml:space="preserve">The number of active receive antennas in a UE has a </w:t>
      </w:r>
      <w:r>
        <w:rPr>
          <w:rFonts w:hint="eastAsia"/>
        </w:rPr>
        <w:t xml:space="preserve">significant </w:t>
      </w:r>
      <w:r>
        <w:t xml:space="preserve">impact on its power consumption. To </w:t>
      </w:r>
      <w:r>
        <w:rPr>
          <w:rFonts w:hint="eastAsia"/>
        </w:rPr>
        <w:t xml:space="preserve">improve </w:t>
      </w:r>
      <w:r>
        <w:t xml:space="preserve">energy efficiency, an adaptive </w:t>
      </w:r>
      <w:r>
        <w:rPr>
          <w:szCs w:val="21"/>
        </w:rPr>
        <w:t>reception antennas mechanism can be considered</w:t>
      </w:r>
      <w:r>
        <w:t>.</w:t>
      </w:r>
      <w:r>
        <w:rPr>
          <w:szCs w:val="21"/>
        </w:rPr>
        <w:t xml:space="preserve"> The intention is to</w:t>
      </w:r>
      <w:r>
        <w:t xml:space="preserve"> allow the UE to dynamically adjust the number of active receive antennas based on real-time traffic requirements, channel conditions, and service </w:t>
      </w:r>
      <w:r>
        <w:rPr>
          <w:rFonts w:hint="eastAsia"/>
        </w:rPr>
        <w:t>requirements</w:t>
      </w:r>
      <w:r>
        <w:t xml:space="preserve">. </w:t>
      </w:r>
    </w:p>
    <w:p>
      <w:pPr>
        <w:spacing w:before="120" w:after="120"/>
      </w:pPr>
      <w:r>
        <w:t>In 5G, this concept is partially supported through the maximum number of MIMO layers per BWP configuration. With this approach, the UE can switch antennas on or off by leveraging BWP switching, aligning the active antenna configuration with the selected BWP.</w:t>
      </w:r>
    </w:p>
    <w:p>
      <w:pPr>
        <w:spacing w:before="120" w:after="120"/>
      </w:pPr>
      <w:r>
        <w:t>In 6G, a more flexible and efficient solution can be explored. For instance, antenna on/off adjustments can be supported within a single BWP, enabling finer-grained control of antenna usage without relying on BWP switching. This approach would allow UE power saving while maintaining service quality.</w:t>
      </w:r>
    </w:p>
    <w:p>
      <w:pPr>
        <w:pStyle w:val="62"/>
        <w:spacing w:before="120" w:after="120"/>
        <w:rPr>
          <w:lang w:val="en-US" w:eastAsia="zh-CN"/>
        </w:rPr>
      </w:pPr>
      <w:bookmarkStart w:id="218" w:name="_Toc407145997"/>
      <w:bookmarkStart w:id="219" w:name="_Toc814476446"/>
      <w:bookmarkStart w:id="220" w:name="_Toc816186242"/>
      <w:bookmarkStart w:id="221" w:name="_Toc651510713"/>
      <w:bookmarkStart w:id="222" w:name="_Toc828504988"/>
      <w:bookmarkStart w:id="223" w:name="_Toc1817"/>
      <w:r>
        <w:rPr>
          <w:rFonts w:hint="eastAsia"/>
          <w:sz w:val="21"/>
          <w:szCs w:val="21"/>
          <w:lang w:val="en-US" w:eastAsia="zh-CN"/>
        </w:rPr>
        <w:t xml:space="preserve">Adaptive UE Rx antenna on/off for UE energy saving can be further </w:t>
      </w:r>
      <w:r>
        <w:rPr>
          <w:sz w:val="21"/>
          <w:szCs w:val="21"/>
          <w:lang w:val="en-US" w:eastAsia="zh-CN"/>
        </w:rPr>
        <w:t>studied</w:t>
      </w:r>
      <w:r>
        <w:rPr>
          <w:lang w:val="en-US" w:eastAsia="zh-CN"/>
        </w:rPr>
        <w:t>.</w:t>
      </w:r>
      <w:bookmarkEnd w:id="218"/>
      <w:bookmarkEnd w:id="219"/>
      <w:bookmarkEnd w:id="220"/>
      <w:bookmarkEnd w:id="221"/>
      <w:bookmarkEnd w:id="222"/>
      <w:bookmarkEnd w:id="223"/>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Joint e</w:t>
      </w:r>
      <w:r>
        <w:rPr>
          <w:rFonts w:hint="eastAsia" w:ascii="Times New Roman" w:hAnsi="Times New Roman" w:eastAsia="宋体"/>
          <w:b/>
          <w:bCs/>
          <w:sz w:val="28"/>
          <w:szCs w:val="28"/>
        </w:rPr>
        <w:t>nergy saving</w:t>
      </w:r>
    </w:p>
    <w:p>
      <w:pPr>
        <w:spacing w:before="120" w:after="120"/>
      </w:pPr>
      <w:r>
        <w:rPr>
          <w:rFonts w:hint="eastAsia"/>
        </w:rPr>
        <w:t xml:space="preserve">As analyzed above, there are some schemes which is beneficial for both NW and UE </w:t>
      </w:r>
      <w:r>
        <w:t>energy saving</w:t>
      </w:r>
      <w:r>
        <w:rPr>
          <w:rFonts w:hint="eastAsia"/>
        </w:rPr>
        <w:t xml:space="preserve">. </w:t>
      </w:r>
      <w:r>
        <w:t>An i</w:t>
      </w:r>
      <w:r>
        <w:rPr>
          <w:rFonts w:hint="eastAsia"/>
        </w:rPr>
        <w:t xml:space="preserve">nitial summary </w:t>
      </w:r>
      <w:r>
        <w:t>of</w:t>
      </w:r>
      <w:r>
        <w:rPr>
          <w:rFonts w:hint="eastAsia"/>
        </w:rPr>
        <w:t xml:space="preserve"> </w:t>
      </w:r>
      <w:r>
        <w:t>joint energy saving</w:t>
      </w:r>
      <w:r>
        <w:rPr>
          <w:rFonts w:hint="eastAsia"/>
        </w:rPr>
        <w:t xml:space="preserve"> is provided as follows </w:t>
      </w:r>
      <w:r>
        <w:t xml:space="preserve"> </w:t>
      </w:r>
    </w:p>
    <w:p>
      <w:pPr>
        <w:numPr>
          <w:ilvl w:val="0"/>
          <w:numId w:val="11"/>
        </w:numPr>
        <w:spacing w:before="120" w:after="120"/>
      </w:pPr>
      <w:r>
        <w:t>J</w:t>
      </w:r>
      <w:r>
        <w:rPr>
          <w:rFonts w:hint="eastAsia"/>
        </w:rPr>
        <w:t xml:space="preserve">oint </w:t>
      </w:r>
      <w:r>
        <w:t>DTX/DRX</w:t>
      </w:r>
      <w:r>
        <w:rPr>
          <w:rFonts w:hint="eastAsia"/>
        </w:rPr>
        <w:t xml:space="preserve"> for cell and UE</w:t>
      </w:r>
    </w:p>
    <w:p>
      <w:pPr>
        <w:numPr>
          <w:ilvl w:val="0"/>
          <w:numId w:val="12"/>
        </w:numPr>
        <w:spacing w:before="120" w:after="120"/>
        <w:ind w:left="840"/>
      </w:pPr>
      <w:r>
        <w:t xml:space="preserve">Joint </w:t>
      </w:r>
      <w:r>
        <w:rPr>
          <w:rFonts w:hint="eastAsia"/>
        </w:rPr>
        <w:t xml:space="preserve">design </w:t>
      </w:r>
      <w:r>
        <w:t>of c</w:t>
      </w:r>
      <w:r>
        <w:rPr>
          <w:rFonts w:hint="eastAsia"/>
        </w:rPr>
        <w:t>ell DTX/DRX and C-DRX to save NW and UE power in time domain</w:t>
      </w:r>
      <w:r>
        <w:t>, via c</w:t>
      </w:r>
      <w:r>
        <w:rPr>
          <w:rFonts w:hint="eastAsia"/>
        </w:rPr>
        <w:t>ell DTX and C-DRX align</w:t>
      </w:r>
      <w:r>
        <w:t>ment</w:t>
      </w:r>
    </w:p>
    <w:p>
      <w:pPr>
        <w:numPr>
          <w:ilvl w:val="0"/>
          <w:numId w:val="11"/>
        </w:numPr>
        <w:spacing w:before="120" w:after="120"/>
      </w:pPr>
      <w:r>
        <w:rPr>
          <w:rFonts w:hint="eastAsia"/>
        </w:rPr>
        <w:t xml:space="preserve">  </w:t>
      </w:r>
      <w:r>
        <w:t xml:space="preserve">Fast </w:t>
      </w:r>
      <w:r>
        <w:rPr>
          <w:rFonts w:hint="eastAsia"/>
        </w:rPr>
        <w:t xml:space="preserve">BWP </w:t>
      </w:r>
      <w:r>
        <w:t>switch</w:t>
      </w:r>
    </w:p>
    <w:p>
      <w:pPr>
        <w:numPr>
          <w:ilvl w:val="0"/>
          <w:numId w:val="12"/>
        </w:numPr>
        <w:spacing w:before="120" w:after="120"/>
        <w:ind w:left="840"/>
      </w:pPr>
      <w:r>
        <w:t xml:space="preserve">UE and NW can benefit from efficient </w:t>
      </w:r>
      <w:r>
        <w:rPr>
          <w:rFonts w:hint="eastAsia"/>
        </w:rPr>
        <w:t xml:space="preserve">BWP </w:t>
      </w:r>
      <w:r>
        <w:t xml:space="preserve">framework by reduce the unnecessary reception/transmission of in wide frequency domain resources </w:t>
      </w:r>
    </w:p>
    <w:p>
      <w:pPr>
        <w:numPr>
          <w:ilvl w:val="0"/>
          <w:numId w:val="11"/>
        </w:numPr>
        <w:spacing w:before="120" w:after="120"/>
      </w:pPr>
      <w:r>
        <w:rPr>
          <w:rFonts w:hint="eastAsia"/>
        </w:rPr>
        <w:t xml:space="preserve">  Two stage SSB based on wide beam and narrow beam</w:t>
      </w:r>
    </w:p>
    <w:p>
      <w:pPr>
        <w:numPr>
          <w:ilvl w:val="0"/>
          <w:numId w:val="12"/>
        </w:numPr>
        <w:spacing w:before="120" w:after="120"/>
        <w:ind w:left="840"/>
      </w:pPr>
      <w:r>
        <w:t xml:space="preserve">The </w:t>
      </w:r>
      <w:r>
        <w:rPr>
          <w:rFonts w:hint="eastAsia"/>
        </w:rPr>
        <w:t>wide beam SSB c</w:t>
      </w:r>
      <w:r>
        <w:t xml:space="preserve">an be </w:t>
      </w:r>
      <w:r>
        <w:rPr>
          <w:rFonts w:hint="eastAsia"/>
        </w:rPr>
        <w:t>benefi</w:t>
      </w:r>
      <w:r>
        <w:t>cial</w:t>
      </w:r>
      <w:r>
        <w:rPr>
          <w:rFonts w:hint="eastAsia"/>
        </w:rPr>
        <w:t xml:space="preserve"> for NW and UE power saving</w:t>
      </w:r>
    </w:p>
    <w:p>
      <w:pPr>
        <w:numPr>
          <w:ilvl w:val="0"/>
          <w:numId w:val="12"/>
        </w:numPr>
        <w:spacing w:before="120" w:after="120"/>
        <w:ind w:left="840"/>
      </w:pPr>
      <w:r>
        <w:t xml:space="preserve">The </w:t>
      </w:r>
      <w:r>
        <w:rPr>
          <w:rFonts w:hint="eastAsia"/>
        </w:rPr>
        <w:t xml:space="preserve">narrow beam SSB </w:t>
      </w:r>
      <w:r>
        <w:t xml:space="preserve">is </w:t>
      </w:r>
      <w:r>
        <w:rPr>
          <w:rFonts w:hint="eastAsia"/>
        </w:rPr>
        <w:t>benefi</w:t>
      </w:r>
      <w:r>
        <w:t>cial</w:t>
      </w:r>
      <w:r>
        <w:rPr>
          <w:rFonts w:hint="eastAsia"/>
        </w:rPr>
        <w:t xml:space="preserve"> for initial access, measurement, sync</w:t>
      </w:r>
      <w:r>
        <w:t>hronization</w:t>
      </w:r>
      <w:r>
        <w:rPr>
          <w:rFonts w:hint="eastAsia"/>
        </w:rPr>
        <w:t>.</w:t>
      </w:r>
    </w:p>
    <w:p>
      <w:pPr>
        <w:pStyle w:val="61"/>
        <w:spacing w:before="120" w:after="120"/>
        <w:rPr>
          <w:rFonts w:eastAsia="宋体"/>
          <w:lang w:val="en-US" w:eastAsia="zh-CN"/>
        </w:rPr>
      </w:pPr>
      <w:bookmarkStart w:id="224" w:name="_Toc1494655338"/>
      <w:bookmarkStart w:id="225" w:name="_Toc947106854"/>
      <w:bookmarkStart w:id="226" w:name="_Toc30159"/>
      <w:bookmarkStart w:id="227" w:name="_Toc237002883"/>
      <w:r>
        <w:rPr>
          <w:lang w:val="en-US" w:eastAsia="zh-CN"/>
        </w:rPr>
        <w:t>Mechanisms such as j</w:t>
      </w:r>
      <w:r>
        <w:rPr>
          <w:rFonts w:hint="eastAsia"/>
          <w:lang w:val="en-US" w:eastAsia="zh-CN"/>
        </w:rPr>
        <w:t xml:space="preserve">oint cell-DTX/DRX and C-DRX, </w:t>
      </w:r>
      <w:r>
        <w:rPr>
          <w:lang w:val="en-US" w:eastAsia="zh-CN"/>
        </w:rPr>
        <w:t xml:space="preserve">fast </w:t>
      </w:r>
      <w:r>
        <w:rPr>
          <w:rFonts w:hint="eastAsia"/>
          <w:lang w:val="en-US" w:eastAsia="zh-CN"/>
        </w:rPr>
        <w:t>BWP switching, two stage SSB</w:t>
      </w:r>
      <w:r>
        <w:rPr>
          <w:lang w:val="en-US" w:eastAsia="zh-CN"/>
        </w:rPr>
        <w:t>,</w:t>
      </w:r>
      <w:r>
        <w:rPr>
          <w:rFonts w:hint="eastAsia"/>
          <w:lang w:val="en-US" w:eastAsia="zh-CN"/>
        </w:rPr>
        <w:t xml:space="preserve"> </w:t>
      </w:r>
      <w:r>
        <w:rPr>
          <w:lang w:val="en-US" w:eastAsia="zh-CN"/>
        </w:rPr>
        <w:t>are</w:t>
      </w:r>
      <w:r>
        <w:rPr>
          <w:rFonts w:hint="eastAsia"/>
          <w:lang w:val="en-US" w:eastAsia="zh-CN"/>
        </w:rPr>
        <w:t xml:space="preserve"> benefi</w:t>
      </w:r>
      <w:r>
        <w:rPr>
          <w:lang w:val="en-US" w:eastAsia="zh-CN"/>
        </w:rPr>
        <w:t>cial</w:t>
      </w:r>
      <w:r>
        <w:rPr>
          <w:rFonts w:hint="eastAsia"/>
          <w:lang w:val="en-US" w:eastAsia="zh-CN"/>
        </w:rPr>
        <w:t xml:space="preserve"> for both NW and UE energy saving.</w:t>
      </w:r>
      <w:bookmarkEnd w:id="224"/>
      <w:bookmarkEnd w:id="225"/>
      <w:bookmarkEnd w:id="226"/>
      <w:bookmarkEnd w:id="227"/>
      <w:r>
        <w:rPr>
          <w:rFonts w:hint="eastAsia"/>
          <w:lang w:val="en-US" w:eastAsia="zh-CN"/>
        </w:rPr>
        <w:t xml:space="preserve"> </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0"/>
        <w:tabs>
          <w:tab w:val="right" w:leader="dot" w:pos="9660"/>
          <w:tab w:val="clear" w:pos="0"/>
        </w:tabs>
        <w:spacing w:before="120" w:after="120"/>
        <w:ind w:right="400"/>
        <w:rPr>
          <w:b w:val="0"/>
          <w:bCs/>
          <w:i w:val="0"/>
          <w:iCs w:val="0"/>
        </w:rPr>
      </w:pPr>
      <w:r>
        <w:rPr>
          <w:rFonts w:hint="eastAsia"/>
          <w:b w:val="0"/>
          <w:bCs/>
          <w:i w:val="0"/>
          <w:iCs w:val="0"/>
        </w:rPr>
        <w:t>In this contribution, we have the following observations and proposals:</w:t>
      </w:r>
    </w:p>
    <w:p>
      <w:pPr>
        <w:spacing w:before="120" w:after="120" w:line="260" w:lineRule="auto"/>
        <w:rPr>
          <w:b/>
          <w:bCs/>
          <w:u w:val="single"/>
        </w:rPr>
      </w:pPr>
      <w:r>
        <w:rPr>
          <w:rFonts w:hint="eastAsia"/>
          <w:b/>
          <w:bCs/>
          <w:u w:val="single"/>
        </w:rPr>
        <w:t>Network energy saving in time domain</w:t>
      </w:r>
    </w:p>
    <w:p>
      <w:pPr>
        <w:spacing w:before="120" w:after="120" w:line="260" w:lineRule="auto"/>
        <w:rPr>
          <w:i/>
          <w:iCs/>
        </w:rPr>
      </w:pPr>
      <w:r>
        <w:rPr>
          <w:rFonts w:hint="eastAsia"/>
          <w:b/>
          <w:bCs/>
          <w:i/>
          <w:iCs/>
        </w:rPr>
        <w:t xml:space="preserve">Proposal 1: </w:t>
      </w:r>
      <w:r>
        <w:rPr>
          <w:rFonts w:hint="eastAsia"/>
          <w:i/>
          <w:iCs/>
        </w:rPr>
        <w:t>How to avoid or reduce the network power consumption caused by the transmission or reception of the common signal/channel should be considered from the beginning of the design.</w:t>
      </w:r>
    </w:p>
    <w:p>
      <w:pPr>
        <w:numPr>
          <w:ilvl w:val="0"/>
          <w:numId w:val="13"/>
        </w:numPr>
        <w:spacing w:before="120" w:after="120" w:line="260" w:lineRule="auto"/>
        <w:rPr>
          <w:b/>
          <w:bCs/>
          <w:u w:val="single"/>
        </w:rPr>
      </w:pPr>
      <w:r>
        <w:rPr>
          <w:rFonts w:hint="eastAsia"/>
          <w:b/>
          <w:bCs/>
          <w:u w:val="single"/>
        </w:rPr>
        <w:t>SSB</w:t>
      </w:r>
    </w:p>
    <w:p>
      <w:pPr>
        <w:spacing w:before="120" w:after="120" w:line="260" w:lineRule="auto"/>
        <w:rPr>
          <w:i/>
          <w:iCs/>
        </w:rPr>
      </w:pPr>
      <w:r>
        <w:rPr>
          <w:rFonts w:hint="eastAsia"/>
          <w:b/>
          <w:bCs/>
          <w:i/>
          <w:iCs/>
        </w:rPr>
        <w:t xml:space="preserve">Observation 1: </w:t>
      </w:r>
      <w:r>
        <w:rPr>
          <w:rFonts w:hint="eastAsia"/>
          <w:i/>
          <w:iCs/>
        </w:rPr>
        <w:t>With the network power model Cat 2 defined in NR, the SSB and SIB1 with a period of 160 ms can achieve an energy-saving gain of approximately 19%-26% in different load scenarios. The energy-saving gain may be further improved in 6G with the enhanced implementation.</w:t>
      </w:r>
    </w:p>
    <w:p>
      <w:pPr>
        <w:spacing w:before="120" w:after="120" w:line="260" w:lineRule="auto"/>
        <w:rPr>
          <w:i/>
          <w:iCs/>
        </w:rPr>
      </w:pPr>
      <w:r>
        <w:rPr>
          <w:rFonts w:hint="eastAsia"/>
          <w:b/>
          <w:bCs/>
          <w:i/>
          <w:iCs/>
        </w:rPr>
        <w:t>Observation 2:</w:t>
      </w:r>
      <w:r>
        <w:rPr>
          <w:rFonts w:hint="eastAsia"/>
          <w:i/>
          <w:iCs/>
        </w:rPr>
        <w:t xml:space="preserve"> An SSB muting configuration is beneficial to UE power saving when large period SSB is used.</w:t>
      </w:r>
    </w:p>
    <w:p>
      <w:pPr>
        <w:spacing w:before="120" w:after="120" w:line="260" w:lineRule="auto"/>
        <w:rPr>
          <w:i/>
          <w:iCs/>
        </w:rPr>
      </w:pPr>
      <w:r>
        <w:rPr>
          <w:rFonts w:hint="eastAsia"/>
          <w:b/>
          <w:bCs/>
          <w:i/>
          <w:iCs/>
        </w:rPr>
        <w:t xml:space="preserve">Proposal 2: </w:t>
      </w:r>
      <w:r>
        <w:rPr>
          <w:rFonts w:hint="eastAsia"/>
          <w:i/>
          <w:iCs/>
        </w:rPr>
        <w:t>The SSB with large period, such as 160ms for idle/inactive mode, 640ms maximum period should be considered in 6GR, with the potential impact to be studied.</w:t>
      </w:r>
      <w:bookmarkStart w:id="232" w:name="_GoBack"/>
      <w:bookmarkEnd w:id="232"/>
    </w:p>
    <w:p>
      <w:pPr>
        <w:spacing w:before="120" w:after="120" w:line="260" w:lineRule="auto"/>
        <w:rPr>
          <w:i/>
          <w:iCs/>
        </w:rPr>
      </w:pPr>
      <w:r>
        <w:rPr>
          <w:rFonts w:hint="eastAsia"/>
          <w:b/>
          <w:bCs/>
          <w:i/>
          <w:iCs/>
        </w:rPr>
        <w:t xml:space="preserve">Proposal 3: </w:t>
      </w:r>
      <w:r>
        <w:rPr>
          <w:rFonts w:hint="eastAsia"/>
          <w:i/>
          <w:iCs/>
        </w:rPr>
        <w:t>SSB adaptation in PCell and SCell should be considered.</w:t>
      </w:r>
    </w:p>
    <w:p>
      <w:pPr>
        <w:spacing w:before="120" w:after="120" w:line="260" w:lineRule="auto"/>
        <w:rPr>
          <w:i/>
          <w:iCs/>
        </w:rPr>
      </w:pPr>
      <w:r>
        <w:rPr>
          <w:rFonts w:hint="eastAsia"/>
          <w:b/>
          <w:bCs/>
          <w:i/>
          <w:iCs/>
        </w:rPr>
        <w:t xml:space="preserve">Observation 3: </w:t>
      </w:r>
      <w:r>
        <w:rPr>
          <w:rFonts w:hint="eastAsia"/>
          <w:i/>
          <w:iCs/>
        </w:rPr>
        <w:t>PSS, SSS, and PBCH have different periodic requirements.</w:t>
      </w:r>
    </w:p>
    <w:p>
      <w:pPr>
        <w:spacing w:before="120" w:after="120" w:line="260" w:lineRule="auto"/>
        <w:rPr>
          <w:i/>
          <w:iCs/>
        </w:rPr>
      </w:pPr>
      <w:r>
        <w:rPr>
          <w:rFonts w:hint="eastAsia"/>
          <w:b/>
          <w:bCs/>
          <w:i/>
          <w:iCs/>
        </w:rPr>
        <w:t xml:space="preserve">Proposal 4: </w:t>
      </w:r>
      <w:r>
        <w:rPr>
          <w:rFonts w:hint="eastAsia"/>
          <w:i/>
          <w:iCs/>
        </w:rPr>
        <w:t>SSB decoupling can be considered in 6GR.</w:t>
      </w:r>
    </w:p>
    <w:p>
      <w:pPr>
        <w:spacing w:before="120" w:after="120" w:line="260" w:lineRule="auto"/>
        <w:rPr>
          <w:i/>
          <w:iCs/>
        </w:rPr>
      </w:pPr>
      <w:r>
        <w:rPr>
          <w:rFonts w:hint="eastAsia"/>
          <w:b/>
          <w:bCs/>
          <w:i/>
          <w:iCs/>
        </w:rPr>
        <w:t xml:space="preserve">Proposal 5: </w:t>
      </w:r>
      <w:r>
        <w:rPr>
          <w:rFonts w:hint="eastAsia"/>
          <w:i/>
          <w:iCs/>
        </w:rPr>
        <w:t>AI-based SSB prediction for random access can be considered in 6GR.</w:t>
      </w:r>
    </w:p>
    <w:p>
      <w:pPr>
        <w:numPr>
          <w:ilvl w:val="0"/>
          <w:numId w:val="13"/>
        </w:numPr>
        <w:spacing w:before="120" w:after="120" w:line="260" w:lineRule="auto"/>
        <w:rPr>
          <w:b/>
          <w:bCs/>
          <w:u w:val="single"/>
        </w:rPr>
      </w:pPr>
      <w:r>
        <w:rPr>
          <w:rFonts w:hint="eastAsia"/>
          <w:b/>
          <w:bCs/>
          <w:u w:val="single"/>
        </w:rPr>
        <w:t>Paging</w:t>
      </w:r>
    </w:p>
    <w:p>
      <w:pPr>
        <w:spacing w:before="120" w:after="120" w:line="260" w:lineRule="auto"/>
        <w:rPr>
          <w:i/>
          <w:iCs/>
        </w:rPr>
      </w:pPr>
      <w:r>
        <w:rPr>
          <w:rFonts w:hint="eastAsia"/>
          <w:b/>
          <w:bCs/>
          <w:i/>
          <w:iCs/>
        </w:rPr>
        <w:t xml:space="preserve">Observation 4: </w:t>
      </w:r>
      <w:r>
        <w:rPr>
          <w:rFonts w:hint="eastAsia"/>
          <w:i/>
          <w:iCs/>
        </w:rPr>
        <w:t>If dynamic SSB period adaptation is not supported, the need of dynamic PO change is unclear.</w:t>
      </w:r>
    </w:p>
    <w:p>
      <w:pPr>
        <w:spacing w:before="120" w:after="120" w:line="260" w:lineRule="auto"/>
        <w:rPr>
          <w:i/>
          <w:iCs/>
        </w:rPr>
      </w:pPr>
      <w:r>
        <w:rPr>
          <w:rFonts w:hint="eastAsia"/>
          <w:b/>
          <w:bCs/>
          <w:i/>
          <w:iCs/>
        </w:rPr>
        <w:t xml:space="preserve">Proposal 6: </w:t>
      </w:r>
      <w:r>
        <w:rPr>
          <w:rFonts w:hint="eastAsia"/>
          <w:i/>
          <w:iCs/>
        </w:rPr>
        <w:t>Study the PO adaptation mechanism when dynamic SSB period change is considered.</w:t>
      </w:r>
    </w:p>
    <w:p>
      <w:pPr>
        <w:spacing w:before="120" w:after="120" w:line="260" w:lineRule="auto"/>
        <w:rPr>
          <w:i/>
          <w:iCs/>
        </w:rPr>
      </w:pPr>
      <w:r>
        <w:rPr>
          <w:rFonts w:hint="eastAsia"/>
          <w:b/>
          <w:bCs/>
          <w:i/>
          <w:iCs/>
        </w:rPr>
        <w:t xml:space="preserve">Proposal 7: </w:t>
      </w:r>
      <w:r>
        <w:rPr>
          <w:rFonts w:hint="eastAsia"/>
          <w:i/>
          <w:iCs/>
        </w:rPr>
        <w:t>To minimize the number of transmitted/monitoring paging DCIs or Wake-Up Signals, UE can report its preferred beam direction to the BS in idle/inactive state.</w:t>
      </w:r>
    </w:p>
    <w:p>
      <w:pPr>
        <w:numPr>
          <w:ilvl w:val="0"/>
          <w:numId w:val="13"/>
        </w:numPr>
        <w:spacing w:before="120" w:after="120" w:line="260" w:lineRule="auto"/>
        <w:rPr>
          <w:b/>
          <w:bCs/>
          <w:u w:val="single"/>
        </w:rPr>
      </w:pPr>
      <w:r>
        <w:rPr>
          <w:rFonts w:hint="eastAsia"/>
          <w:b/>
          <w:bCs/>
          <w:u w:val="single"/>
        </w:rPr>
        <w:t>PRACH</w:t>
      </w:r>
    </w:p>
    <w:p>
      <w:pPr>
        <w:spacing w:before="120" w:after="120" w:line="260" w:lineRule="auto"/>
        <w:rPr>
          <w:i/>
          <w:iCs/>
        </w:rPr>
      </w:pPr>
      <w:r>
        <w:rPr>
          <w:rFonts w:hint="eastAsia"/>
          <w:b/>
          <w:bCs/>
          <w:i/>
          <w:iCs/>
        </w:rPr>
        <w:t>Proposal 8:</w:t>
      </w:r>
      <w:r>
        <w:rPr>
          <w:rFonts w:hint="eastAsia"/>
          <w:i/>
          <w:iCs/>
        </w:rPr>
        <w:t xml:space="preserve"> If dynamic SSB period adaptation is not supported, the need of dynamic RO change is unclear.</w:t>
      </w:r>
    </w:p>
    <w:p>
      <w:pPr>
        <w:spacing w:before="120" w:after="120" w:line="260" w:lineRule="auto"/>
        <w:rPr>
          <w:i/>
          <w:iCs/>
        </w:rPr>
      </w:pPr>
      <w:r>
        <w:rPr>
          <w:rFonts w:hint="eastAsia"/>
          <w:b/>
          <w:bCs/>
          <w:i/>
          <w:iCs/>
        </w:rPr>
        <w:t>Proposal 9:</w:t>
      </w:r>
      <w:r>
        <w:rPr>
          <w:rFonts w:hint="eastAsia"/>
          <w:i/>
          <w:iCs/>
        </w:rPr>
        <w:t xml:space="preserve"> Study the RO adaptation mechanism when dynamic SSB period change is considered.</w:t>
      </w:r>
    </w:p>
    <w:p>
      <w:pPr>
        <w:numPr>
          <w:ilvl w:val="0"/>
          <w:numId w:val="13"/>
        </w:numPr>
        <w:spacing w:before="120" w:after="120" w:line="260" w:lineRule="auto"/>
        <w:rPr>
          <w:b/>
          <w:bCs/>
          <w:u w:val="single"/>
        </w:rPr>
      </w:pPr>
      <w:r>
        <w:rPr>
          <w:rFonts w:hint="eastAsia"/>
          <w:b/>
          <w:bCs/>
          <w:u w:val="single"/>
        </w:rPr>
        <w:t>Cell DTX/DRX</w:t>
      </w:r>
    </w:p>
    <w:p>
      <w:pPr>
        <w:spacing w:before="120" w:after="120" w:line="260" w:lineRule="auto"/>
      </w:pPr>
      <w:r>
        <w:rPr>
          <w:rFonts w:hint="eastAsia"/>
          <w:b/>
          <w:bCs/>
        </w:rPr>
        <w:t>Proposal 10:</w:t>
      </w:r>
      <w:r>
        <w:rPr>
          <w:rFonts w:hint="eastAsia"/>
        </w:rPr>
        <w:t xml:space="preserve"> </w:t>
      </w:r>
      <w:r>
        <w:rPr>
          <w:rFonts w:hint="eastAsia"/>
          <w:i/>
          <w:iCs/>
        </w:rPr>
        <w:t>Cell DTX/DRX can be considered in 6GR, including terminating the transmission of periodic SSB, TRS and CSI-RS for RRM/RLM during non-active periods of cell DTX/DRX.</w:t>
      </w:r>
    </w:p>
    <w:p>
      <w:pPr>
        <w:numPr>
          <w:ilvl w:val="0"/>
          <w:numId w:val="13"/>
        </w:numPr>
        <w:spacing w:before="120" w:after="120" w:line="260" w:lineRule="auto"/>
        <w:rPr>
          <w:b/>
          <w:bCs/>
          <w:u w:val="single"/>
        </w:rPr>
      </w:pPr>
      <w:r>
        <w:rPr>
          <w:rFonts w:hint="eastAsia"/>
          <w:b/>
          <w:bCs/>
          <w:u w:val="single"/>
        </w:rPr>
        <w:t xml:space="preserve">UE specific RS reduction </w:t>
      </w:r>
    </w:p>
    <w:p>
      <w:pPr>
        <w:spacing w:before="120" w:after="120" w:line="260" w:lineRule="auto"/>
        <w:rPr>
          <w:i/>
          <w:iCs/>
        </w:rPr>
      </w:pPr>
      <w:r>
        <w:rPr>
          <w:rFonts w:hint="eastAsia"/>
          <w:b/>
          <w:bCs/>
        </w:rPr>
        <w:t xml:space="preserve">Proposal 11: </w:t>
      </w:r>
      <w:r>
        <w:rPr>
          <w:rFonts w:hint="eastAsia"/>
          <w:i/>
          <w:iCs/>
        </w:rPr>
        <w:t>Dynamic UE specific signal/channel adaptation, e.g., CSI-RS/TRS adaptation, can be considered in 6GR.</w:t>
      </w:r>
    </w:p>
    <w:p>
      <w:pPr>
        <w:spacing w:before="120" w:after="120" w:line="260" w:lineRule="auto"/>
      </w:pPr>
    </w:p>
    <w:p>
      <w:pPr>
        <w:spacing w:before="120" w:after="120" w:line="260" w:lineRule="auto"/>
        <w:rPr>
          <w:b/>
          <w:bCs/>
          <w:u w:val="single"/>
        </w:rPr>
      </w:pPr>
      <w:r>
        <w:rPr>
          <w:rFonts w:hint="eastAsia"/>
          <w:b/>
          <w:bCs/>
          <w:u w:val="single"/>
        </w:rPr>
        <w:t>Network energy saving in frequency domain</w:t>
      </w:r>
    </w:p>
    <w:p>
      <w:pPr>
        <w:spacing w:before="120" w:after="120" w:line="260" w:lineRule="auto"/>
        <w:rPr>
          <w:i/>
          <w:iCs/>
        </w:rPr>
      </w:pPr>
      <w:r>
        <w:rPr>
          <w:rFonts w:hint="eastAsia"/>
          <w:b/>
          <w:bCs/>
          <w:i/>
          <w:iCs/>
        </w:rPr>
        <w:t xml:space="preserve">Proposal 12: </w:t>
      </w:r>
      <w:r>
        <w:rPr>
          <w:rFonts w:hint="eastAsia"/>
          <w:i/>
          <w:iCs/>
        </w:rPr>
        <w:t>For 6G CA architecture, the uplink and downlink decoupling should be considered, for example, supporting UL only cell and the DL only cell.</w:t>
      </w:r>
    </w:p>
    <w:p>
      <w:pPr>
        <w:spacing w:before="120" w:after="120" w:line="260" w:lineRule="auto"/>
        <w:rPr>
          <w:i/>
          <w:iCs/>
        </w:rPr>
      </w:pPr>
      <w:r>
        <w:rPr>
          <w:rFonts w:hint="eastAsia"/>
          <w:b/>
          <w:bCs/>
          <w:i/>
          <w:iCs/>
        </w:rPr>
        <w:t xml:space="preserve">Proposal 13: </w:t>
      </w:r>
      <w:r>
        <w:rPr>
          <w:rFonts w:hint="eastAsia"/>
          <w:i/>
          <w:iCs/>
        </w:rPr>
        <w:t>The NES cell such as SSB-less cell, SIB1-less cell, and on-demand SSB/SIB1 cell should be considered in 6GR.</w:t>
      </w:r>
    </w:p>
    <w:p>
      <w:pPr>
        <w:spacing w:before="120" w:after="120" w:line="260" w:lineRule="auto"/>
        <w:rPr>
          <w:i/>
          <w:iCs/>
        </w:rPr>
      </w:pPr>
    </w:p>
    <w:p>
      <w:pPr>
        <w:spacing w:before="120" w:after="120" w:line="260" w:lineRule="auto"/>
        <w:rPr>
          <w:b/>
          <w:bCs/>
          <w:u w:val="single"/>
        </w:rPr>
      </w:pPr>
      <w:r>
        <w:rPr>
          <w:rFonts w:hint="eastAsia"/>
          <w:b/>
          <w:bCs/>
          <w:u w:val="single"/>
        </w:rPr>
        <w:t>Network energy saving in spatial domain</w:t>
      </w:r>
    </w:p>
    <w:p>
      <w:pPr>
        <w:spacing w:before="120" w:after="120" w:line="260" w:lineRule="auto"/>
        <w:rPr>
          <w:i/>
          <w:iCs/>
        </w:rPr>
      </w:pPr>
      <w:r>
        <w:rPr>
          <w:rFonts w:hint="eastAsia"/>
          <w:b/>
          <w:bCs/>
          <w:i/>
          <w:iCs/>
        </w:rPr>
        <w:t xml:space="preserve">Proposal 14: </w:t>
      </w:r>
      <w:r>
        <w:rPr>
          <w:rFonts w:hint="eastAsia"/>
          <w:i/>
          <w:iCs/>
        </w:rPr>
        <w:t>Adaptive BS antenna switching should be supported in 6GR.</w:t>
      </w:r>
    </w:p>
    <w:p>
      <w:pPr>
        <w:spacing w:before="120" w:after="120" w:line="260" w:lineRule="auto"/>
        <w:rPr>
          <w:i/>
          <w:iCs/>
        </w:rPr>
      </w:pPr>
      <w:r>
        <w:rPr>
          <w:rFonts w:hint="eastAsia"/>
          <w:b/>
          <w:bCs/>
          <w:i/>
          <w:iCs/>
        </w:rPr>
        <w:t xml:space="preserve">Proposal 15: </w:t>
      </w:r>
      <w:r>
        <w:rPr>
          <w:rFonts w:hint="eastAsia"/>
          <w:i/>
          <w:iCs/>
        </w:rPr>
        <w:t>Multi-CSI report in spatial domain should be considered in 6GR.</w:t>
      </w:r>
    </w:p>
    <w:p>
      <w:pPr>
        <w:spacing w:before="120" w:after="120" w:line="260" w:lineRule="auto"/>
        <w:rPr>
          <w:i/>
          <w:iCs/>
        </w:rPr>
      </w:pPr>
      <w:r>
        <w:rPr>
          <w:rFonts w:hint="eastAsia"/>
          <w:b/>
          <w:bCs/>
          <w:i/>
          <w:iCs/>
        </w:rPr>
        <w:t xml:space="preserve">Proposal 16: </w:t>
      </w:r>
      <w:r>
        <w:rPr>
          <w:rFonts w:hint="eastAsia"/>
          <w:i/>
          <w:iCs/>
        </w:rPr>
        <w:t>Overhead reduction for multi-CSI report for NES can be considered.</w:t>
      </w:r>
    </w:p>
    <w:p>
      <w:pPr>
        <w:spacing w:before="120" w:after="120" w:line="260" w:lineRule="auto"/>
        <w:rPr>
          <w:i/>
          <w:iCs/>
        </w:rPr>
      </w:pPr>
      <w:r>
        <w:rPr>
          <w:rFonts w:hint="eastAsia"/>
          <w:b/>
          <w:bCs/>
          <w:i/>
          <w:iCs/>
        </w:rPr>
        <w:t xml:space="preserve">Proposal 17: </w:t>
      </w:r>
      <w:r>
        <w:rPr>
          <w:rFonts w:hint="eastAsia"/>
          <w:i/>
          <w:iCs/>
        </w:rPr>
        <w:t>Dynamic on/off scheme for multi-TRP can be studied.</w:t>
      </w:r>
    </w:p>
    <w:p>
      <w:pPr>
        <w:spacing w:before="120" w:after="120" w:line="260" w:lineRule="auto"/>
        <w:rPr>
          <w:i/>
          <w:iCs/>
        </w:rPr>
      </w:pPr>
    </w:p>
    <w:p>
      <w:pPr>
        <w:spacing w:before="120" w:after="120" w:line="260" w:lineRule="auto"/>
        <w:rPr>
          <w:b/>
          <w:bCs/>
          <w:u w:val="single"/>
        </w:rPr>
      </w:pPr>
      <w:r>
        <w:rPr>
          <w:rFonts w:hint="eastAsia"/>
          <w:b/>
          <w:bCs/>
          <w:u w:val="single"/>
        </w:rPr>
        <w:t>Network energy saving in power domain</w:t>
      </w:r>
    </w:p>
    <w:p>
      <w:pPr>
        <w:spacing w:before="120" w:after="120" w:line="260" w:lineRule="auto"/>
        <w:rPr>
          <w:i/>
          <w:iCs/>
        </w:rPr>
      </w:pPr>
      <w:r>
        <w:rPr>
          <w:rFonts w:hint="eastAsia"/>
          <w:b/>
          <w:bCs/>
          <w:i/>
          <w:iCs/>
        </w:rPr>
        <w:t xml:space="preserve">Proposal 18: </w:t>
      </w:r>
      <w:r>
        <w:rPr>
          <w:rFonts w:hint="eastAsia"/>
          <w:i/>
          <w:iCs/>
        </w:rPr>
        <w:t>Multi-CSI report and the overhead reduction for multi-CSI report in power domain should be considered.</w:t>
      </w:r>
    </w:p>
    <w:p>
      <w:pPr>
        <w:spacing w:before="120" w:after="120" w:line="260" w:lineRule="auto"/>
        <w:rPr>
          <w:i/>
          <w:iCs/>
        </w:rPr>
      </w:pPr>
      <w:r>
        <w:rPr>
          <w:rFonts w:hint="eastAsia"/>
          <w:b/>
          <w:bCs/>
          <w:i/>
          <w:iCs/>
        </w:rPr>
        <w:t xml:space="preserve">Proposal 19: </w:t>
      </w:r>
      <w:r>
        <w:rPr>
          <w:rFonts w:hint="eastAsia"/>
          <w:i/>
          <w:iCs/>
        </w:rPr>
        <w:t>The non-uniformed power allocation for multi-beam SSB should be supported in 6GR.</w:t>
      </w:r>
    </w:p>
    <w:p>
      <w:pPr>
        <w:spacing w:before="120" w:after="120" w:line="260" w:lineRule="auto"/>
        <w:rPr>
          <w:b/>
          <w:bCs/>
          <w:u w:val="single"/>
        </w:rPr>
      </w:pPr>
    </w:p>
    <w:p>
      <w:pPr>
        <w:spacing w:before="120" w:after="120" w:line="260" w:lineRule="auto"/>
        <w:rPr>
          <w:b/>
          <w:bCs/>
          <w:u w:val="single"/>
        </w:rPr>
      </w:pPr>
      <w:r>
        <w:rPr>
          <w:rFonts w:hint="eastAsia"/>
          <w:b/>
          <w:bCs/>
          <w:u w:val="single"/>
        </w:rPr>
        <w:t xml:space="preserve">Network energy saving </w:t>
      </w:r>
      <w:r>
        <w:rPr>
          <w:b/>
          <w:bCs/>
          <w:u w:val="single"/>
        </w:rPr>
        <w:t>with energy-efficient nodes</w:t>
      </w:r>
    </w:p>
    <w:p>
      <w:pPr>
        <w:pStyle w:val="61"/>
        <w:numPr>
          <w:ilvl w:val="0"/>
          <w:numId w:val="0"/>
        </w:numPr>
        <w:spacing w:before="120" w:after="120"/>
        <w:jc w:val="both"/>
        <w:rPr>
          <w:b w:val="0"/>
          <w:bCs w:val="0"/>
          <w:lang w:val="en-US" w:eastAsia="zh-CN"/>
        </w:rPr>
      </w:pPr>
      <w:r>
        <w:rPr>
          <w:rFonts w:hint="eastAsia"/>
        </w:rPr>
        <w:t xml:space="preserve">Observation 5: </w:t>
      </w:r>
      <w:r>
        <w:rPr>
          <w:b w:val="0"/>
          <w:bCs w:val="0"/>
        </w:rPr>
        <w:t>Network energy efficiency can be improved with deployment of passive nodes e.g., RIS</w:t>
      </w:r>
      <w:r>
        <w:rPr>
          <w:b w:val="0"/>
          <w:bCs w:val="0"/>
          <w:lang w:val="en-US" w:eastAsia="zh-CN"/>
        </w:rPr>
        <w:t xml:space="preserve"> </w:t>
      </w:r>
    </w:p>
    <w:p>
      <w:pPr>
        <w:pStyle w:val="61"/>
        <w:numPr>
          <w:ilvl w:val="0"/>
          <w:numId w:val="0"/>
        </w:numPr>
        <w:spacing w:before="120" w:after="120"/>
        <w:jc w:val="both"/>
        <w:rPr>
          <w:b w:val="0"/>
          <w:bCs w:val="0"/>
          <w:lang w:val="en-US" w:eastAsia="zh-CN"/>
        </w:rPr>
      </w:pPr>
      <w:r>
        <w:rPr>
          <w:rFonts w:hint="eastAsia"/>
          <w:b/>
          <w:bCs/>
        </w:rPr>
        <w:t>Proposal 20</w:t>
      </w:r>
      <w:r>
        <w:rPr>
          <w:rFonts w:hint="eastAsia"/>
          <w:b w:val="0"/>
          <w:bCs w:val="0"/>
        </w:rPr>
        <w:t xml:space="preserve">: </w:t>
      </w:r>
      <w:r>
        <w:rPr>
          <w:b w:val="0"/>
          <w:bCs w:val="0"/>
        </w:rPr>
        <w:t>The multi-layer deployment scenarios with passive nodes e.g., RIS, should be conisdered for network energy saving.  Energy saving schemes e.g. SSB on-off/allocation should be considered in such scenarios.</w:t>
      </w:r>
    </w:p>
    <w:p>
      <w:pPr>
        <w:spacing w:before="120" w:after="120" w:line="260" w:lineRule="auto"/>
        <w:rPr>
          <w:i/>
          <w:iCs/>
        </w:rPr>
      </w:pPr>
      <w:r>
        <w:rPr>
          <w:rFonts w:hint="eastAsia"/>
          <w:i/>
          <w:iCs/>
        </w:rPr>
        <w:t>.</w:t>
      </w:r>
    </w:p>
    <w:p>
      <w:pPr>
        <w:spacing w:before="120" w:after="120" w:line="260" w:lineRule="auto"/>
        <w:rPr>
          <w:b/>
          <w:bCs/>
          <w:u w:val="single"/>
        </w:rPr>
      </w:pPr>
      <w:r>
        <w:rPr>
          <w:rFonts w:hint="eastAsia"/>
          <w:b/>
          <w:bCs/>
          <w:u w:val="single"/>
        </w:rPr>
        <w:t>UE energy saving for Idle/inactive mode</w:t>
      </w:r>
    </w:p>
    <w:p>
      <w:pPr>
        <w:numPr>
          <w:ilvl w:val="0"/>
          <w:numId w:val="13"/>
        </w:numPr>
        <w:spacing w:before="120" w:after="120" w:line="260" w:lineRule="auto"/>
        <w:rPr>
          <w:b/>
          <w:bCs/>
          <w:u w:val="single"/>
        </w:rPr>
      </w:pPr>
      <w:r>
        <w:rPr>
          <w:rFonts w:hint="eastAsia"/>
          <w:b/>
          <w:bCs/>
          <w:u w:val="single"/>
        </w:rPr>
        <w:t>UE energy saving for Paging procedure</w:t>
      </w:r>
    </w:p>
    <w:p>
      <w:pPr>
        <w:spacing w:before="120" w:after="120" w:line="260" w:lineRule="auto"/>
        <w:rPr>
          <w:i/>
          <w:iCs/>
        </w:rPr>
      </w:pPr>
      <w:r>
        <w:rPr>
          <w:rFonts w:hint="eastAsia"/>
          <w:b/>
          <w:bCs/>
          <w:i/>
          <w:iCs/>
        </w:rPr>
        <w:t xml:space="preserve">Observation </w:t>
      </w:r>
      <w:r>
        <w:rPr>
          <w:b/>
          <w:bCs/>
          <w:i/>
          <w:iCs/>
        </w:rPr>
        <w:t>6</w:t>
      </w:r>
      <w:r>
        <w:rPr>
          <w:rFonts w:hint="eastAsia"/>
          <w:b/>
          <w:bCs/>
          <w:i/>
          <w:iCs/>
        </w:rPr>
        <w:t>:</w:t>
      </w:r>
      <w:r>
        <w:rPr>
          <w:rFonts w:hint="eastAsia"/>
          <w:i/>
          <w:iCs/>
        </w:rPr>
        <w:t xml:space="preserve"> Group wake-up introduces a probability of false alarms, leading to unnecessary UE wake-ups, ineffective blind detection, waste energy and increased network overhead.</w:t>
      </w:r>
    </w:p>
    <w:p>
      <w:pPr>
        <w:spacing w:before="120" w:after="120" w:line="260" w:lineRule="auto"/>
        <w:rPr>
          <w:i/>
          <w:iCs/>
        </w:rPr>
      </w:pPr>
      <w:r>
        <w:rPr>
          <w:rFonts w:hint="eastAsia"/>
          <w:b/>
          <w:bCs/>
          <w:i/>
          <w:iCs/>
        </w:rPr>
        <w:t xml:space="preserve">Observation </w:t>
      </w:r>
      <w:r>
        <w:rPr>
          <w:b/>
          <w:bCs/>
          <w:i/>
          <w:iCs/>
        </w:rPr>
        <w:t>7</w:t>
      </w:r>
      <w:r>
        <w:rPr>
          <w:rFonts w:hint="eastAsia"/>
          <w:b/>
          <w:bCs/>
          <w:i/>
          <w:iCs/>
        </w:rPr>
        <w:t xml:space="preserve">: </w:t>
      </w:r>
      <w:r>
        <w:rPr>
          <w:rFonts w:hint="eastAsia"/>
          <w:i/>
          <w:iCs/>
        </w:rPr>
        <w:t>UE-specific WUS can reduce the false-alarm rate, eliminate the need of monitoring paging DCIs triggered by wake-ups transmitted for other UEs in the group, and reduce the resources allocated for paging DCI and paging PDSCH.</w:t>
      </w:r>
    </w:p>
    <w:p>
      <w:pPr>
        <w:spacing w:before="120" w:after="120" w:line="260" w:lineRule="auto"/>
        <w:rPr>
          <w:i/>
          <w:iCs/>
        </w:rPr>
      </w:pPr>
      <w:r>
        <w:rPr>
          <w:rFonts w:hint="eastAsia"/>
          <w:b/>
          <w:bCs/>
          <w:i/>
          <w:iCs/>
        </w:rPr>
        <w:t>Proposal 2</w:t>
      </w:r>
      <w:r>
        <w:rPr>
          <w:b/>
          <w:bCs/>
          <w:i/>
          <w:iCs/>
        </w:rPr>
        <w:t>1</w:t>
      </w:r>
      <w:r>
        <w:rPr>
          <w:rFonts w:hint="eastAsia"/>
          <w:b/>
          <w:bCs/>
          <w:i/>
          <w:iCs/>
        </w:rPr>
        <w:t xml:space="preserve">: </w:t>
      </w:r>
      <w:r>
        <w:rPr>
          <w:rFonts w:hint="eastAsia"/>
          <w:i/>
          <w:iCs/>
        </w:rPr>
        <w:t>UE specific and group specific WUS in idle/ inactive mode can be studied.</w:t>
      </w:r>
    </w:p>
    <w:p>
      <w:pPr>
        <w:spacing w:before="120" w:after="120" w:line="260" w:lineRule="auto"/>
        <w:rPr>
          <w:i/>
          <w:iCs/>
        </w:rPr>
      </w:pPr>
      <w:r>
        <w:rPr>
          <w:rFonts w:hint="eastAsia"/>
          <w:b/>
          <w:bCs/>
          <w:i/>
          <w:iCs/>
        </w:rPr>
        <w:t xml:space="preserve">Observation </w:t>
      </w:r>
      <w:r>
        <w:rPr>
          <w:b/>
          <w:bCs/>
          <w:i/>
          <w:iCs/>
        </w:rPr>
        <w:t>8</w:t>
      </w:r>
      <w:r>
        <w:rPr>
          <w:rFonts w:hint="eastAsia"/>
          <w:b/>
          <w:bCs/>
          <w:i/>
          <w:iCs/>
        </w:rPr>
        <w:t>:</w:t>
      </w:r>
      <w:r>
        <w:rPr>
          <w:rFonts w:hint="eastAsia"/>
          <w:i/>
          <w:iCs/>
        </w:rPr>
        <w:t xml:space="preserve"> Compared with PDCCH WUS, sequence WUS and OOK WUS consume less power.</w:t>
      </w:r>
    </w:p>
    <w:p>
      <w:pPr>
        <w:spacing w:before="120" w:after="120" w:line="260" w:lineRule="auto"/>
        <w:rPr>
          <w:i/>
          <w:iCs/>
        </w:rPr>
      </w:pPr>
      <w:r>
        <w:rPr>
          <w:rFonts w:hint="eastAsia"/>
          <w:b/>
          <w:bCs/>
          <w:i/>
          <w:iCs/>
        </w:rPr>
        <w:t xml:space="preserve">Observation </w:t>
      </w:r>
      <w:r>
        <w:rPr>
          <w:b/>
          <w:bCs/>
          <w:i/>
          <w:iCs/>
        </w:rPr>
        <w:t>9</w:t>
      </w:r>
      <w:r>
        <w:rPr>
          <w:rFonts w:hint="eastAsia"/>
          <w:b/>
          <w:bCs/>
          <w:i/>
          <w:iCs/>
        </w:rPr>
        <w:t xml:space="preserve">: </w:t>
      </w:r>
      <w:r>
        <w:rPr>
          <w:rFonts w:hint="eastAsia"/>
          <w:i/>
          <w:iCs/>
        </w:rPr>
        <w:t>With same coverage requirement, OOK WUS needs more resources.</w:t>
      </w:r>
    </w:p>
    <w:p>
      <w:pPr>
        <w:spacing w:before="120" w:after="120" w:line="260" w:lineRule="auto"/>
        <w:rPr>
          <w:i/>
          <w:iCs/>
        </w:rPr>
      </w:pPr>
      <w:r>
        <w:rPr>
          <w:rFonts w:hint="eastAsia"/>
          <w:b/>
          <w:bCs/>
          <w:i/>
          <w:iCs/>
        </w:rPr>
        <w:t>Proposal 2</w:t>
      </w:r>
      <w:r>
        <w:rPr>
          <w:b/>
          <w:bCs/>
          <w:i/>
          <w:iCs/>
        </w:rPr>
        <w:t>2</w:t>
      </w:r>
      <w:r>
        <w:rPr>
          <w:rFonts w:hint="eastAsia"/>
          <w:b/>
          <w:bCs/>
          <w:i/>
          <w:iCs/>
        </w:rPr>
        <w:t xml:space="preserve">: </w:t>
      </w:r>
      <w:r>
        <w:rPr>
          <w:rFonts w:hint="eastAsia"/>
          <w:i/>
          <w:iCs/>
        </w:rPr>
        <w:t>Sequence WUS can be studied.</w:t>
      </w:r>
    </w:p>
    <w:p>
      <w:pPr>
        <w:numPr>
          <w:ilvl w:val="0"/>
          <w:numId w:val="13"/>
        </w:numPr>
        <w:spacing w:before="120" w:after="120" w:line="260" w:lineRule="auto"/>
        <w:rPr>
          <w:b/>
          <w:bCs/>
          <w:u w:val="single"/>
        </w:rPr>
      </w:pPr>
      <w:r>
        <w:rPr>
          <w:rFonts w:hint="eastAsia"/>
          <w:b/>
          <w:bCs/>
          <w:u w:val="single"/>
        </w:rPr>
        <w:t>UE energy saving for cell search</w:t>
      </w:r>
    </w:p>
    <w:p>
      <w:pPr>
        <w:spacing w:before="120" w:after="120" w:line="260" w:lineRule="auto"/>
        <w:rPr>
          <w:i/>
          <w:iCs/>
        </w:rPr>
      </w:pPr>
      <w:r>
        <w:rPr>
          <w:rFonts w:hint="eastAsia"/>
          <w:b/>
          <w:bCs/>
          <w:i/>
          <w:iCs/>
        </w:rPr>
        <w:t>Proposal 2</w:t>
      </w:r>
      <w:r>
        <w:rPr>
          <w:b/>
          <w:bCs/>
          <w:i/>
          <w:iCs/>
        </w:rPr>
        <w:t>3</w:t>
      </w:r>
      <w:r>
        <w:rPr>
          <w:rFonts w:hint="eastAsia"/>
          <w:b/>
          <w:bCs/>
          <w:i/>
          <w:iCs/>
        </w:rPr>
        <w:t xml:space="preserve">: </w:t>
      </w:r>
      <w:r>
        <w:rPr>
          <w:rFonts w:hint="eastAsia"/>
          <w:i/>
          <w:iCs/>
        </w:rPr>
        <w:t>Two stage SSB can be considered for UE and NW energy saving.</w:t>
      </w:r>
    </w:p>
    <w:p>
      <w:pPr>
        <w:spacing w:before="120" w:after="120" w:line="260" w:lineRule="auto"/>
        <w:rPr>
          <w:i/>
          <w:iCs/>
        </w:rPr>
      </w:pPr>
    </w:p>
    <w:p>
      <w:pPr>
        <w:spacing w:before="120" w:after="120" w:line="260" w:lineRule="auto"/>
        <w:rPr>
          <w:b/>
          <w:bCs/>
          <w:u w:val="single"/>
        </w:rPr>
      </w:pPr>
      <w:r>
        <w:rPr>
          <w:rFonts w:hint="eastAsia"/>
          <w:b/>
          <w:bCs/>
          <w:u w:val="single"/>
        </w:rPr>
        <w:t>UE energy saving for connected mode</w:t>
      </w:r>
    </w:p>
    <w:p>
      <w:pPr>
        <w:numPr>
          <w:ilvl w:val="0"/>
          <w:numId w:val="13"/>
        </w:numPr>
        <w:spacing w:before="120" w:after="120" w:line="260" w:lineRule="auto"/>
        <w:rPr>
          <w:b/>
          <w:bCs/>
          <w:u w:val="single"/>
        </w:rPr>
      </w:pPr>
      <w:r>
        <w:rPr>
          <w:rFonts w:hint="eastAsia"/>
          <w:b/>
          <w:bCs/>
          <w:u w:val="single"/>
        </w:rPr>
        <w:t>UE energy saving in time domain</w:t>
      </w:r>
    </w:p>
    <w:p>
      <w:pPr>
        <w:spacing w:before="120" w:after="120" w:line="260" w:lineRule="auto"/>
        <w:rPr>
          <w:i/>
          <w:iCs/>
        </w:rPr>
      </w:pPr>
      <w:r>
        <w:rPr>
          <w:rFonts w:hint="eastAsia"/>
          <w:b/>
          <w:bCs/>
          <w:i/>
          <w:iCs/>
        </w:rPr>
        <w:t>Proposal 2</w:t>
      </w:r>
      <w:r>
        <w:rPr>
          <w:b/>
          <w:bCs/>
          <w:i/>
          <w:iCs/>
        </w:rPr>
        <w:t>4</w:t>
      </w:r>
      <w:r>
        <w:rPr>
          <w:rFonts w:hint="eastAsia"/>
          <w:b/>
          <w:bCs/>
          <w:i/>
          <w:iCs/>
        </w:rPr>
        <w:t xml:space="preserve">: </w:t>
      </w:r>
      <w:r>
        <w:rPr>
          <w:rFonts w:hint="eastAsia"/>
          <w:i/>
          <w:iCs/>
        </w:rPr>
        <w:t>Dynamic adaptation of DRX parameters, e.g., by WUS, can be considered.</w:t>
      </w:r>
    </w:p>
    <w:p>
      <w:pPr>
        <w:spacing w:before="120" w:after="120" w:line="260" w:lineRule="auto"/>
        <w:rPr>
          <w:i/>
          <w:iCs/>
        </w:rPr>
      </w:pPr>
      <w:r>
        <w:rPr>
          <w:rFonts w:hint="eastAsia"/>
          <w:b/>
          <w:bCs/>
          <w:i/>
          <w:iCs/>
        </w:rPr>
        <w:t>Proposal 2</w:t>
      </w:r>
      <w:r>
        <w:rPr>
          <w:b/>
          <w:bCs/>
          <w:i/>
          <w:iCs/>
        </w:rPr>
        <w:t>5</w:t>
      </w:r>
      <w:r>
        <w:rPr>
          <w:rFonts w:hint="eastAsia"/>
          <w:b/>
          <w:bCs/>
          <w:i/>
          <w:iCs/>
        </w:rPr>
        <w:t>:</w:t>
      </w:r>
      <w:r>
        <w:rPr>
          <w:rFonts w:hint="eastAsia"/>
          <w:i/>
          <w:iCs/>
        </w:rPr>
        <w:t xml:space="preserve"> Mechanism to indicate the number of PDCCH monitoring occasions or the PDCCH blind decoding information (e.g., the search space set, CORESET, DCI format) can be considered.</w:t>
      </w:r>
    </w:p>
    <w:p>
      <w:pPr>
        <w:spacing w:before="120" w:after="120" w:line="260" w:lineRule="auto"/>
        <w:rPr>
          <w:i/>
          <w:iCs/>
        </w:rPr>
      </w:pPr>
      <w:r>
        <w:rPr>
          <w:rFonts w:hint="eastAsia"/>
          <w:b/>
          <w:bCs/>
          <w:i/>
          <w:iCs/>
        </w:rPr>
        <w:t xml:space="preserve">Proposal </w:t>
      </w:r>
      <w:r>
        <w:rPr>
          <w:b/>
          <w:bCs/>
          <w:i/>
          <w:iCs/>
        </w:rPr>
        <w:t>26</w:t>
      </w:r>
      <w:r>
        <w:rPr>
          <w:rFonts w:hint="eastAsia"/>
          <w:b/>
          <w:bCs/>
          <w:i/>
          <w:iCs/>
        </w:rPr>
        <w:t xml:space="preserve">: </w:t>
      </w:r>
      <w:r>
        <w:rPr>
          <w:rFonts w:hint="eastAsia"/>
          <w:i/>
          <w:iCs/>
        </w:rPr>
        <w:t>Mechanisms, such as cross-slot scheduling, PDCCH skipping, SSSG switch, can be considered for 6GR with necessary enhancements.</w:t>
      </w:r>
    </w:p>
    <w:p>
      <w:pPr>
        <w:numPr>
          <w:ilvl w:val="0"/>
          <w:numId w:val="13"/>
        </w:numPr>
        <w:spacing w:before="120" w:after="120" w:line="260" w:lineRule="auto"/>
        <w:rPr>
          <w:b/>
          <w:bCs/>
          <w:u w:val="single"/>
        </w:rPr>
      </w:pPr>
      <w:r>
        <w:rPr>
          <w:rFonts w:hint="eastAsia"/>
          <w:b/>
          <w:bCs/>
          <w:u w:val="single"/>
        </w:rPr>
        <w:t>UE energy saving in frequency domain</w:t>
      </w:r>
    </w:p>
    <w:p>
      <w:pPr>
        <w:spacing w:before="120" w:after="120" w:line="260" w:lineRule="auto"/>
        <w:rPr>
          <w:i/>
          <w:iCs/>
        </w:rPr>
      </w:pPr>
      <w:r>
        <w:rPr>
          <w:rFonts w:hint="eastAsia"/>
          <w:b/>
          <w:bCs/>
          <w:i/>
          <w:iCs/>
        </w:rPr>
        <w:t xml:space="preserve">Observation </w:t>
      </w:r>
      <w:r>
        <w:rPr>
          <w:b/>
          <w:bCs/>
          <w:i/>
          <w:iCs/>
        </w:rPr>
        <w:t>10</w:t>
      </w:r>
      <w:r>
        <w:rPr>
          <w:rFonts w:hint="eastAsia"/>
          <w:b/>
          <w:bCs/>
          <w:i/>
          <w:iCs/>
        </w:rPr>
        <w:t xml:space="preserve">: </w:t>
      </w:r>
      <w:r>
        <w:rPr>
          <w:rFonts w:hint="eastAsia"/>
          <w:i/>
          <w:iCs/>
        </w:rPr>
        <w:t>The BWP switching and dormancy BWP can reduce the unnecessary utilization of frequency domain resources and power consumption.</w:t>
      </w:r>
    </w:p>
    <w:p>
      <w:pPr>
        <w:spacing w:before="120" w:after="120" w:line="260" w:lineRule="auto"/>
        <w:rPr>
          <w:i/>
          <w:iCs/>
        </w:rPr>
      </w:pPr>
      <w:r>
        <w:rPr>
          <w:rFonts w:hint="eastAsia"/>
          <w:b/>
          <w:bCs/>
          <w:i/>
          <w:iCs/>
        </w:rPr>
        <w:t>Proposal 2</w:t>
      </w:r>
      <w:r>
        <w:rPr>
          <w:b/>
          <w:bCs/>
          <w:i/>
          <w:iCs/>
        </w:rPr>
        <w:t>7</w:t>
      </w:r>
      <w:r>
        <w:rPr>
          <w:rFonts w:hint="eastAsia"/>
          <w:b/>
          <w:bCs/>
          <w:i/>
          <w:iCs/>
        </w:rPr>
        <w:t>:</w:t>
      </w:r>
      <w:r>
        <w:rPr>
          <w:rFonts w:hint="eastAsia"/>
          <w:i/>
          <w:iCs/>
        </w:rPr>
        <w:t xml:space="preserve"> Faster BWP switching by restricting the parameter set that varies between BWP can be considered.</w:t>
      </w:r>
    </w:p>
    <w:p>
      <w:pPr>
        <w:numPr>
          <w:ilvl w:val="0"/>
          <w:numId w:val="13"/>
        </w:numPr>
        <w:spacing w:before="120" w:after="120" w:line="260" w:lineRule="auto"/>
        <w:rPr>
          <w:b/>
          <w:bCs/>
          <w:u w:val="single"/>
        </w:rPr>
      </w:pPr>
      <w:r>
        <w:rPr>
          <w:rFonts w:hint="eastAsia"/>
          <w:b/>
          <w:bCs/>
          <w:u w:val="single"/>
        </w:rPr>
        <w:t>UE energy saving in spatial domain</w:t>
      </w:r>
    </w:p>
    <w:p>
      <w:pPr>
        <w:spacing w:before="120" w:after="120" w:line="260" w:lineRule="auto"/>
      </w:pPr>
      <w:r>
        <w:rPr>
          <w:rFonts w:hint="eastAsia"/>
          <w:b/>
          <w:bCs/>
        </w:rPr>
        <w:t>Proposal 2</w:t>
      </w:r>
      <w:r>
        <w:rPr>
          <w:b/>
          <w:bCs/>
        </w:rPr>
        <w:t>8</w:t>
      </w:r>
      <w:r>
        <w:rPr>
          <w:rFonts w:hint="eastAsia"/>
          <w:b/>
          <w:bCs/>
        </w:rPr>
        <w:t xml:space="preserve">: </w:t>
      </w:r>
      <w:r>
        <w:rPr>
          <w:rFonts w:hint="eastAsia"/>
        </w:rPr>
        <w:t>Adaptive UE Rx antenna on/off for UE energy saving can be further studied.</w:t>
      </w:r>
    </w:p>
    <w:p>
      <w:pPr>
        <w:spacing w:before="120" w:after="120" w:line="260" w:lineRule="auto"/>
      </w:pPr>
    </w:p>
    <w:p>
      <w:pPr>
        <w:spacing w:before="120" w:after="120" w:line="260" w:lineRule="auto"/>
        <w:rPr>
          <w:b/>
          <w:bCs/>
          <w:u w:val="single"/>
        </w:rPr>
      </w:pPr>
      <w:r>
        <w:rPr>
          <w:rFonts w:hint="eastAsia"/>
          <w:b/>
          <w:bCs/>
          <w:u w:val="single"/>
        </w:rPr>
        <w:t>Joint energy saving</w:t>
      </w:r>
    </w:p>
    <w:p>
      <w:pPr>
        <w:spacing w:before="120" w:after="120" w:line="260" w:lineRule="auto"/>
        <w:rPr>
          <w:i/>
          <w:iCs/>
        </w:rPr>
      </w:pPr>
      <w:r>
        <w:rPr>
          <w:rFonts w:hint="eastAsia"/>
          <w:b/>
          <w:bCs/>
          <w:i/>
          <w:iCs/>
        </w:rPr>
        <w:t>Observation 1</w:t>
      </w:r>
      <w:r>
        <w:rPr>
          <w:b/>
          <w:bCs/>
          <w:i/>
          <w:iCs/>
        </w:rPr>
        <w:t>1</w:t>
      </w:r>
      <w:r>
        <w:rPr>
          <w:rFonts w:hint="eastAsia"/>
          <w:b/>
          <w:bCs/>
          <w:i/>
          <w:iCs/>
        </w:rPr>
        <w:t xml:space="preserve">: </w:t>
      </w:r>
      <w:r>
        <w:rPr>
          <w:rFonts w:hint="eastAsia"/>
          <w:i/>
          <w:iCs/>
        </w:rPr>
        <w:t>Mechanisms such as joint cell-DTX/DRX and C-DRX, fast BWP switching, two stage SSB, are beneficial for both NW and UE energy saving.</w:t>
      </w:r>
    </w:p>
    <w:p>
      <w:pPr>
        <w:pStyle w:val="20"/>
        <w:tabs>
          <w:tab w:val="right" w:leader="dot" w:pos="9660"/>
          <w:tab w:val="clear" w:pos="0"/>
        </w:tabs>
        <w:spacing w:before="120" w:after="120"/>
        <w:ind w:right="400"/>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0"/>
        <w:spacing w:before="120" w:after="120"/>
        <w:ind w:left="363" w:hanging="363"/>
      </w:pPr>
      <w:r>
        <w:rPr>
          <w:rFonts w:hint="eastAsia"/>
        </w:rPr>
        <w:t>GSMA, 5G energy efficiencies, Green is the new black.</w:t>
      </w:r>
    </w:p>
    <w:p>
      <w:pPr>
        <w:pStyle w:val="40"/>
        <w:spacing w:before="120" w:after="120"/>
        <w:ind w:left="363" w:hanging="363"/>
      </w:pPr>
      <w:r>
        <w:rPr>
          <w:rFonts w:hint="eastAsia"/>
          <w:bCs/>
          <w:szCs w:val="20"/>
        </w:rPr>
        <w:t>3GPP TR 38.864, Study on network energy savings for NR, V18.1.0.</w:t>
      </w:r>
    </w:p>
    <w:p>
      <w:pPr>
        <w:pStyle w:val="40"/>
        <w:spacing w:before="120" w:after="120"/>
        <w:ind w:left="363" w:hanging="363"/>
      </w:pPr>
      <w:r>
        <w:rPr>
          <w:rFonts w:hint="eastAsia"/>
          <w:bCs/>
          <w:szCs w:val="20"/>
        </w:rPr>
        <w:t>3GPP TR 38.869, Study on low-power wake up signal and receiver for NR</w:t>
      </w:r>
    </w:p>
    <w:p>
      <w:pPr>
        <w:pStyle w:val="40"/>
        <w:spacing w:before="120" w:after="120"/>
        <w:rPr>
          <w:bCs/>
          <w:szCs w:val="20"/>
        </w:rPr>
      </w:pPr>
      <w:bookmarkStart w:id="228" w:name="_Ref199409174"/>
      <w:r>
        <w:rPr>
          <w:bCs/>
          <w:szCs w:val="20"/>
        </w:rPr>
        <w:t xml:space="preserve">Technology report of IMT 2030(6G) promotion group on RIS, URL: </w:t>
      </w:r>
      <w:r>
        <w:fldChar w:fldCharType="begin"/>
      </w:r>
      <w:r>
        <w:instrText xml:space="preserve"> HYPERLINK "https://www.imt2030.org.cn/html/default/en/Publications/Report/index.html?index=2" </w:instrText>
      </w:r>
      <w:r>
        <w:fldChar w:fldCharType="separate"/>
      </w:r>
      <w:r>
        <w:rPr>
          <w:bCs/>
          <w:szCs w:val="20"/>
        </w:rPr>
        <w:t>https</w:t>
      </w:r>
      <w:r>
        <w:rPr>
          <w:bCs/>
          <w:szCs w:val="20"/>
        </w:rPr>
        <w:fldChar w:fldCharType="end"/>
      </w:r>
      <w:r>
        <w:fldChar w:fldCharType="begin"/>
      </w:r>
      <w:r>
        <w:instrText xml:space="preserve"> HYPERLINK "https://www.imt2030.org.cn/html/default/en/Publications/Report/index.html?index=2" </w:instrText>
      </w:r>
      <w:r>
        <w:fldChar w:fldCharType="separate"/>
      </w:r>
      <w:r>
        <w:rPr>
          <w:bCs/>
          <w:szCs w:val="20"/>
        </w:rPr>
        <w:t>://www.imt2030.org.cn/html/default/en/Publications/Report/index.html?index=2</w:t>
      </w:r>
      <w:r>
        <w:rPr>
          <w:bCs/>
          <w:szCs w:val="20"/>
        </w:rPr>
        <w:fldChar w:fldCharType="end"/>
      </w:r>
      <w:bookmarkEnd w:id="228"/>
      <w:r>
        <w:rPr>
          <w:rFonts w:hint="eastAsia"/>
        </w:rPr>
        <w:t>.</w:t>
      </w:r>
    </w:p>
    <w:p>
      <w:pPr>
        <w:pStyle w:val="40"/>
        <w:spacing w:before="120" w:after="120"/>
        <w:rPr>
          <w:bCs/>
        </w:rPr>
      </w:pPr>
      <w:bookmarkStart w:id="229" w:name="_Ref199409175"/>
      <w:r>
        <w:rPr>
          <w:bCs/>
        </w:rPr>
        <w:t>White paper for RIS</w:t>
      </w:r>
      <w:r>
        <w:rPr>
          <w:rFonts w:hint="eastAsia"/>
          <w:bCs/>
        </w:rPr>
        <w:t>,</w:t>
      </w:r>
      <w:r>
        <w:rPr>
          <w:bCs/>
        </w:rPr>
        <w:t xml:space="preserve"> URL: </w:t>
      </w:r>
      <w:r>
        <w:fldChar w:fldCharType="begin"/>
      </w:r>
      <w:r>
        <w:instrText xml:space="preserve"> HYPERLINK "https://www.risalliance.com/en/white-paper/" </w:instrText>
      </w:r>
      <w:r>
        <w:fldChar w:fldCharType="separate"/>
      </w:r>
      <w:r>
        <w:rPr>
          <w:rStyle w:val="31"/>
          <w:szCs w:val="20"/>
        </w:rPr>
        <w:t>https://www.risalliance.com/en/white-paper/</w:t>
      </w:r>
      <w:r>
        <w:rPr>
          <w:rStyle w:val="31"/>
          <w:szCs w:val="20"/>
        </w:rPr>
        <w:fldChar w:fldCharType="end"/>
      </w:r>
      <w:bookmarkEnd w:id="229"/>
      <w:r>
        <w:rPr>
          <w:rFonts w:hint="eastAsia"/>
        </w:rPr>
        <w:t>.</w:t>
      </w:r>
    </w:p>
    <w:p>
      <w:pPr>
        <w:pStyle w:val="40"/>
        <w:spacing w:before="120" w:after="120"/>
      </w:pPr>
      <w:bookmarkStart w:id="230" w:name="_Ref199409177"/>
      <w:r>
        <w:t>RP-250033 LS on ETSI ISG RIS GRs, ETSI ISG RIS</w:t>
      </w:r>
      <w:bookmarkEnd w:id="230"/>
      <w:r>
        <w:rPr>
          <w:rFonts w:hint="eastAsia"/>
        </w:rPr>
        <w:t>.</w:t>
      </w:r>
    </w:p>
    <w:p>
      <w:pPr>
        <w:pStyle w:val="40"/>
        <w:spacing w:before="120" w:after="120"/>
      </w:pPr>
      <w:bookmarkStart w:id="231" w:name="_Ref199432711"/>
      <w:r>
        <w:t>RP-232884 WI summary for NR network-controlled repeaters</w:t>
      </w:r>
      <w:bookmarkEnd w:id="231"/>
      <w:r>
        <w:rPr>
          <w:rFonts w:hint="eastAsia"/>
        </w:rPr>
        <w:t>.</w:t>
      </w:r>
    </w:p>
    <w:p>
      <w:pPr>
        <w:pStyle w:val="40"/>
        <w:numPr>
          <w:ilvl w:val="0"/>
          <w:numId w:val="0"/>
        </w:numPr>
        <w:spacing w:before="120" w:after="120"/>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Appendix</w:t>
      </w:r>
      <w:r>
        <w:t xml:space="preserve">: </w:t>
      </w:r>
      <w:r>
        <w:rPr>
          <w:rFonts w:ascii="Times New Roman" w:hAnsi="Times New Roman" w:eastAsia="宋体"/>
          <w:b/>
          <w:bCs/>
          <w:sz w:val="28"/>
          <w:szCs w:val="28"/>
        </w:rPr>
        <w:t xml:space="preserve">Evaluation results of the correlation coefficient between different number of ports </w:t>
      </w:r>
    </w:p>
    <w:p>
      <w:pPr>
        <w:spacing w:before="120" w:after="120"/>
      </w:pPr>
      <w:r>
        <w:t xml:space="preserve">In the evaluation, it assumed that the gNB antenna configuration is adapted from </w:t>
      </w:r>
      <w:r>
        <w:rPr>
          <w:rFonts w:hint="eastAsia"/>
        </w:rPr>
        <w:t>32 ports</w:t>
      </w:r>
      <w:r>
        <w:t xml:space="preserve"> to 24 </w:t>
      </w:r>
      <w:r>
        <w:rPr>
          <w:rFonts w:hint="eastAsia"/>
        </w:rPr>
        <w:t>ports</w:t>
      </w:r>
      <w:r>
        <w:t xml:space="preserve">, where the muting pattern is shown in Figure </w:t>
      </w:r>
      <w:r>
        <w:rPr>
          <w:rFonts w:hint="eastAsia"/>
        </w:rPr>
        <w:t>A1</w:t>
      </w:r>
      <w:r>
        <w:t xml:space="preserve">. </w:t>
      </w:r>
    </w:p>
    <w:p>
      <w:pPr>
        <w:spacing w:before="120" w:after="120"/>
        <w:jc w:val="center"/>
      </w:pPr>
      <w:r>
        <w:drawing>
          <wp:inline distT="0" distB="0" distL="0" distR="0">
            <wp:extent cx="3399790" cy="972185"/>
            <wp:effectExtent l="0" t="0" r="0" b="0"/>
            <wp:docPr id="15" name="图片 15" descr="C:\Users\002458~1.WIN\AppData\Local\Temp\ksohtml9884\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002458~1.WIN\AppData\Local\Temp\ksohtml9884\wps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99790" cy="972185"/>
                    </a:xfrm>
                    <a:prstGeom prst="rect">
                      <a:avLst/>
                    </a:prstGeom>
                    <a:noFill/>
                    <a:ln>
                      <a:noFill/>
                    </a:ln>
                  </pic:spPr>
                </pic:pic>
              </a:graphicData>
            </a:graphic>
          </wp:inline>
        </w:drawing>
      </w:r>
      <w:r>
        <w:t xml:space="preserve"> </w:t>
      </w:r>
    </w:p>
    <w:p>
      <w:pPr>
        <w:spacing w:before="120" w:after="120"/>
        <w:jc w:val="center"/>
      </w:pPr>
      <w:r>
        <w:rPr>
          <w:rFonts w:hint="eastAsia"/>
        </w:rPr>
        <w:t xml:space="preserve">Figure </w:t>
      </w:r>
      <w:r>
        <w:t>A</w:t>
      </w:r>
      <w:r>
        <w:rPr>
          <w:rFonts w:hint="eastAsia"/>
        </w:rPr>
        <w:t>1</w:t>
      </w:r>
      <w:r>
        <w:t xml:space="preserve"> </w:t>
      </w:r>
      <w:r>
        <w:rPr>
          <w:rFonts w:hint="eastAsia"/>
          <w:color w:val="000000"/>
        </w:rPr>
        <w:t xml:space="preserve">Antenna </w:t>
      </w:r>
      <w:r>
        <w:t>muting</w:t>
      </w:r>
      <w:r>
        <w:rPr>
          <w:rFonts w:hint="eastAsia"/>
          <w:color w:val="000000"/>
        </w:rPr>
        <w:t xml:space="preserve"> pattern</w:t>
      </w:r>
      <w:r>
        <w:rPr>
          <w:color w:val="000000"/>
        </w:rPr>
        <w:t xml:space="preserve">: adaptation from </w:t>
      </w:r>
      <w:r>
        <w:rPr>
          <w:rFonts w:hint="eastAsia"/>
        </w:rPr>
        <w:t>32 ports</w:t>
      </w:r>
      <w:r>
        <w:t xml:space="preserve"> to 24 </w:t>
      </w:r>
      <w:r>
        <w:rPr>
          <w:rFonts w:hint="eastAsia"/>
        </w:rPr>
        <w:t>ports</w:t>
      </w:r>
    </w:p>
    <w:p>
      <w:pPr>
        <w:spacing w:before="120" w:after="120"/>
      </w:pPr>
      <w:r>
        <w:rPr>
          <w:rFonts w:hint="eastAsia"/>
        </w:rPr>
        <w:t xml:space="preserve">The </w:t>
      </w:r>
      <w:r>
        <w:t xml:space="preserve">evaluated correlation coefficient between </w:t>
      </w:r>
      <w:r>
        <w:rPr>
          <w:rFonts w:hint="eastAsia"/>
        </w:rPr>
        <w:t>matrix Pa</w:t>
      </w:r>
      <w:r>
        <w:t xml:space="preserve"> and </w:t>
      </w:r>
      <w:r>
        <w:rPr>
          <w:rFonts w:hint="eastAsia"/>
        </w:rPr>
        <w:t xml:space="preserve">matrix </w:t>
      </w:r>
      <w:r>
        <w:t xml:space="preserve">Pb for gNB antenna configuration adaption from </w:t>
      </w:r>
      <w:r>
        <w:rPr>
          <w:rFonts w:hint="eastAsia"/>
        </w:rPr>
        <w:t>32 ports</w:t>
      </w:r>
      <w:r>
        <w:t xml:space="preserve"> to 24 </w:t>
      </w:r>
      <w:r>
        <w:rPr>
          <w:rFonts w:hint="eastAsia"/>
        </w:rPr>
        <w:t>ports</w:t>
      </w:r>
      <w:r>
        <w:t xml:space="preserve"> are shown in Figure A</w:t>
      </w:r>
      <w:r>
        <w:rPr>
          <w:rFonts w:hint="eastAsia"/>
        </w:rPr>
        <w:t>2</w:t>
      </w:r>
      <w:r>
        <w:t xml:space="preserve">. </w:t>
      </w:r>
      <w:r>
        <w:rPr>
          <w:rFonts w:hint="eastAsia"/>
        </w:rPr>
        <w:t xml:space="preserve">The rank is fixed in </w:t>
      </w:r>
      <w:r>
        <w:t>the</w:t>
      </w:r>
      <w:r>
        <w:rPr>
          <w:rFonts w:hint="eastAsia"/>
        </w:rPr>
        <w:t xml:space="preserve"> simulation</w:t>
      </w:r>
      <w:r>
        <w:t xml:space="preserve"> in this section.</w:t>
      </w:r>
    </w:p>
    <w:p>
      <w:pPr>
        <w:spacing w:before="120" w:after="120"/>
        <w:jc w:val="center"/>
        <w:rPr>
          <w:sz w:val="18"/>
          <w:szCs w:val="18"/>
        </w:rPr>
      </w:pPr>
    </w:p>
    <w:tbl>
      <w:tblPr>
        <w:tblStyle w:val="26"/>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spacing w:before="120" w:after="120"/>
              <w:jc w:val="center"/>
              <w:rPr>
                <w:szCs w:val="21"/>
              </w:rPr>
            </w:pPr>
            <w:r>
              <w:drawing>
                <wp:inline distT="0" distB="0" distL="0" distR="0">
                  <wp:extent cx="2884805" cy="2163445"/>
                  <wp:effectExtent l="0" t="0" r="0" b="8255"/>
                  <wp:docPr id="10" name="图片 10" descr="C:\Users\002458~1.WIN\AppData\Local\Temp\ksohtml9884\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458~1.WIN\AppData\Local\Temp\ksohtml9884\wps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pPr>
              <w:spacing w:before="120" w:after="120"/>
              <w:jc w:val="center"/>
            </w:pPr>
            <w:r>
              <w:drawing>
                <wp:inline distT="0" distB="0" distL="0" distR="0">
                  <wp:extent cx="2884805" cy="2163445"/>
                  <wp:effectExtent l="0" t="0" r="0" b="8255"/>
                  <wp:docPr id="9" name="图片 9" descr="C:\Users\002458~1.WIN\AppData\Local\Temp\ksohtml9884\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002458~1.WIN\AppData\Local\Temp\ksohtml9884\wps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pStyle w:val="23"/>
              <w:spacing w:before="120" w:after="120"/>
              <w:jc w:val="center"/>
              <w:rPr>
                <w:kern w:val="2"/>
              </w:rPr>
            </w:pPr>
            <w:r>
              <w:rPr>
                <w:rFonts w:hint="eastAsia"/>
                <w:kern w:val="2"/>
                <w:sz w:val="18"/>
                <w:szCs w:val="18"/>
              </w:rPr>
              <w:t>(a) Rank = 1</w:t>
            </w:r>
          </w:p>
        </w:tc>
        <w:tc>
          <w:tcPr>
            <w:tcW w:w="4938" w:type="dxa"/>
            <w:tcBorders>
              <w:top w:val="nil"/>
              <w:left w:val="nil"/>
              <w:bottom w:val="nil"/>
              <w:right w:val="nil"/>
            </w:tcBorders>
            <w:vAlign w:val="center"/>
          </w:tcPr>
          <w:p>
            <w:pPr>
              <w:spacing w:before="120" w:after="120"/>
              <w:jc w:val="center"/>
            </w:pPr>
            <w:r>
              <w:rPr>
                <w:rFonts w:hint="eastAsia"/>
                <w:sz w:val="18"/>
                <w:szCs w:val="18"/>
              </w:rPr>
              <w:t>(b) Rank = 2</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pStyle w:val="23"/>
              <w:spacing w:before="120" w:after="120"/>
              <w:jc w:val="center"/>
            </w:pPr>
            <w:r>
              <w:drawing>
                <wp:inline distT="0" distB="0" distL="0" distR="0">
                  <wp:extent cx="2884805" cy="2163445"/>
                  <wp:effectExtent l="0" t="0" r="0" b="8255"/>
                  <wp:docPr id="7" name="图片 7" descr="C:\Users\002458~1.WIN\AppData\Local\Temp\ksohtml9884\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002458~1.WIN\AppData\Local\Temp\ksohtml9884\wps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c>
          <w:tcPr>
            <w:tcW w:w="4938" w:type="dxa"/>
            <w:tcBorders>
              <w:top w:val="nil"/>
              <w:left w:val="nil"/>
              <w:bottom w:val="nil"/>
              <w:right w:val="nil"/>
            </w:tcBorders>
            <w:vAlign w:val="center"/>
          </w:tcPr>
          <w:p>
            <w:pPr>
              <w:spacing w:before="120" w:after="120"/>
              <w:jc w:val="center"/>
            </w:pPr>
            <w:r>
              <w:drawing>
                <wp:inline distT="0" distB="0" distL="0" distR="0">
                  <wp:extent cx="2884805" cy="2163445"/>
                  <wp:effectExtent l="0" t="0" r="0" b="8255"/>
                  <wp:docPr id="6" name="图片 6" descr="C:\Users\002458~1.WIN\AppData\Local\Temp\ksohtml988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002458~1.WIN\AppData\Local\Temp\ksohtml9884\wps1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84805" cy="21634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938" w:type="dxa"/>
            <w:tcBorders>
              <w:top w:val="nil"/>
              <w:left w:val="nil"/>
              <w:bottom w:val="nil"/>
              <w:right w:val="nil"/>
            </w:tcBorders>
            <w:vAlign w:val="center"/>
          </w:tcPr>
          <w:p>
            <w:pPr>
              <w:pStyle w:val="23"/>
              <w:spacing w:before="120" w:after="120"/>
              <w:jc w:val="center"/>
            </w:pPr>
            <w:r>
              <w:rPr>
                <w:rFonts w:hint="eastAsia"/>
                <w:kern w:val="2"/>
                <w:sz w:val="18"/>
                <w:szCs w:val="18"/>
              </w:rPr>
              <w:t>(c) Rank = 3</w:t>
            </w:r>
          </w:p>
        </w:tc>
        <w:tc>
          <w:tcPr>
            <w:tcW w:w="4938" w:type="dxa"/>
            <w:tcBorders>
              <w:top w:val="nil"/>
              <w:left w:val="nil"/>
              <w:bottom w:val="nil"/>
              <w:right w:val="nil"/>
            </w:tcBorders>
            <w:vAlign w:val="center"/>
          </w:tcPr>
          <w:p>
            <w:pPr>
              <w:spacing w:before="120" w:after="120"/>
              <w:jc w:val="center"/>
            </w:pPr>
            <w:r>
              <w:rPr>
                <w:rFonts w:hint="eastAsia"/>
                <w:sz w:val="18"/>
                <w:szCs w:val="18"/>
              </w:rPr>
              <w:t>(d) Rank = 4</w:t>
            </w:r>
          </w:p>
        </w:tc>
      </w:tr>
    </w:tbl>
    <w:p>
      <w:pPr>
        <w:spacing w:before="120" w:after="120"/>
        <w:jc w:val="center"/>
        <w:rPr>
          <w:b/>
          <w:bCs/>
          <w:sz w:val="18"/>
          <w:szCs w:val="18"/>
        </w:rPr>
      </w:pPr>
      <w:r>
        <w:rPr>
          <w:rFonts w:hint="eastAsia"/>
          <w:sz w:val="18"/>
          <w:szCs w:val="18"/>
        </w:rPr>
        <w:t xml:space="preserve">Figure </w:t>
      </w:r>
      <w:r>
        <w:rPr>
          <w:sz w:val="18"/>
          <w:szCs w:val="18"/>
        </w:rPr>
        <w:t>A</w:t>
      </w:r>
      <w:r>
        <w:rPr>
          <w:rFonts w:hint="eastAsia"/>
          <w:sz w:val="18"/>
          <w:szCs w:val="18"/>
        </w:rPr>
        <w:t>2 Correlation</w:t>
      </w:r>
      <w:r>
        <w:rPr>
          <w:sz w:val="18"/>
          <w:szCs w:val="18"/>
        </w:rPr>
        <w:t xml:space="preserve"> coefficient</w:t>
      </w:r>
      <w:r>
        <w:rPr>
          <w:rFonts w:hint="eastAsia"/>
          <w:sz w:val="18"/>
          <w:szCs w:val="18"/>
        </w:rPr>
        <w:t xml:space="preserve"> between 32 </w:t>
      </w:r>
      <w:r>
        <w:rPr>
          <w:sz w:val="18"/>
          <w:szCs w:val="18"/>
        </w:rPr>
        <w:t>port-precoding matrixes</w:t>
      </w:r>
      <w:r>
        <w:rPr>
          <w:rFonts w:hint="eastAsia"/>
          <w:sz w:val="18"/>
          <w:szCs w:val="18"/>
        </w:rPr>
        <w:t xml:space="preserve"> and 24 </w:t>
      </w:r>
      <w:r>
        <w:rPr>
          <w:sz w:val="18"/>
          <w:szCs w:val="18"/>
        </w:rPr>
        <w:t xml:space="preserve">port-precoding matrixes </w:t>
      </w:r>
      <w:r>
        <w:rPr>
          <w:rFonts w:hint="eastAsia"/>
          <w:sz w:val="18"/>
          <w:szCs w:val="18"/>
        </w:rPr>
        <w:t xml:space="preserve">with </w:t>
      </w:r>
      <w:r>
        <w:rPr>
          <w:sz w:val="18"/>
          <w:szCs w:val="18"/>
        </w:rPr>
        <w:t>different</w:t>
      </w:r>
      <w:r>
        <w:rPr>
          <w:rFonts w:hint="eastAsia"/>
          <w:sz w:val="18"/>
          <w:szCs w:val="18"/>
        </w:rPr>
        <w:t xml:space="preserve"> Rank</w:t>
      </w:r>
      <w:r>
        <w:rPr>
          <w:sz w:val="18"/>
          <w:szCs w:val="18"/>
        </w:rPr>
        <w:t>s</w:t>
      </w:r>
    </w:p>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4002EFF" w:usb1="C200247B" w:usb2="00000009" w:usb3="00000000" w:csb0="200001FF" w:csb1="00000000"/>
  </w:font>
  <w:font w:name="DIN Next LT Pro Bold">
    <w:altName w:val="宋体"/>
    <w:panose1 w:val="00000000000000000000"/>
    <w:charset w:val="86"/>
    <w:family w:val="swiss"/>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16895740"/>
      <w:docPartObj>
        <w:docPartGallery w:val="autotext"/>
      </w:docPartObj>
    </w:sdtPr>
    <w:sdtContent>
      <w:p>
        <w:pPr>
          <w:pStyle w:val="18"/>
          <w:spacing w:before="120" w:after="120"/>
          <w:jc w:val="center"/>
        </w:pPr>
        <w:r>
          <w:fldChar w:fldCharType="begin"/>
        </w:r>
        <w:r>
          <w:instrText xml:space="preserve">PAGE   \* MERGEFORMAT</w:instrText>
        </w:r>
        <w:r>
          <w:fldChar w:fldCharType="separate"/>
        </w:r>
        <w:r>
          <w:rPr>
            <w:lang w:val="zh-CN"/>
          </w:rPr>
          <w:t>2</w:t>
        </w:r>
        <w:r>
          <w:fldChar w:fldCharType="end"/>
        </w:r>
      </w:p>
    </w:sdtContent>
  </w:sdt>
  <w:p>
    <w:pPr>
      <w:pStyle w:val="18"/>
      <w:tabs>
        <w:tab w:val="center" w:pos="4830"/>
        <w:tab w:val="clear" w:pos="4153"/>
        <w:tab w:val="clear" w:pos="8306"/>
      </w:tabs>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F56076"/>
    <w:multiLevelType w:val="singleLevel"/>
    <w:tmpl w:val="96F56076"/>
    <w:lvl w:ilvl="0" w:tentative="0">
      <w:start w:val="1"/>
      <w:numFmt w:val="bullet"/>
      <w:lvlText w:val=""/>
      <w:lvlJc w:val="left"/>
      <w:pPr>
        <w:ind w:left="420" w:hanging="420"/>
      </w:pPr>
      <w:rPr>
        <w:rFonts w:hint="default" w:ascii="Wingdings" w:hAnsi="Wingdings"/>
      </w:rPr>
    </w:lvl>
  </w:abstractNum>
  <w:abstractNum w:abstractNumId="1">
    <w:nsid w:val="AB34B193"/>
    <w:multiLevelType w:val="multilevel"/>
    <w:tmpl w:val="AB34B193"/>
    <w:lvl w:ilvl="0" w:tentative="0">
      <w:start w:val="1"/>
      <w:numFmt w:val="decimal"/>
      <w:pStyle w:val="61"/>
      <w:lvlText w:val="Observation %1: "/>
      <w:lvlJc w:val="left"/>
      <w:pPr>
        <w:tabs>
          <w:tab w:val="left" w:pos="990"/>
        </w:tabs>
        <w:ind w:left="99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BD0CA652"/>
    <w:multiLevelType w:val="multilevel"/>
    <w:tmpl w:val="BD0CA652"/>
    <w:lvl w:ilvl="0" w:tentative="0">
      <w:start w:val="1"/>
      <w:numFmt w:val="decimal"/>
      <w:pStyle w:val="62"/>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D77E637D"/>
    <w:multiLevelType w:val="singleLevel"/>
    <w:tmpl w:val="D77E637D"/>
    <w:lvl w:ilvl="0" w:tentative="0">
      <w:start w:val="1"/>
      <w:numFmt w:val="bullet"/>
      <w:lvlText w:val=""/>
      <w:lvlJc w:val="left"/>
      <w:pPr>
        <w:ind w:left="420" w:hanging="420"/>
      </w:pPr>
      <w:rPr>
        <w:rFonts w:hint="default" w:ascii="Wingdings" w:hAnsi="Wingdings"/>
      </w:rPr>
    </w:lvl>
  </w:abstractNum>
  <w:abstractNum w:abstractNumId="4">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297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5">
    <w:nsid w:val="18C6229B"/>
    <w:multiLevelType w:val="singleLevel"/>
    <w:tmpl w:val="18C6229B"/>
    <w:lvl w:ilvl="0" w:tentative="0">
      <w:start w:val="1"/>
      <w:numFmt w:val="lowerLetter"/>
      <w:suff w:val="space"/>
      <w:lvlText w:val="%1)"/>
      <w:lvlJc w:val="left"/>
    </w:lvl>
  </w:abstractNum>
  <w:abstractNum w:abstractNumId="6">
    <w:nsid w:val="2D764E6C"/>
    <w:multiLevelType w:val="multilevel"/>
    <w:tmpl w:val="2D764E6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A877D64"/>
    <w:multiLevelType w:val="singleLevel"/>
    <w:tmpl w:val="3A877D64"/>
    <w:lvl w:ilvl="0" w:tentative="0">
      <w:start w:val="1"/>
      <w:numFmt w:val="decimal"/>
      <w:pStyle w:val="40"/>
      <w:lvlText w:val="[%1]"/>
      <w:lvlJc w:val="left"/>
      <w:pPr>
        <w:tabs>
          <w:tab w:val="left" w:pos="360"/>
        </w:tabs>
        <w:ind w:left="360" w:hanging="360"/>
      </w:pPr>
    </w:lvl>
  </w:abstractNum>
  <w:abstractNum w:abstractNumId="8">
    <w:nsid w:val="3FAFC427"/>
    <w:multiLevelType w:val="multilevel"/>
    <w:tmpl w:val="3FAFC427"/>
    <w:lvl w:ilvl="0" w:tentative="0">
      <w:start w:val="1"/>
      <w:numFmt w:val="bullet"/>
      <w:lvlText w:val="-"/>
      <w:lvlJc w:val="left"/>
      <w:pPr>
        <w:ind w:left="420" w:hanging="420"/>
      </w:pPr>
      <w:rPr>
        <w:rFonts w:hint="default" w:ascii="Verdana" w:hAnsi="Verdana"/>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4E7D4950"/>
    <w:multiLevelType w:val="multilevel"/>
    <w:tmpl w:val="4E7D4950"/>
    <w:lvl w:ilvl="0" w:tentative="0">
      <w:start w:val="1"/>
      <w:numFmt w:val="bullet"/>
      <w:lvlText w:val=""/>
      <w:lvlJc w:val="left"/>
      <w:rPr>
        <w:rFonts w:hint="default" w:ascii="Wingdings" w:hAnsi="Wingdings"/>
      </w:rPr>
    </w:lvl>
    <w:lvl w:ilvl="1" w:tentative="0">
      <w:start w:val="1"/>
      <w:numFmt w:val="decimal"/>
      <w:lvlText w:val="(%2)"/>
      <w:lvlJc w:val="left"/>
      <w:pPr>
        <w:tabs>
          <w:tab w:val="left" w:pos="840"/>
        </w:tabs>
        <w:ind w:left="840" w:hanging="420"/>
      </w:pPr>
      <w:rPr>
        <w:rFonts w:hint="default"/>
      </w:rPr>
    </w:lvl>
    <w:lvl w:ilvl="2" w:tentative="0">
      <w:start w:val="1"/>
      <w:numFmt w:val="decimalEnclosedCircleChinese"/>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Letter"/>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Roman"/>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10">
    <w:nsid w:val="4FA66ADA"/>
    <w:multiLevelType w:val="multilevel"/>
    <w:tmpl w:val="4FA66AD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77091DC"/>
    <w:multiLevelType w:val="singleLevel"/>
    <w:tmpl w:val="577091DC"/>
    <w:lvl w:ilvl="0" w:tentative="0">
      <w:start w:val="1"/>
      <w:numFmt w:val="bullet"/>
      <w:lvlText w:val=""/>
      <w:lvlJc w:val="left"/>
      <w:pPr>
        <w:ind w:left="420" w:hanging="420"/>
      </w:pPr>
      <w:rPr>
        <w:rFonts w:hint="default" w:ascii="Wingdings" w:hAnsi="Wingdings"/>
      </w:rPr>
    </w:lvl>
  </w:abstractNum>
  <w:abstractNum w:abstractNumId="12">
    <w:nsid w:val="5E0355A6"/>
    <w:multiLevelType w:val="singleLevel"/>
    <w:tmpl w:val="5E0355A6"/>
    <w:lvl w:ilvl="0" w:tentative="0">
      <w:start w:val="1"/>
      <w:numFmt w:val="bullet"/>
      <w:lvlText w:val=""/>
      <w:lvlJc w:val="left"/>
      <w:pPr>
        <w:ind w:left="420" w:hanging="420"/>
      </w:pPr>
      <w:rPr>
        <w:rFonts w:hint="default" w:ascii="Wingdings" w:hAnsi="Wingdings"/>
      </w:rPr>
    </w:lvl>
  </w:abstractNum>
  <w:num w:numId="1">
    <w:abstractNumId w:val="4"/>
  </w:num>
  <w:num w:numId="2">
    <w:abstractNumId w:val="7"/>
  </w:num>
  <w:num w:numId="3">
    <w:abstractNumId w:val="1"/>
  </w:num>
  <w:num w:numId="4">
    <w:abstractNumId w:val="2"/>
  </w:num>
  <w:num w:numId="5">
    <w:abstractNumId w:val="12"/>
  </w:num>
  <w:num w:numId="6">
    <w:abstractNumId w:val="3"/>
  </w:num>
  <w:num w:numId="7">
    <w:abstractNumId w:val="11"/>
  </w:num>
  <w:num w:numId="8">
    <w:abstractNumId w:val="0"/>
  </w:num>
  <w:num w:numId="9">
    <w:abstractNumId w:val="5"/>
  </w:num>
  <w:num w:numId="10">
    <w:abstractNumId w:val="10"/>
  </w:num>
  <w:num w:numId="11">
    <w:abstractNumId w:val="9"/>
  </w:num>
  <w:num w:numId="12">
    <w:abstractNumId w:val="8"/>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8"/>
    <w:rsid w:val="00011C97"/>
    <w:rsid w:val="00015B30"/>
    <w:rsid w:val="00021079"/>
    <w:rsid w:val="00027A56"/>
    <w:rsid w:val="00033EE4"/>
    <w:rsid w:val="00050423"/>
    <w:rsid w:val="00051F4E"/>
    <w:rsid w:val="0005233A"/>
    <w:rsid w:val="000529AC"/>
    <w:rsid w:val="00052AFC"/>
    <w:rsid w:val="0005513D"/>
    <w:rsid w:val="0005774F"/>
    <w:rsid w:val="00072960"/>
    <w:rsid w:val="00072FB0"/>
    <w:rsid w:val="00076C1E"/>
    <w:rsid w:val="00084BB4"/>
    <w:rsid w:val="00085CCE"/>
    <w:rsid w:val="0009212C"/>
    <w:rsid w:val="00092329"/>
    <w:rsid w:val="00092598"/>
    <w:rsid w:val="00093DF3"/>
    <w:rsid w:val="000A15BE"/>
    <w:rsid w:val="000B786D"/>
    <w:rsid w:val="000C1A96"/>
    <w:rsid w:val="000C3B29"/>
    <w:rsid w:val="000C6A9D"/>
    <w:rsid w:val="000D0462"/>
    <w:rsid w:val="000D05AB"/>
    <w:rsid w:val="000D23EF"/>
    <w:rsid w:val="000D7DA8"/>
    <w:rsid w:val="000E03C0"/>
    <w:rsid w:val="000E2433"/>
    <w:rsid w:val="000E4FBF"/>
    <w:rsid w:val="000E5CD3"/>
    <w:rsid w:val="000F28CA"/>
    <w:rsid w:val="000F2AF9"/>
    <w:rsid w:val="000F3B1B"/>
    <w:rsid w:val="000F3FC5"/>
    <w:rsid w:val="00101A32"/>
    <w:rsid w:val="00103906"/>
    <w:rsid w:val="001074A2"/>
    <w:rsid w:val="00131384"/>
    <w:rsid w:val="0014130E"/>
    <w:rsid w:val="00142961"/>
    <w:rsid w:val="00142DC0"/>
    <w:rsid w:val="001470AA"/>
    <w:rsid w:val="00153BF7"/>
    <w:rsid w:val="00154FB5"/>
    <w:rsid w:val="0015556A"/>
    <w:rsid w:val="001566C8"/>
    <w:rsid w:val="0016113B"/>
    <w:rsid w:val="001632AB"/>
    <w:rsid w:val="00172A27"/>
    <w:rsid w:val="00173878"/>
    <w:rsid w:val="001754AE"/>
    <w:rsid w:val="00180FBE"/>
    <w:rsid w:val="00185206"/>
    <w:rsid w:val="00185A60"/>
    <w:rsid w:val="0018732E"/>
    <w:rsid w:val="00191912"/>
    <w:rsid w:val="00194A14"/>
    <w:rsid w:val="00195F46"/>
    <w:rsid w:val="001969D1"/>
    <w:rsid w:val="001B0847"/>
    <w:rsid w:val="001B2696"/>
    <w:rsid w:val="001B3634"/>
    <w:rsid w:val="001B4E55"/>
    <w:rsid w:val="001B63B3"/>
    <w:rsid w:val="001C1894"/>
    <w:rsid w:val="001C196F"/>
    <w:rsid w:val="001C4307"/>
    <w:rsid w:val="001C5582"/>
    <w:rsid w:val="001C6EF1"/>
    <w:rsid w:val="001D10FB"/>
    <w:rsid w:val="001D1287"/>
    <w:rsid w:val="001D718A"/>
    <w:rsid w:val="001E0E05"/>
    <w:rsid w:val="001E125B"/>
    <w:rsid w:val="001E262F"/>
    <w:rsid w:val="001E27B5"/>
    <w:rsid w:val="001E3D59"/>
    <w:rsid w:val="001E5FA6"/>
    <w:rsid w:val="001F1BB1"/>
    <w:rsid w:val="001F415E"/>
    <w:rsid w:val="001F4EF2"/>
    <w:rsid w:val="001F6E58"/>
    <w:rsid w:val="00201584"/>
    <w:rsid w:val="002021D8"/>
    <w:rsid w:val="0020406B"/>
    <w:rsid w:val="00210240"/>
    <w:rsid w:val="002105FE"/>
    <w:rsid w:val="00212872"/>
    <w:rsid w:val="00216169"/>
    <w:rsid w:val="00220F37"/>
    <w:rsid w:val="00221554"/>
    <w:rsid w:val="002240E1"/>
    <w:rsid w:val="00224A1A"/>
    <w:rsid w:val="002265BF"/>
    <w:rsid w:val="00227DF5"/>
    <w:rsid w:val="002320CA"/>
    <w:rsid w:val="002367C9"/>
    <w:rsid w:val="002401EC"/>
    <w:rsid w:val="00243B44"/>
    <w:rsid w:val="002441F5"/>
    <w:rsid w:val="0024436C"/>
    <w:rsid w:val="002444F4"/>
    <w:rsid w:val="00244ABB"/>
    <w:rsid w:val="0024698E"/>
    <w:rsid w:val="00247A67"/>
    <w:rsid w:val="00251814"/>
    <w:rsid w:val="0025227D"/>
    <w:rsid w:val="002560F5"/>
    <w:rsid w:val="00256697"/>
    <w:rsid w:val="00256B05"/>
    <w:rsid w:val="00260D08"/>
    <w:rsid w:val="00261A7E"/>
    <w:rsid w:val="00261C72"/>
    <w:rsid w:val="0026766E"/>
    <w:rsid w:val="00272B5A"/>
    <w:rsid w:val="002748A9"/>
    <w:rsid w:val="00282069"/>
    <w:rsid w:val="00290ABB"/>
    <w:rsid w:val="00295CC0"/>
    <w:rsid w:val="002A5228"/>
    <w:rsid w:val="002A60F0"/>
    <w:rsid w:val="002A7B8B"/>
    <w:rsid w:val="002B0B2D"/>
    <w:rsid w:val="002B4661"/>
    <w:rsid w:val="002C1ACA"/>
    <w:rsid w:val="002C4448"/>
    <w:rsid w:val="002C5986"/>
    <w:rsid w:val="002C68AC"/>
    <w:rsid w:val="002C7054"/>
    <w:rsid w:val="002C7536"/>
    <w:rsid w:val="002C7CCD"/>
    <w:rsid w:val="002D02A0"/>
    <w:rsid w:val="002D37E6"/>
    <w:rsid w:val="002D52DC"/>
    <w:rsid w:val="002E12DA"/>
    <w:rsid w:val="002E50D2"/>
    <w:rsid w:val="002F037D"/>
    <w:rsid w:val="002F0702"/>
    <w:rsid w:val="002F0E7A"/>
    <w:rsid w:val="002F2535"/>
    <w:rsid w:val="002F5687"/>
    <w:rsid w:val="002F5A8D"/>
    <w:rsid w:val="002F7871"/>
    <w:rsid w:val="00302F20"/>
    <w:rsid w:val="00303936"/>
    <w:rsid w:val="00311910"/>
    <w:rsid w:val="00313253"/>
    <w:rsid w:val="00314748"/>
    <w:rsid w:val="00316046"/>
    <w:rsid w:val="00317501"/>
    <w:rsid w:val="00322EE2"/>
    <w:rsid w:val="00325902"/>
    <w:rsid w:val="003275A3"/>
    <w:rsid w:val="00332B24"/>
    <w:rsid w:val="00332D30"/>
    <w:rsid w:val="00332F64"/>
    <w:rsid w:val="0033573E"/>
    <w:rsid w:val="00335FF9"/>
    <w:rsid w:val="00336457"/>
    <w:rsid w:val="0034009F"/>
    <w:rsid w:val="00340631"/>
    <w:rsid w:val="00343792"/>
    <w:rsid w:val="00343CE4"/>
    <w:rsid w:val="00344230"/>
    <w:rsid w:val="00344E48"/>
    <w:rsid w:val="003466BB"/>
    <w:rsid w:val="0035253F"/>
    <w:rsid w:val="003531BA"/>
    <w:rsid w:val="00355FFE"/>
    <w:rsid w:val="00361ADA"/>
    <w:rsid w:val="00361D52"/>
    <w:rsid w:val="00361F68"/>
    <w:rsid w:val="00364B01"/>
    <w:rsid w:val="00364DC9"/>
    <w:rsid w:val="00366355"/>
    <w:rsid w:val="003704FF"/>
    <w:rsid w:val="00370D7F"/>
    <w:rsid w:val="00372A00"/>
    <w:rsid w:val="00372B06"/>
    <w:rsid w:val="00373667"/>
    <w:rsid w:val="00375D62"/>
    <w:rsid w:val="00376E4B"/>
    <w:rsid w:val="00376EEB"/>
    <w:rsid w:val="00384E7E"/>
    <w:rsid w:val="003872BB"/>
    <w:rsid w:val="0039030D"/>
    <w:rsid w:val="00390FD7"/>
    <w:rsid w:val="00393F48"/>
    <w:rsid w:val="003951DE"/>
    <w:rsid w:val="00396F31"/>
    <w:rsid w:val="00397BA3"/>
    <w:rsid w:val="003A1DCE"/>
    <w:rsid w:val="003A4365"/>
    <w:rsid w:val="003A6BBE"/>
    <w:rsid w:val="003A7EAD"/>
    <w:rsid w:val="003B4AE8"/>
    <w:rsid w:val="003B51C5"/>
    <w:rsid w:val="003B53DF"/>
    <w:rsid w:val="003B7E6D"/>
    <w:rsid w:val="003C2660"/>
    <w:rsid w:val="003D0305"/>
    <w:rsid w:val="003D1C19"/>
    <w:rsid w:val="003D44C6"/>
    <w:rsid w:val="003E3F4B"/>
    <w:rsid w:val="003E46CF"/>
    <w:rsid w:val="003E50BE"/>
    <w:rsid w:val="003F469A"/>
    <w:rsid w:val="003F4ABA"/>
    <w:rsid w:val="003F7415"/>
    <w:rsid w:val="004003D2"/>
    <w:rsid w:val="0040449A"/>
    <w:rsid w:val="004074D3"/>
    <w:rsid w:val="004148FF"/>
    <w:rsid w:val="00415C76"/>
    <w:rsid w:val="00417C55"/>
    <w:rsid w:val="004209E1"/>
    <w:rsid w:val="0042238B"/>
    <w:rsid w:val="00424C58"/>
    <w:rsid w:val="0042781A"/>
    <w:rsid w:val="004403B3"/>
    <w:rsid w:val="00444C3A"/>
    <w:rsid w:val="0044698B"/>
    <w:rsid w:val="00450C17"/>
    <w:rsid w:val="004527B1"/>
    <w:rsid w:val="00452995"/>
    <w:rsid w:val="004545A5"/>
    <w:rsid w:val="004608F6"/>
    <w:rsid w:val="00461E61"/>
    <w:rsid w:val="00462D9E"/>
    <w:rsid w:val="00465569"/>
    <w:rsid w:val="00470A32"/>
    <w:rsid w:val="004710EF"/>
    <w:rsid w:val="0047219E"/>
    <w:rsid w:val="004724B4"/>
    <w:rsid w:val="00472B06"/>
    <w:rsid w:val="00474D1B"/>
    <w:rsid w:val="00476768"/>
    <w:rsid w:val="00477655"/>
    <w:rsid w:val="0048120F"/>
    <w:rsid w:val="00482706"/>
    <w:rsid w:val="00490434"/>
    <w:rsid w:val="0049097C"/>
    <w:rsid w:val="00495794"/>
    <w:rsid w:val="004A142B"/>
    <w:rsid w:val="004A55C1"/>
    <w:rsid w:val="004A5D1D"/>
    <w:rsid w:val="004A699E"/>
    <w:rsid w:val="004B1FEE"/>
    <w:rsid w:val="004B44A9"/>
    <w:rsid w:val="004C1A54"/>
    <w:rsid w:val="004C3192"/>
    <w:rsid w:val="004C323F"/>
    <w:rsid w:val="004C63FF"/>
    <w:rsid w:val="004C67D1"/>
    <w:rsid w:val="004D1BBA"/>
    <w:rsid w:val="004D7C5F"/>
    <w:rsid w:val="004F0C94"/>
    <w:rsid w:val="004F5941"/>
    <w:rsid w:val="004F5994"/>
    <w:rsid w:val="00500F45"/>
    <w:rsid w:val="00503921"/>
    <w:rsid w:val="00507A00"/>
    <w:rsid w:val="005176E7"/>
    <w:rsid w:val="00523589"/>
    <w:rsid w:val="00523668"/>
    <w:rsid w:val="00523AD9"/>
    <w:rsid w:val="00523CA1"/>
    <w:rsid w:val="00523D5E"/>
    <w:rsid w:val="00527033"/>
    <w:rsid w:val="00527B19"/>
    <w:rsid w:val="00531B5B"/>
    <w:rsid w:val="00532500"/>
    <w:rsid w:val="00533A10"/>
    <w:rsid w:val="005349A5"/>
    <w:rsid w:val="005368D6"/>
    <w:rsid w:val="00541B22"/>
    <w:rsid w:val="0054584C"/>
    <w:rsid w:val="00546436"/>
    <w:rsid w:val="00547723"/>
    <w:rsid w:val="0055245C"/>
    <w:rsid w:val="005547A2"/>
    <w:rsid w:val="00564BCB"/>
    <w:rsid w:val="00564BE5"/>
    <w:rsid w:val="0057162E"/>
    <w:rsid w:val="00572F6E"/>
    <w:rsid w:val="00574776"/>
    <w:rsid w:val="00582B23"/>
    <w:rsid w:val="00582DA3"/>
    <w:rsid w:val="0058526A"/>
    <w:rsid w:val="00591F4E"/>
    <w:rsid w:val="0059321F"/>
    <w:rsid w:val="00593818"/>
    <w:rsid w:val="00596BE1"/>
    <w:rsid w:val="005A05C6"/>
    <w:rsid w:val="005A0FE9"/>
    <w:rsid w:val="005A4493"/>
    <w:rsid w:val="005B03E1"/>
    <w:rsid w:val="005B22CA"/>
    <w:rsid w:val="005B492F"/>
    <w:rsid w:val="005B77A5"/>
    <w:rsid w:val="005C6B42"/>
    <w:rsid w:val="005D2863"/>
    <w:rsid w:val="005D6A1C"/>
    <w:rsid w:val="005D6C1B"/>
    <w:rsid w:val="005E1B35"/>
    <w:rsid w:val="005E235E"/>
    <w:rsid w:val="005E2C89"/>
    <w:rsid w:val="005E76F2"/>
    <w:rsid w:val="005E7EC4"/>
    <w:rsid w:val="005F23AD"/>
    <w:rsid w:val="005F26E5"/>
    <w:rsid w:val="00600074"/>
    <w:rsid w:val="006007DF"/>
    <w:rsid w:val="00606143"/>
    <w:rsid w:val="0060717F"/>
    <w:rsid w:val="00611232"/>
    <w:rsid w:val="00612345"/>
    <w:rsid w:val="00614E28"/>
    <w:rsid w:val="00616E2F"/>
    <w:rsid w:val="0061703D"/>
    <w:rsid w:val="00617327"/>
    <w:rsid w:val="0061786A"/>
    <w:rsid w:val="00617EE7"/>
    <w:rsid w:val="00620288"/>
    <w:rsid w:val="00620D7C"/>
    <w:rsid w:val="006231ED"/>
    <w:rsid w:val="00624C23"/>
    <w:rsid w:val="00630E3D"/>
    <w:rsid w:val="00633E43"/>
    <w:rsid w:val="006340C2"/>
    <w:rsid w:val="00637D11"/>
    <w:rsid w:val="00640B94"/>
    <w:rsid w:val="00642298"/>
    <w:rsid w:val="006424BB"/>
    <w:rsid w:val="00646EAA"/>
    <w:rsid w:val="006501AA"/>
    <w:rsid w:val="00652084"/>
    <w:rsid w:val="006536B8"/>
    <w:rsid w:val="00654F58"/>
    <w:rsid w:val="00664912"/>
    <w:rsid w:val="00664956"/>
    <w:rsid w:val="00674EDA"/>
    <w:rsid w:val="00676C72"/>
    <w:rsid w:val="00680FFF"/>
    <w:rsid w:val="00691376"/>
    <w:rsid w:val="00692262"/>
    <w:rsid w:val="006922EF"/>
    <w:rsid w:val="00694EF8"/>
    <w:rsid w:val="00694FB9"/>
    <w:rsid w:val="006A14F3"/>
    <w:rsid w:val="006A6628"/>
    <w:rsid w:val="006A7FFB"/>
    <w:rsid w:val="006C10AC"/>
    <w:rsid w:val="006C2229"/>
    <w:rsid w:val="006C55B1"/>
    <w:rsid w:val="006C69C1"/>
    <w:rsid w:val="006D11DE"/>
    <w:rsid w:val="006D3D89"/>
    <w:rsid w:val="006D51EF"/>
    <w:rsid w:val="006D7626"/>
    <w:rsid w:val="006E01C3"/>
    <w:rsid w:val="006E04F7"/>
    <w:rsid w:val="006E3EAA"/>
    <w:rsid w:val="006E4A8D"/>
    <w:rsid w:val="006F4852"/>
    <w:rsid w:val="006F771F"/>
    <w:rsid w:val="00700636"/>
    <w:rsid w:val="00701BF9"/>
    <w:rsid w:val="00702644"/>
    <w:rsid w:val="007036F7"/>
    <w:rsid w:val="0070691A"/>
    <w:rsid w:val="0070693A"/>
    <w:rsid w:val="00707252"/>
    <w:rsid w:val="00712C90"/>
    <w:rsid w:val="00717A38"/>
    <w:rsid w:val="00730154"/>
    <w:rsid w:val="0073053B"/>
    <w:rsid w:val="00735DC1"/>
    <w:rsid w:val="00736EB8"/>
    <w:rsid w:val="007427BB"/>
    <w:rsid w:val="007440A2"/>
    <w:rsid w:val="00745143"/>
    <w:rsid w:val="00747C56"/>
    <w:rsid w:val="007501AC"/>
    <w:rsid w:val="007515D3"/>
    <w:rsid w:val="00751C1B"/>
    <w:rsid w:val="007527D2"/>
    <w:rsid w:val="00762F1B"/>
    <w:rsid w:val="0076348A"/>
    <w:rsid w:val="0076682E"/>
    <w:rsid w:val="00772DCA"/>
    <w:rsid w:val="00775132"/>
    <w:rsid w:val="0077581A"/>
    <w:rsid w:val="00776147"/>
    <w:rsid w:val="00776882"/>
    <w:rsid w:val="0077761A"/>
    <w:rsid w:val="00777AD7"/>
    <w:rsid w:val="00784828"/>
    <w:rsid w:val="007850B8"/>
    <w:rsid w:val="00785A2A"/>
    <w:rsid w:val="00786A2C"/>
    <w:rsid w:val="00787FA9"/>
    <w:rsid w:val="007953F9"/>
    <w:rsid w:val="007A0CD8"/>
    <w:rsid w:val="007A2EF0"/>
    <w:rsid w:val="007B0887"/>
    <w:rsid w:val="007B0FD9"/>
    <w:rsid w:val="007B1CAF"/>
    <w:rsid w:val="007B2B65"/>
    <w:rsid w:val="007B2DAE"/>
    <w:rsid w:val="007B458B"/>
    <w:rsid w:val="007C1564"/>
    <w:rsid w:val="007C4328"/>
    <w:rsid w:val="007C440F"/>
    <w:rsid w:val="007D56BC"/>
    <w:rsid w:val="007D5A69"/>
    <w:rsid w:val="007E4A23"/>
    <w:rsid w:val="007F08BB"/>
    <w:rsid w:val="007F1536"/>
    <w:rsid w:val="007F225A"/>
    <w:rsid w:val="007F39F4"/>
    <w:rsid w:val="007F3E2A"/>
    <w:rsid w:val="007F3FBA"/>
    <w:rsid w:val="007F43DB"/>
    <w:rsid w:val="0080043D"/>
    <w:rsid w:val="00802A15"/>
    <w:rsid w:val="00810C42"/>
    <w:rsid w:val="00813A16"/>
    <w:rsid w:val="00816EF3"/>
    <w:rsid w:val="008202D1"/>
    <w:rsid w:val="00823161"/>
    <w:rsid w:val="00825264"/>
    <w:rsid w:val="008266C4"/>
    <w:rsid w:val="00832296"/>
    <w:rsid w:val="008329A2"/>
    <w:rsid w:val="008412CD"/>
    <w:rsid w:val="0084332A"/>
    <w:rsid w:val="0084352A"/>
    <w:rsid w:val="00843618"/>
    <w:rsid w:val="00843B44"/>
    <w:rsid w:val="0084676E"/>
    <w:rsid w:val="00847621"/>
    <w:rsid w:val="00847960"/>
    <w:rsid w:val="008479C0"/>
    <w:rsid w:val="00852635"/>
    <w:rsid w:val="0085443B"/>
    <w:rsid w:val="00857E93"/>
    <w:rsid w:val="008632C1"/>
    <w:rsid w:val="008652E8"/>
    <w:rsid w:val="00870679"/>
    <w:rsid w:val="00870E40"/>
    <w:rsid w:val="008836E6"/>
    <w:rsid w:val="00886E49"/>
    <w:rsid w:val="00886EA7"/>
    <w:rsid w:val="00892B4C"/>
    <w:rsid w:val="00893268"/>
    <w:rsid w:val="0089344F"/>
    <w:rsid w:val="00894520"/>
    <w:rsid w:val="008A119F"/>
    <w:rsid w:val="008A43C9"/>
    <w:rsid w:val="008A4D60"/>
    <w:rsid w:val="008A72B5"/>
    <w:rsid w:val="008B21EF"/>
    <w:rsid w:val="008B3130"/>
    <w:rsid w:val="008B547D"/>
    <w:rsid w:val="008B5C48"/>
    <w:rsid w:val="008B7F10"/>
    <w:rsid w:val="008C0445"/>
    <w:rsid w:val="008D0085"/>
    <w:rsid w:val="008D320F"/>
    <w:rsid w:val="008D7AB2"/>
    <w:rsid w:val="008E2D60"/>
    <w:rsid w:val="008E6A5C"/>
    <w:rsid w:val="008F255E"/>
    <w:rsid w:val="008F3DC8"/>
    <w:rsid w:val="008F5D6A"/>
    <w:rsid w:val="008F6D7B"/>
    <w:rsid w:val="009030C6"/>
    <w:rsid w:val="00903A35"/>
    <w:rsid w:val="00910FA4"/>
    <w:rsid w:val="00914FFA"/>
    <w:rsid w:val="009171FB"/>
    <w:rsid w:val="00922624"/>
    <w:rsid w:val="00922F07"/>
    <w:rsid w:val="00923BDA"/>
    <w:rsid w:val="00926381"/>
    <w:rsid w:val="00930388"/>
    <w:rsid w:val="00930AEA"/>
    <w:rsid w:val="00932286"/>
    <w:rsid w:val="0093617A"/>
    <w:rsid w:val="009374E3"/>
    <w:rsid w:val="009411A5"/>
    <w:rsid w:val="00941B5E"/>
    <w:rsid w:val="00946A7C"/>
    <w:rsid w:val="00950DB1"/>
    <w:rsid w:val="00952C83"/>
    <w:rsid w:val="009531FA"/>
    <w:rsid w:val="00957418"/>
    <w:rsid w:val="009610C6"/>
    <w:rsid w:val="0096194F"/>
    <w:rsid w:val="00966E7D"/>
    <w:rsid w:val="00970630"/>
    <w:rsid w:val="00971A1F"/>
    <w:rsid w:val="00971B9B"/>
    <w:rsid w:val="00972AD3"/>
    <w:rsid w:val="009731A6"/>
    <w:rsid w:val="009734B7"/>
    <w:rsid w:val="00975181"/>
    <w:rsid w:val="00981C58"/>
    <w:rsid w:val="00983FE2"/>
    <w:rsid w:val="00986B97"/>
    <w:rsid w:val="00994A41"/>
    <w:rsid w:val="00997928"/>
    <w:rsid w:val="009A380A"/>
    <w:rsid w:val="009A3A36"/>
    <w:rsid w:val="009A4F31"/>
    <w:rsid w:val="009A6B36"/>
    <w:rsid w:val="009A712B"/>
    <w:rsid w:val="009B05AD"/>
    <w:rsid w:val="009B18A3"/>
    <w:rsid w:val="009B1E66"/>
    <w:rsid w:val="009B21DF"/>
    <w:rsid w:val="009B5557"/>
    <w:rsid w:val="009C0136"/>
    <w:rsid w:val="009C7043"/>
    <w:rsid w:val="009D6400"/>
    <w:rsid w:val="009D7770"/>
    <w:rsid w:val="009D7C12"/>
    <w:rsid w:val="009E7536"/>
    <w:rsid w:val="009F0213"/>
    <w:rsid w:val="009F347B"/>
    <w:rsid w:val="009F630C"/>
    <w:rsid w:val="009F65A8"/>
    <w:rsid w:val="009F73FD"/>
    <w:rsid w:val="009F7747"/>
    <w:rsid w:val="00A012D4"/>
    <w:rsid w:val="00A04E19"/>
    <w:rsid w:val="00A05A33"/>
    <w:rsid w:val="00A14F22"/>
    <w:rsid w:val="00A16F82"/>
    <w:rsid w:val="00A171E5"/>
    <w:rsid w:val="00A17810"/>
    <w:rsid w:val="00A205E8"/>
    <w:rsid w:val="00A21037"/>
    <w:rsid w:val="00A21523"/>
    <w:rsid w:val="00A261CF"/>
    <w:rsid w:val="00A26720"/>
    <w:rsid w:val="00A3288C"/>
    <w:rsid w:val="00A33BD9"/>
    <w:rsid w:val="00A40C3F"/>
    <w:rsid w:val="00A4182C"/>
    <w:rsid w:val="00A44A2A"/>
    <w:rsid w:val="00A46D3C"/>
    <w:rsid w:val="00A473D5"/>
    <w:rsid w:val="00A50B2A"/>
    <w:rsid w:val="00A515C8"/>
    <w:rsid w:val="00A51CDD"/>
    <w:rsid w:val="00A54605"/>
    <w:rsid w:val="00A54A48"/>
    <w:rsid w:val="00A551E2"/>
    <w:rsid w:val="00A56849"/>
    <w:rsid w:val="00A619AF"/>
    <w:rsid w:val="00A656E5"/>
    <w:rsid w:val="00A67DD5"/>
    <w:rsid w:val="00A809DB"/>
    <w:rsid w:val="00A86EB5"/>
    <w:rsid w:val="00A87178"/>
    <w:rsid w:val="00A908DE"/>
    <w:rsid w:val="00A91773"/>
    <w:rsid w:val="00A92588"/>
    <w:rsid w:val="00A92854"/>
    <w:rsid w:val="00A92CA8"/>
    <w:rsid w:val="00A96591"/>
    <w:rsid w:val="00AA1889"/>
    <w:rsid w:val="00AA1FA5"/>
    <w:rsid w:val="00AA39B1"/>
    <w:rsid w:val="00AB0AAF"/>
    <w:rsid w:val="00AB251B"/>
    <w:rsid w:val="00AB5108"/>
    <w:rsid w:val="00AB6D34"/>
    <w:rsid w:val="00AC16CA"/>
    <w:rsid w:val="00AC23CE"/>
    <w:rsid w:val="00AC24BF"/>
    <w:rsid w:val="00AD4E33"/>
    <w:rsid w:val="00AD56C4"/>
    <w:rsid w:val="00AD5778"/>
    <w:rsid w:val="00AD7FE5"/>
    <w:rsid w:val="00AE5530"/>
    <w:rsid w:val="00AE59FB"/>
    <w:rsid w:val="00AF1274"/>
    <w:rsid w:val="00AF21DE"/>
    <w:rsid w:val="00B031EF"/>
    <w:rsid w:val="00B04CDD"/>
    <w:rsid w:val="00B11405"/>
    <w:rsid w:val="00B125F3"/>
    <w:rsid w:val="00B138E9"/>
    <w:rsid w:val="00B179E3"/>
    <w:rsid w:val="00B227A8"/>
    <w:rsid w:val="00B245AA"/>
    <w:rsid w:val="00B301E9"/>
    <w:rsid w:val="00B34BC1"/>
    <w:rsid w:val="00B34FF8"/>
    <w:rsid w:val="00B355CE"/>
    <w:rsid w:val="00B40B98"/>
    <w:rsid w:val="00B42C20"/>
    <w:rsid w:val="00B43645"/>
    <w:rsid w:val="00B51DA1"/>
    <w:rsid w:val="00B54730"/>
    <w:rsid w:val="00B56091"/>
    <w:rsid w:val="00B60F6C"/>
    <w:rsid w:val="00B663FA"/>
    <w:rsid w:val="00B67616"/>
    <w:rsid w:val="00B6765B"/>
    <w:rsid w:val="00B71EEA"/>
    <w:rsid w:val="00B76824"/>
    <w:rsid w:val="00B81C3C"/>
    <w:rsid w:val="00B87AB7"/>
    <w:rsid w:val="00B9082A"/>
    <w:rsid w:val="00B96833"/>
    <w:rsid w:val="00BA5D4F"/>
    <w:rsid w:val="00BA6DAB"/>
    <w:rsid w:val="00BA72B7"/>
    <w:rsid w:val="00BA7674"/>
    <w:rsid w:val="00BB0837"/>
    <w:rsid w:val="00BB08C4"/>
    <w:rsid w:val="00BB2502"/>
    <w:rsid w:val="00BC0B62"/>
    <w:rsid w:val="00BD3F82"/>
    <w:rsid w:val="00BD72A5"/>
    <w:rsid w:val="00BE101D"/>
    <w:rsid w:val="00BE22EC"/>
    <w:rsid w:val="00BE5D22"/>
    <w:rsid w:val="00BE60D3"/>
    <w:rsid w:val="00BF1670"/>
    <w:rsid w:val="00BF526E"/>
    <w:rsid w:val="00BF743C"/>
    <w:rsid w:val="00C07C74"/>
    <w:rsid w:val="00C12784"/>
    <w:rsid w:val="00C1485F"/>
    <w:rsid w:val="00C16276"/>
    <w:rsid w:val="00C2142E"/>
    <w:rsid w:val="00C22FCF"/>
    <w:rsid w:val="00C2334E"/>
    <w:rsid w:val="00C23D39"/>
    <w:rsid w:val="00C2713A"/>
    <w:rsid w:val="00C30578"/>
    <w:rsid w:val="00C33A75"/>
    <w:rsid w:val="00C3414C"/>
    <w:rsid w:val="00C34FD0"/>
    <w:rsid w:val="00C35189"/>
    <w:rsid w:val="00C35EB6"/>
    <w:rsid w:val="00C37955"/>
    <w:rsid w:val="00C4105A"/>
    <w:rsid w:val="00C4782F"/>
    <w:rsid w:val="00C573A9"/>
    <w:rsid w:val="00C6176C"/>
    <w:rsid w:val="00C625E3"/>
    <w:rsid w:val="00C67AE3"/>
    <w:rsid w:val="00C76271"/>
    <w:rsid w:val="00C829B3"/>
    <w:rsid w:val="00C855D2"/>
    <w:rsid w:val="00C922BC"/>
    <w:rsid w:val="00C925E7"/>
    <w:rsid w:val="00C9354D"/>
    <w:rsid w:val="00C935B7"/>
    <w:rsid w:val="00C974A6"/>
    <w:rsid w:val="00CA09F5"/>
    <w:rsid w:val="00CA152B"/>
    <w:rsid w:val="00CA155B"/>
    <w:rsid w:val="00CA6988"/>
    <w:rsid w:val="00CA7AA2"/>
    <w:rsid w:val="00CB03D7"/>
    <w:rsid w:val="00CB046A"/>
    <w:rsid w:val="00CB27B7"/>
    <w:rsid w:val="00CB7FB3"/>
    <w:rsid w:val="00CC01B0"/>
    <w:rsid w:val="00CC0AC4"/>
    <w:rsid w:val="00CC11A8"/>
    <w:rsid w:val="00CC4509"/>
    <w:rsid w:val="00CD2544"/>
    <w:rsid w:val="00CD3A0A"/>
    <w:rsid w:val="00CD5E4A"/>
    <w:rsid w:val="00CD62C4"/>
    <w:rsid w:val="00CE32ED"/>
    <w:rsid w:val="00CE4043"/>
    <w:rsid w:val="00CF0062"/>
    <w:rsid w:val="00CF25E8"/>
    <w:rsid w:val="00CF4293"/>
    <w:rsid w:val="00CF78D0"/>
    <w:rsid w:val="00D02F41"/>
    <w:rsid w:val="00D043FC"/>
    <w:rsid w:val="00D06F00"/>
    <w:rsid w:val="00D14578"/>
    <w:rsid w:val="00D16ABF"/>
    <w:rsid w:val="00D24465"/>
    <w:rsid w:val="00D27BF8"/>
    <w:rsid w:val="00D30D70"/>
    <w:rsid w:val="00D30FF6"/>
    <w:rsid w:val="00D319C1"/>
    <w:rsid w:val="00D344F3"/>
    <w:rsid w:val="00D43619"/>
    <w:rsid w:val="00D47961"/>
    <w:rsid w:val="00D50927"/>
    <w:rsid w:val="00D54F1B"/>
    <w:rsid w:val="00D57D7B"/>
    <w:rsid w:val="00D60DA9"/>
    <w:rsid w:val="00D701BB"/>
    <w:rsid w:val="00D714E2"/>
    <w:rsid w:val="00D7258A"/>
    <w:rsid w:val="00D7289E"/>
    <w:rsid w:val="00D729FE"/>
    <w:rsid w:val="00D80921"/>
    <w:rsid w:val="00D82051"/>
    <w:rsid w:val="00D82CF5"/>
    <w:rsid w:val="00D838A0"/>
    <w:rsid w:val="00D871C4"/>
    <w:rsid w:val="00D8785A"/>
    <w:rsid w:val="00D87A18"/>
    <w:rsid w:val="00D91349"/>
    <w:rsid w:val="00D91D19"/>
    <w:rsid w:val="00D92C31"/>
    <w:rsid w:val="00D92E3B"/>
    <w:rsid w:val="00D960C1"/>
    <w:rsid w:val="00D96B75"/>
    <w:rsid w:val="00D97FE6"/>
    <w:rsid w:val="00DA0325"/>
    <w:rsid w:val="00DA19D7"/>
    <w:rsid w:val="00DA1B8E"/>
    <w:rsid w:val="00DA4CA6"/>
    <w:rsid w:val="00DA72EA"/>
    <w:rsid w:val="00DB0E95"/>
    <w:rsid w:val="00DB12AD"/>
    <w:rsid w:val="00DB1E15"/>
    <w:rsid w:val="00DB200E"/>
    <w:rsid w:val="00DB29CD"/>
    <w:rsid w:val="00DB654E"/>
    <w:rsid w:val="00DC0C4F"/>
    <w:rsid w:val="00DC1213"/>
    <w:rsid w:val="00DC6E1E"/>
    <w:rsid w:val="00DC70F6"/>
    <w:rsid w:val="00DC7154"/>
    <w:rsid w:val="00DC724A"/>
    <w:rsid w:val="00DD2068"/>
    <w:rsid w:val="00DD3AF8"/>
    <w:rsid w:val="00DD5F49"/>
    <w:rsid w:val="00DF1CD0"/>
    <w:rsid w:val="00DF4482"/>
    <w:rsid w:val="00DF46DE"/>
    <w:rsid w:val="00E05651"/>
    <w:rsid w:val="00E068AA"/>
    <w:rsid w:val="00E106CC"/>
    <w:rsid w:val="00E10C4F"/>
    <w:rsid w:val="00E10EAE"/>
    <w:rsid w:val="00E25858"/>
    <w:rsid w:val="00E258FC"/>
    <w:rsid w:val="00E30348"/>
    <w:rsid w:val="00E30AD0"/>
    <w:rsid w:val="00E33321"/>
    <w:rsid w:val="00E339EA"/>
    <w:rsid w:val="00E376E8"/>
    <w:rsid w:val="00E41210"/>
    <w:rsid w:val="00E52879"/>
    <w:rsid w:val="00E55791"/>
    <w:rsid w:val="00E56340"/>
    <w:rsid w:val="00E62482"/>
    <w:rsid w:val="00E67009"/>
    <w:rsid w:val="00E704FD"/>
    <w:rsid w:val="00E71F91"/>
    <w:rsid w:val="00E74935"/>
    <w:rsid w:val="00E75D6F"/>
    <w:rsid w:val="00E81361"/>
    <w:rsid w:val="00E8609B"/>
    <w:rsid w:val="00E92BF0"/>
    <w:rsid w:val="00E94718"/>
    <w:rsid w:val="00E958BB"/>
    <w:rsid w:val="00E95FFE"/>
    <w:rsid w:val="00EA0820"/>
    <w:rsid w:val="00EB1CFE"/>
    <w:rsid w:val="00EB6175"/>
    <w:rsid w:val="00EB70EA"/>
    <w:rsid w:val="00EC0DE2"/>
    <w:rsid w:val="00EC4F91"/>
    <w:rsid w:val="00ED0DCA"/>
    <w:rsid w:val="00ED47A7"/>
    <w:rsid w:val="00ED4F29"/>
    <w:rsid w:val="00EE1EE7"/>
    <w:rsid w:val="00EF5EA5"/>
    <w:rsid w:val="00F019E9"/>
    <w:rsid w:val="00F05DFC"/>
    <w:rsid w:val="00F071BE"/>
    <w:rsid w:val="00F072E8"/>
    <w:rsid w:val="00F07E82"/>
    <w:rsid w:val="00F131A3"/>
    <w:rsid w:val="00F143A1"/>
    <w:rsid w:val="00F1480F"/>
    <w:rsid w:val="00F16777"/>
    <w:rsid w:val="00F16990"/>
    <w:rsid w:val="00F179F3"/>
    <w:rsid w:val="00F2072B"/>
    <w:rsid w:val="00F20C58"/>
    <w:rsid w:val="00F34277"/>
    <w:rsid w:val="00F4372E"/>
    <w:rsid w:val="00F4511B"/>
    <w:rsid w:val="00F453FE"/>
    <w:rsid w:val="00F50A28"/>
    <w:rsid w:val="00F54E9F"/>
    <w:rsid w:val="00F609AD"/>
    <w:rsid w:val="00F7011F"/>
    <w:rsid w:val="00F70940"/>
    <w:rsid w:val="00F71196"/>
    <w:rsid w:val="00F71825"/>
    <w:rsid w:val="00F73AA6"/>
    <w:rsid w:val="00F80169"/>
    <w:rsid w:val="00F81514"/>
    <w:rsid w:val="00F82200"/>
    <w:rsid w:val="00F86352"/>
    <w:rsid w:val="00F87040"/>
    <w:rsid w:val="00F92143"/>
    <w:rsid w:val="00F95098"/>
    <w:rsid w:val="00F95A32"/>
    <w:rsid w:val="00FA3FD9"/>
    <w:rsid w:val="00FA6AF6"/>
    <w:rsid w:val="00FA75BF"/>
    <w:rsid w:val="00FA7D65"/>
    <w:rsid w:val="00FB2441"/>
    <w:rsid w:val="00FB593A"/>
    <w:rsid w:val="00FC0337"/>
    <w:rsid w:val="00FC1CF2"/>
    <w:rsid w:val="00FC20D8"/>
    <w:rsid w:val="00FC72FB"/>
    <w:rsid w:val="00FD5349"/>
    <w:rsid w:val="00FE0900"/>
    <w:rsid w:val="00FE1B37"/>
    <w:rsid w:val="00FE3B4C"/>
    <w:rsid w:val="010D0267"/>
    <w:rsid w:val="010D6400"/>
    <w:rsid w:val="01116D56"/>
    <w:rsid w:val="011C7F2E"/>
    <w:rsid w:val="012567F9"/>
    <w:rsid w:val="01400443"/>
    <w:rsid w:val="01466B34"/>
    <w:rsid w:val="014D6DB0"/>
    <w:rsid w:val="015462A2"/>
    <w:rsid w:val="016E4282"/>
    <w:rsid w:val="01793F44"/>
    <w:rsid w:val="018044D7"/>
    <w:rsid w:val="01804EE8"/>
    <w:rsid w:val="0181418C"/>
    <w:rsid w:val="01864AED"/>
    <w:rsid w:val="01881F56"/>
    <w:rsid w:val="01885910"/>
    <w:rsid w:val="01987E73"/>
    <w:rsid w:val="01A1415C"/>
    <w:rsid w:val="01AA5559"/>
    <w:rsid w:val="01B554DA"/>
    <w:rsid w:val="01B74129"/>
    <w:rsid w:val="01BD616A"/>
    <w:rsid w:val="01BE6C84"/>
    <w:rsid w:val="01C652D7"/>
    <w:rsid w:val="01D5398A"/>
    <w:rsid w:val="01DE50DA"/>
    <w:rsid w:val="01E24E7A"/>
    <w:rsid w:val="01E669A9"/>
    <w:rsid w:val="01E86629"/>
    <w:rsid w:val="01E96EEF"/>
    <w:rsid w:val="02022305"/>
    <w:rsid w:val="0206750A"/>
    <w:rsid w:val="02070CCA"/>
    <w:rsid w:val="02081A95"/>
    <w:rsid w:val="020C3735"/>
    <w:rsid w:val="020E303C"/>
    <w:rsid w:val="0213167F"/>
    <w:rsid w:val="021919F7"/>
    <w:rsid w:val="021F5697"/>
    <w:rsid w:val="022428A8"/>
    <w:rsid w:val="0235154E"/>
    <w:rsid w:val="023C44BA"/>
    <w:rsid w:val="023E4DC6"/>
    <w:rsid w:val="02443513"/>
    <w:rsid w:val="024C16A6"/>
    <w:rsid w:val="02607B71"/>
    <w:rsid w:val="02746F16"/>
    <w:rsid w:val="027B6543"/>
    <w:rsid w:val="027C2452"/>
    <w:rsid w:val="02831E4C"/>
    <w:rsid w:val="0294765E"/>
    <w:rsid w:val="02A23A7B"/>
    <w:rsid w:val="02BE42E8"/>
    <w:rsid w:val="02CB4A49"/>
    <w:rsid w:val="02CF1561"/>
    <w:rsid w:val="02DC2417"/>
    <w:rsid w:val="02EA438E"/>
    <w:rsid w:val="02EB1055"/>
    <w:rsid w:val="02F00126"/>
    <w:rsid w:val="02F578EA"/>
    <w:rsid w:val="031A6DDF"/>
    <w:rsid w:val="032219B3"/>
    <w:rsid w:val="032D36E3"/>
    <w:rsid w:val="03382F3E"/>
    <w:rsid w:val="03493DEB"/>
    <w:rsid w:val="035F7137"/>
    <w:rsid w:val="0368661B"/>
    <w:rsid w:val="036A2270"/>
    <w:rsid w:val="0375772E"/>
    <w:rsid w:val="03817C6C"/>
    <w:rsid w:val="03A923B9"/>
    <w:rsid w:val="03F50BF8"/>
    <w:rsid w:val="03F757EE"/>
    <w:rsid w:val="040D5006"/>
    <w:rsid w:val="04176B15"/>
    <w:rsid w:val="04250069"/>
    <w:rsid w:val="042622D3"/>
    <w:rsid w:val="04273E60"/>
    <w:rsid w:val="04332B60"/>
    <w:rsid w:val="044D1A33"/>
    <w:rsid w:val="0497343A"/>
    <w:rsid w:val="04B147BC"/>
    <w:rsid w:val="04BB6B80"/>
    <w:rsid w:val="04BC44D9"/>
    <w:rsid w:val="04BC60C1"/>
    <w:rsid w:val="04C30E81"/>
    <w:rsid w:val="04D2235B"/>
    <w:rsid w:val="04D232D0"/>
    <w:rsid w:val="04D92E2A"/>
    <w:rsid w:val="04DF1E74"/>
    <w:rsid w:val="04E942AF"/>
    <w:rsid w:val="05072F43"/>
    <w:rsid w:val="051A21ED"/>
    <w:rsid w:val="0526776A"/>
    <w:rsid w:val="052E7C86"/>
    <w:rsid w:val="05396067"/>
    <w:rsid w:val="053962A9"/>
    <w:rsid w:val="05421686"/>
    <w:rsid w:val="0543590B"/>
    <w:rsid w:val="054B7C66"/>
    <w:rsid w:val="054E3F97"/>
    <w:rsid w:val="054F7EC4"/>
    <w:rsid w:val="055F3E8F"/>
    <w:rsid w:val="05631304"/>
    <w:rsid w:val="05684F59"/>
    <w:rsid w:val="05770CD5"/>
    <w:rsid w:val="05965B13"/>
    <w:rsid w:val="059F0521"/>
    <w:rsid w:val="05A154E4"/>
    <w:rsid w:val="05AA751F"/>
    <w:rsid w:val="05AB3E4C"/>
    <w:rsid w:val="05BF4586"/>
    <w:rsid w:val="05C40254"/>
    <w:rsid w:val="05D01949"/>
    <w:rsid w:val="05D45DE8"/>
    <w:rsid w:val="05DC5A73"/>
    <w:rsid w:val="05DD3B0E"/>
    <w:rsid w:val="0609077D"/>
    <w:rsid w:val="061E71D7"/>
    <w:rsid w:val="064D537E"/>
    <w:rsid w:val="06541F59"/>
    <w:rsid w:val="06551195"/>
    <w:rsid w:val="06553C7E"/>
    <w:rsid w:val="06583B6A"/>
    <w:rsid w:val="067056D9"/>
    <w:rsid w:val="067A5C39"/>
    <w:rsid w:val="067C55C0"/>
    <w:rsid w:val="067F5C8B"/>
    <w:rsid w:val="06883795"/>
    <w:rsid w:val="06906A53"/>
    <w:rsid w:val="069258CC"/>
    <w:rsid w:val="06A12B72"/>
    <w:rsid w:val="06BF3BCA"/>
    <w:rsid w:val="06CF0C91"/>
    <w:rsid w:val="06D94F62"/>
    <w:rsid w:val="06E930D6"/>
    <w:rsid w:val="06F22777"/>
    <w:rsid w:val="06F9688C"/>
    <w:rsid w:val="06FA3145"/>
    <w:rsid w:val="071A44DF"/>
    <w:rsid w:val="071D2135"/>
    <w:rsid w:val="07243CD4"/>
    <w:rsid w:val="073570E2"/>
    <w:rsid w:val="073C0F1E"/>
    <w:rsid w:val="07493540"/>
    <w:rsid w:val="074A5BB5"/>
    <w:rsid w:val="07573824"/>
    <w:rsid w:val="075A5568"/>
    <w:rsid w:val="077046F9"/>
    <w:rsid w:val="07816512"/>
    <w:rsid w:val="078A2181"/>
    <w:rsid w:val="07945B41"/>
    <w:rsid w:val="0797540B"/>
    <w:rsid w:val="07C50AB5"/>
    <w:rsid w:val="07C51163"/>
    <w:rsid w:val="07EC0192"/>
    <w:rsid w:val="07F30821"/>
    <w:rsid w:val="07F63B68"/>
    <w:rsid w:val="07FE43B3"/>
    <w:rsid w:val="07FF469C"/>
    <w:rsid w:val="08067A83"/>
    <w:rsid w:val="080C2DB1"/>
    <w:rsid w:val="081159CD"/>
    <w:rsid w:val="08337D4F"/>
    <w:rsid w:val="083900EE"/>
    <w:rsid w:val="084339E2"/>
    <w:rsid w:val="08471A8B"/>
    <w:rsid w:val="084F55D9"/>
    <w:rsid w:val="086F5C08"/>
    <w:rsid w:val="08725F28"/>
    <w:rsid w:val="08773088"/>
    <w:rsid w:val="087807B5"/>
    <w:rsid w:val="08786BD6"/>
    <w:rsid w:val="087C2BF1"/>
    <w:rsid w:val="08814691"/>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90D7A5F"/>
    <w:rsid w:val="090F27DA"/>
    <w:rsid w:val="092A35DC"/>
    <w:rsid w:val="093E1F42"/>
    <w:rsid w:val="09495D07"/>
    <w:rsid w:val="09565EE1"/>
    <w:rsid w:val="09733A93"/>
    <w:rsid w:val="09773AD2"/>
    <w:rsid w:val="09806797"/>
    <w:rsid w:val="09912D87"/>
    <w:rsid w:val="099217C1"/>
    <w:rsid w:val="09981E9F"/>
    <w:rsid w:val="099D1F0E"/>
    <w:rsid w:val="09A13012"/>
    <w:rsid w:val="09A663BB"/>
    <w:rsid w:val="09B67337"/>
    <w:rsid w:val="09B8038E"/>
    <w:rsid w:val="09B807DC"/>
    <w:rsid w:val="09B96487"/>
    <w:rsid w:val="09BB1324"/>
    <w:rsid w:val="09DD36C3"/>
    <w:rsid w:val="09DD5F33"/>
    <w:rsid w:val="09E2510B"/>
    <w:rsid w:val="09E2618B"/>
    <w:rsid w:val="09E41A32"/>
    <w:rsid w:val="09FFB62D"/>
    <w:rsid w:val="0A0D0A5C"/>
    <w:rsid w:val="0A1332A7"/>
    <w:rsid w:val="0A1434BD"/>
    <w:rsid w:val="0A177598"/>
    <w:rsid w:val="0A2A0A4E"/>
    <w:rsid w:val="0A2A668D"/>
    <w:rsid w:val="0A2F0B03"/>
    <w:rsid w:val="0A317606"/>
    <w:rsid w:val="0A33259C"/>
    <w:rsid w:val="0A670FF2"/>
    <w:rsid w:val="0A793F3B"/>
    <w:rsid w:val="0A7A6ADA"/>
    <w:rsid w:val="0A895DFE"/>
    <w:rsid w:val="0A8E1D22"/>
    <w:rsid w:val="0A902401"/>
    <w:rsid w:val="0AA04A08"/>
    <w:rsid w:val="0AA55524"/>
    <w:rsid w:val="0AC857E6"/>
    <w:rsid w:val="0AF011AC"/>
    <w:rsid w:val="0AF323F9"/>
    <w:rsid w:val="0AF57236"/>
    <w:rsid w:val="0AF83003"/>
    <w:rsid w:val="0AFE6CA0"/>
    <w:rsid w:val="0B076A7F"/>
    <w:rsid w:val="0B133891"/>
    <w:rsid w:val="0B17278B"/>
    <w:rsid w:val="0B19257F"/>
    <w:rsid w:val="0B2161DE"/>
    <w:rsid w:val="0B24227A"/>
    <w:rsid w:val="0B2C066D"/>
    <w:rsid w:val="0B2E5523"/>
    <w:rsid w:val="0B31583E"/>
    <w:rsid w:val="0B372F62"/>
    <w:rsid w:val="0B527D96"/>
    <w:rsid w:val="0B695CCE"/>
    <w:rsid w:val="0B735396"/>
    <w:rsid w:val="0B820628"/>
    <w:rsid w:val="0B867DD4"/>
    <w:rsid w:val="0B881AE9"/>
    <w:rsid w:val="0B8906D5"/>
    <w:rsid w:val="0B903F5F"/>
    <w:rsid w:val="0B990F05"/>
    <w:rsid w:val="0BA163C4"/>
    <w:rsid w:val="0BAF51B8"/>
    <w:rsid w:val="0BBA4C3E"/>
    <w:rsid w:val="0BBC40D1"/>
    <w:rsid w:val="0BC527E7"/>
    <w:rsid w:val="0BDE30C9"/>
    <w:rsid w:val="0BE9216B"/>
    <w:rsid w:val="0C04199B"/>
    <w:rsid w:val="0C0B0A79"/>
    <w:rsid w:val="0C182984"/>
    <w:rsid w:val="0C233DDB"/>
    <w:rsid w:val="0C243614"/>
    <w:rsid w:val="0C3C6180"/>
    <w:rsid w:val="0C575295"/>
    <w:rsid w:val="0C641CE4"/>
    <w:rsid w:val="0C8E4C85"/>
    <w:rsid w:val="0C984B7E"/>
    <w:rsid w:val="0C9A21C7"/>
    <w:rsid w:val="0CAD7BB7"/>
    <w:rsid w:val="0CBA3E26"/>
    <w:rsid w:val="0CC86926"/>
    <w:rsid w:val="0CCA2E65"/>
    <w:rsid w:val="0CD87B6A"/>
    <w:rsid w:val="0CE70F5A"/>
    <w:rsid w:val="0CED23BB"/>
    <w:rsid w:val="0CED70FB"/>
    <w:rsid w:val="0CF04B26"/>
    <w:rsid w:val="0D0E59A2"/>
    <w:rsid w:val="0D1C2F07"/>
    <w:rsid w:val="0D26792D"/>
    <w:rsid w:val="0D274B82"/>
    <w:rsid w:val="0D6718A8"/>
    <w:rsid w:val="0D851596"/>
    <w:rsid w:val="0D8A5C4C"/>
    <w:rsid w:val="0D9D3B84"/>
    <w:rsid w:val="0DA826B2"/>
    <w:rsid w:val="0DB34DB2"/>
    <w:rsid w:val="0DB44B8E"/>
    <w:rsid w:val="0DC46801"/>
    <w:rsid w:val="0DD03A03"/>
    <w:rsid w:val="0DDA5E66"/>
    <w:rsid w:val="0DE0668B"/>
    <w:rsid w:val="0DE80CCD"/>
    <w:rsid w:val="0DE92A73"/>
    <w:rsid w:val="0DE95178"/>
    <w:rsid w:val="0DED57A7"/>
    <w:rsid w:val="0DFC6FB1"/>
    <w:rsid w:val="0E0411D0"/>
    <w:rsid w:val="0E0C0CC8"/>
    <w:rsid w:val="0E134E55"/>
    <w:rsid w:val="0E1A4448"/>
    <w:rsid w:val="0E1B6666"/>
    <w:rsid w:val="0E2E6EA3"/>
    <w:rsid w:val="0E342F61"/>
    <w:rsid w:val="0E43290B"/>
    <w:rsid w:val="0E546450"/>
    <w:rsid w:val="0E6350D6"/>
    <w:rsid w:val="0E6A657A"/>
    <w:rsid w:val="0E8756CE"/>
    <w:rsid w:val="0E875907"/>
    <w:rsid w:val="0E986AED"/>
    <w:rsid w:val="0E9E306F"/>
    <w:rsid w:val="0EAF6954"/>
    <w:rsid w:val="0EB51964"/>
    <w:rsid w:val="0EBE485B"/>
    <w:rsid w:val="0ECE319D"/>
    <w:rsid w:val="0ED1692A"/>
    <w:rsid w:val="0EDA342B"/>
    <w:rsid w:val="0EDA6E70"/>
    <w:rsid w:val="0EE11FA9"/>
    <w:rsid w:val="0EEE11BD"/>
    <w:rsid w:val="0EF36676"/>
    <w:rsid w:val="0EFF2521"/>
    <w:rsid w:val="0F0E45C0"/>
    <w:rsid w:val="0F121040"/>
    <w:rsid w:val="0F1C6E40"/>
    <w:rsid w:val="0F244800"/>
    <w:rsid w:val="0F2B03FD"/>
    <w:rsid w:val="0F343655"/>
    <w:rsid w:val="0F3904D7"/>
    <w:rsid w:val="0F3A7314"/>
    <w:rsid w:val="0F631888"/>
    <w:rsid w:val="0F644218"/>
    <w:rsid w:val="0F6770D5"/>
    <w:rsid w:val="0F78411D"/>
    <w:rsid w:val="0F7D1FFA"/>
    <w:rsid w:val="0F8826C7"/>
    <w:rsid w:val="0F8E4908"/>
    <w:rsid w:val="0F913335"/>
    <w:rsid w:val="0F96680B"/>
    <w:rsid w:val="0FA834D3"/>
    <w:rsid w:val="0FB60B75"/>
    <w:rsid w:val="0FD96CA9"/>
    <w:rsid w:val="0FDB12EB"/>
    <w:rsid w:val="0FDD68DC"/>
    <w:rsid w:val="0FF15BB9"/>
    <w:rsid w:val="0FF906E7"/>
    <w:rsid w:val="0FFD586A"/>
    <w:rsid w:val="10020B62"/>
    <w:rsid w:val="10087FF8"/>
    <w:rsid w:val="10135C77"/>
    <w:rsid w:val="101B1CAB"/>
    <w:rsid w:val="101C596C"/>
    <w:rsid w:val="102004A1"/>
    <w:rsid w:val="1035011A"/>
    <w:rsid w:val="103607AE"/>
    <w:rsid w:val="10384280"/>
    <w:rsid w:val="104834A6"/>
    <w:rsid w:val="105D7F23"/>
    <w:rsid w:val="1069283C"/>
    <w:rsid w:val="106C2985"/>
    <w:rsid w:val="108E0879"/>
    <w:rsid w:val="10B2070B"/>
    <w:rsid w:val="10C359D9"/>
    <w:rsid w:val="11011524"/>
    <w:rsid w:val="11076109"/>
    <w:rsid w:val="110877A1"/>
    <w:rsid w:val="110D72EA"/>
    <w:rsid w:val="110E7959"/>
    <w:rsid w:val="11162474"/>
    <w:rsid w:val="1119722C"/>
    <w:rsid w:val="1127264D"/>
    <w:rsid w:val="11434434"/>
    <w:rsid w:val="114A05F1"/>
    <w:rsid w:val="11517E5A"/>
    <w:rsid w:val="115217E0"/>
    <w:rsid w:val="115C58D6"/>
    <w:rsid w:val="11604BE2"/>
    <w:rsid w:val="116F0665"/>
    <w:rsid w:val="118F4329"/>
    <w:rsid w:val="119D4A1A"/>
    <w:rsid w:val="119F6D5C"/>
    <w:rsid w:val="11A0225A"/>
    <w:rsid w:val="11A922D8"/>
    <w:rsid w:val="11BB62F4"/>
    <w:rsid w:val="11C4384D"/>
    <w:rsid w:val="11D45AE1"/>
    <w:rsid w:val="11DA1099"/>
    <w:rsid w:val="11DB11FD"/>
    <w:rsid w:val="11E71E1C"/>
    <w:rsid w:val="11EA2125"/>
    <w:rsid w:val="11FA34C3"/>
    <w:rsid w:val="12023099"/>
    <w:rsid w:val="120555CA"/>
    <w:rsid w:val="12286880"/>
    <w:rsid w:val="12373AAE"/>
    <w:rsid w:val="123D7233"/>
    <w:rsid w:val="124C5099"/>
    <w:rsid w:val="124D011C"/>
    <w:rsid w:val="124D7D92"/>
    <w:rsid w:val="125B107A"/>
    <w:rsid w:val="12623F3F"/>
    <w:rsid w:val="12753E07"/>
    <w:rsid w:val="12780412"/>
    <w:rsid w:val="127B28B7"/>
    <w:rsid w:val="129245E5"/>
    <w:rsid w:val="12941849"/>
    <w:rsid w:val="12977520"/>
    <w:rsid w:val="12AB6FC1"/>
    <w:rsid w:val="12B5625B"/>
    <w:rsid w:val="12C10D7D"/>
    <w:rsid w:val="12CE1204"/>
    <w:rsid w:val="12F0637C"/>
    <w:rsid w:val="12F06EE1"/>
    <w:rsid w:val="12F32533"/>
    <w:rsid w:val="12F34854"/>
    <w:rsid w:val="12F41692"/>
    <w:rsid w:val="12F76F04"/>
    <w:rsid w:val="130D65C6"/>
    <w:rsid w:val="130F7B0F"/>
    <w:rsid w:val="13153AEF"/>
    <w:rsid w:val="13277055"/>
    <w:rsid w:val="13437C03"/>
    <w:rsid w:val="13440BEC"/>
    <w:rsid w:val="134F7B0B"/>
    <w:rsid w:val="135D127D"/>
    <w:rsid w:val="13683A5C"/>
    <w:rsid w:val="136A63BF"/>
    <w:rsid w:val="137359B4"/>
    <w:rsid w:val="137C5217"/>
    <w:rsid w:val="13917553"/>
    <w:rsid w:val="13B07F3E"/>
    <w:rsid w:val="13B26405"/>
    <w:rsid w:val="13BF5ED3"/>
    <w:rsid w:val="13ED109E"/>
    <w:rsid w:val="13F70214"/>
    <w:rsid w:val="13F86FAE"/>
    <w:rsid w:val="13FA4132"/>
    <w:rsid w:val="13FD1C15"/>
    <w:rsid w:val="14083C98"/>
    <w:rsid w:val="140876D8"/>
    <w:rsid w:val="141845E0"/>
    <w:rsid w:val="141C18EA"/>
    <w:rsid w:val="141F1808"/>
    <w:rsid w:val="142E08FB"/>
    <w:rsid w:val="142F47CB"/>
    <w:rsid w:val="142F7B6B"/>
    <w:rsid w:val="1441758D"/>
    <w:rsid w:val="14571FFE"/>
    <w:rsid w:val="145B1FDF"/>
    <w:rsid w:val="145D1CC5"/>
    <w:rsid w:val="145E7A95"/>
    <w:rsid w:val="146575A3"/>
    <w:rsid w:val="148B15E0"/>
    <w:rsid w:val="14990109"/>
    <w:rsid w:val="14A55771"/>
    <w:rsid w:val="14BE0868"/>
    <w:rsid w:val="14C429D5"/>
    <w:rsid w:val="14D20D9B"/>
    <w:rsid w:val="14D972FF"/>
    <w:rsid w:val="14F5226F"/>
    <w:rsid w:val="15006FBE"/>
    <w:rsid w:val="15010D9B"/>
    <w:rsid w:val="151F6B5A"/>
    <w:rsid w:val="15212130"/>
    <w:rsid w:val="15221E3A"/>
    <w:rsid w:val="15327311"/>
    <w:rsid w:val="153C1684"/>
    <w:rsid w:val="155E1C9F"/>
    <w:rsid w:val="156542CB"/>
    <w:rsid w:val="15745C79"/>
    <w:rsid w:val="158014E9"/>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406CEA"/>
    <w:rsid w:val="16562259"/>
    <w:rsid w:val="165B3324"/>
    <w:rsid w:val="166A5E71"/>
    <w:rsid w:val="166C1A38"/>
    <w:rsid w:val="16764951"/>
    <w:rsid w:val="167A273E"/>
    <w:rsid w:val="16880636"/>
    <w:rsid w:val="16997203"/>
    <w:rsid w:val="16A61F0D"/>
    <w:rsid w:val="16AB1473"/>
    <w:rsid w:val="16AC5F02"/>
    <w:rsid w:val="16B27F4D"/>
    <w:rsid w:val="16BD691F"/>
    <w:rsid w:val="16C77FE5"/>
    <w:rsid w:val="16CE015F"/>
    <w:rsid w:val="16E52D93"/>
    <w:rsid w:val="16EC6F3A"/>
    <w:rsid w:val="16F47E57"/>
    <w:rsid w:val="16F53AB0"/>
    <w:rsid w:val="17091CDA"/>
    <w:rsid w:val="17220FF1"/>
    <w:rsid w:val="17320F2E"/>
    <w:rsid w:val="17445E0C"/>
    <w:rsid w:val="17613E3F"/>
    <w:rsid w:val="17664D13"/>
    <w:rsid w:val="1766777C"/>
    <w:rsid w:val="17676E2A"/>
    <w:rsid w:val="176D41EE"/>
    <w:rsid w:val="1780422F"/>
    <w:rsid w:val="17957F09"/>
    <w:rsid w:val="179F401B"/>
    <w:rsid w:val="17A75F25"/>
    <w:rsid w:val="17AA5C9C"/>
    <w:rsid w:val="17BD6AB4"/>
    <w:rsid w:val="17C023C9"/>
    <w:rsid w:val="17CC6271"/>
    <w:rsid w:val="17E845AA"/>
    <w:rsid w:val="17EF5DD9"/>
    <w:rsid w:val="17FC4172"/>
    <w:rsid w:val="18094E96"/>
    <w:rsid w:val="1818083E"/>
    <w:rsid w:val="184253B9"/>
    <w:rsid w:val="18434C37"/>
    <w:rsid w:val="184E511A"/>
    <w:rsid w:val="186202E0"/>
    <w:rsid w:val="18655B8E"/>
    <w:rsid w:val="186E43F1"/>
    <w:rsid w:val="18751594"/>
    <w:rsid w:val="187976BF"/>
    <w:rsid w:val="18875C71"/>
    <w:rsid w:val="18953D76"/>
    <w:rsid w:val="18AE7FAE"/>
    <w:rsid w:val="18B80BCE"/>
    <w:rsid w:val="18C06461"/>
    <w:rsid w:val="18C66922"/>
    <w:rsid w:val="18CE51E4"/>
    <w:rsid w:val="18D15598"/>
    <w:rsid w:val="18DC5CEB"/>
    <w:rsid w:val="18E62FBE"/>
    <w:rsid w:val="18EB2C9C"/>
    <w:rsid w:val="18EE7258"/>
    <w:rsid w:val="19000F5A"/>
    <w:rsid w:val="190C7DED"/>
    <w:rsid w:val="19260C13"/>
    <w:rsid w:val="19270D53"/>
    <w:rsid w:val="193337BA"/>
    <w:rsid w:val="19402796"/>
    <w:rsid w:val="19407B9F"/>
    <w:rsid w:val="195254FA"/>
    <w:rsid w:val="195919BF"/>
    <w:rsid w:val="19651C17"/>
    <w:rsid w:val="19677C6A"/>
    <w:rsid w:val="19733859"/>
    <w:rsid w:val="1980327D"/>
    <w:rsid w:val="198A4DC2"/>
    <w:rsid w:val="19917733"/>
    <w:rsid w:val="199750ED"/>
    <w:rsid w:val="19A57045"/>
    <w:rsid w:val="19AC0EF2"/>
    <w:rsid w:val="19B57275"/>
    <w:rsid w:val="19BE3E90"/>
    <w:rsid w:val="19C11AC9"/>
    <w:rsid w:val="19C37E45"/>
    <w:rsid w:val="19CF40F7"/>
    <w:rsid w:val="19D44DB3"/>
    <w:rsid w:val="19E40C05"/>
    <w:rsid w:val="19ED0EB9"/>
    <w:rsid w:val="19F21F24"/>
    <w:rsid w:val="1A00617E"/>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6593E"/>
    <w:rsid w:val="1A9D156F"/>
    <w:rsid w:val="1AA53562"/>
    <w:rsid w:val="1AA80D9B"/>
    <w:rsid w:val="1AA847EC"/>
    <w:rsid w:val="1AAD0BB3"/>
    <w:rsid w:val="1AD01EB8"/>
    <w:rsid w:val="1AD03E52"/>
    <w:rsid w:val="1AD875EC"/>
    <w:rsid w:val="1AE26A3D"/>
    <w:rsid w:val="1AF077FE"/>
    <w:rsid w:val="1AF475AD"/>
    <w:rsid w:val="1AF763CE"/>
    <w:rsid w:val="1AF92EDF"/>
    <w:rsid w:val="1AFD70F0"/>
    <w:rsid w:val="1B0270FF"/>
    <w:rsid w:val="1B0E479F"/>
    <w:rsid w:val="1B181DD9"/>
    <w:rsid w:val="1B2225ED"/>
    <w:rsid w:val="1B251F4D"/>
    <w:rsid w:val="1B2F477F"/>
    <w:rsid w:val="1B404AE7"/>
    <w:rsid w:val="1B4604AB"/>
    <w:rsid w:val="1B5B21D0"/>
    <w:rsid w:val="1B68276D"/>
    <w:rsid w:val="1B6C3B7D"/>
    <w:rsid w:val="1B7F0ABE"/>
    <w:rsid w:val="1B834589"/>
    <w:rsid w:val="1B87484A"/>
    <w:rsid w:val="1BA75872"/>
    <w:rsid w:val="1BAB396E"/>
    <w:rsid w:val="1BB07C7C"/>
    <w:rsid w:val="1BB25DB2"/>
    <w:rsid w:val="1BBB692B"/>
    <w:rsid w:val="1BBF0E19"/>
    <w:rsid w:val="1BC413FD"/>
    <w:rsid w:val="1BCD692F"/>
    <w:rsid w:val="1BE23EBD"/>
    <w:rsid w:val="1BFB1528"/>
    <w:rsid w:val="1C1C5EDB"/>
    <w:rsid w:val="1C2E6201"/>
    <w:rsid w:val="1C302928"/>
    <w:rsid w:val="1C52178E"/>
    <w:rsid w:val="1C68632B"/>
    <w:rsid w:val="1C687352"/>
    <w:rsid w:val="1C6C64F5"/>
    <w:rsid w:val="1C75778C"/>
    <w:rsid w:val="1C976CDD"/>
    <w:rsid w:val="1C9D2600"/>
    <w:rsid w:val="1C9F1651"/>
    <w:rsid w:val="1CA63793"/>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5DF7"/>
    <w:rsid w:val="1D9B123D"/>
    <w:rsid w:val="1D9E12E8"/>
    <w:rsid w:val="1DCB4927"/>
    <w:rsid w:val="1DD42282"/>
    <w:rsid w:val="1DD60823"/>
    <w:rsid w:val="1DD6405C"/>
    <w:rsid w:val="1DDD3571"/>
    <w:rsid w:val="1DFD4416"/>
    <w:rsid w:val="1E0F37BC"/>
    <w:rsid w:val="1E190463"/>
    <w:rsid w:val="1E240C32"/>
    <w:rsid w:val="1E24668A"/>
    <w:rsid w:val="1E2A27A6"/>
    <w:rsid w:val="1E2E273A"/>
    <w:rsid w:val="1E4422DE"/>
    <w:rsid w:val="1E4B2FD7"/>
    <w:rsid w:val="1E595F3F"/>
    <w:rsid w:val="1E645EBF"/>
    <w:rsid w:val="1E7911C9"/>
    <w:rsid w:val="1E7B335B"/>
    <w:rsid w:val="1E8D194D"/>
    <w:rsid w:val="1EA46A9C"/>
    <w:rsid w:val="1EA50F33"/>
    <w:rsid w:val="1ECA4A39"/>
    <w:rsid w:val="1ED503FA"/>
    <w:rsid w:val="1EE724BA"/>
    <w:rsid w:val="1EFD065C"/>
    <w:rsid w:val="1EFF6434"/>
    <w:rsid w:val="1F221FF4"/>
    <w:rsid w:val="1F311F17"/>
    <w:rsid w:val="1F3A0011"/>
    <w:rsid w:val="1F3A5F92"/>
    <w:rsid w:val="1F492CCC"/>
    <w:rsid w:val="1F701095"/>
    <w:rsid w:val="1F775289"/>
    <w:rsid w:val="1F923DE6"/>
    <w:rsid w:val="1F9E2ADD"/>
    <w:rsid w:val="1FA42D75"/>
    <w:rsid w:val="1FA610B9"/>
    <w:rsid w:val="1FB211FD"/>
    <w:rsid w:val="1FB47B1D"/>
    <w:rsid w:val="1FC12BC2"/>
    <w:rsid w:val="1FCD64DD"/>
    <w:rsid w:val="1FD024AA"/>
    <w:rsid w:val="1FDC54C4"/>
    <w:rsid w:val="1FE2075E"/>
    <w:rsid w:val="1FEE4C5C"/>
    <w:rsid w:val="1FF012A4"/>
    <w:rsid w:val="1FF23EC9"/>
    <w:rsid w:val="20040834"/>
    <w:rsid w:val="2018086E"/>
    <w:rsid w:val="20190666"/>
    <w:rsid w:val="201C0111"/>
    <w:rsid w:val="202C1885"/>
    <w:rsid w:val="203B574B"/>
    <w:rsid w:val="204A7C68"/>
    <w:rsid w:val="2053493C"/>
    <w:rsid w:val="2057586C"/>
    <w:rsid w:val="205B311C"/>
    <w:rsid w:val="205C31BC"/>
    <w:rsid w:val="205E4038"/>
    <w:rsid w:val="206B51F6"/>
    <w:rsid w:val="2075093F"/>
    <w:rsid w:val="20786BA2"/>
    <w:rsid w:val="207F447D"/>
    <w:rsid w:val="20884263"/>
    <w:rsid w:val="209931BD"/>
    <w:rsid w:val="209D6390"/>
    <w:rsid w:val="20A160B2"/>
    <w:rsid w:val="20B758B9"/>
    <w:rsid w:val="20C63AC9"/>
    <w:rsid w:val="20CB4738"/>
    <w:rsid w:val="20D105CB"/>
    <w:rsid w:val="20D16460"/>
    <w:rsid w:val="20DD7F39"/>
    <w:rsid w:val="20E24774"/>
    <w:rsid w:val="20F25221"/>
    <w:rsid w:val="21145BE0"/>
    <w:rsid w:val="213C0321"/>
    <w:rsid w:val="21440678"/>
    <w:rsid w:val="216365D8"/>
    <w:rsid w:val="2165140C"/>
    <w:rsid w:val="21662EEF"/>
    <w:rsid w:val="21691F88"/>
    <w:rsid w:val="2187182E"/>
    <w:rsid w:val="218A070F"/>
    <w:rsid w:val="218B380F"/>
    <w:rsid w:val="21957939"/>
    <w:rsid w:val="21A0702D"/>
    <w:rsid w:val="21B41691"/>
    <w:rsid w:val="21C1624C"/>
    <w:rsid w:val="21DB7E41"/>
    <w:rsid w:val="21E26EA0"/>
    <w:rsid w:val="21F34D45"/>
    <w:rsid w:val="21F950CF"/>
    <w:rsid w:val="21FA5CFD"/>
    <w:rsid w:val="22045432"/>
    <w:rsid w:val="221C55B2"/>
    <w:rsid w:val="222571B2"/>
    <w:rsid w:val="222A3C9E"/>
    <w:rsid w:val="22327AE5"/>
    <w:rsid w:val="22396FF8"/>
    <w:rsid w:val="22431035"/>
    <w:rsid w:val="225C0846"/>
    <w:rsid w:val="2297219B"/>
    <w:rsid w:val="22A10FCE"/>
    <w:rsid w:val="22B0252A"/>
    <w:rsid w:val="22BC6286"/>
    <w:rsid w:val="22D75BB2"/>
    <w:rsid w:val="22E819D8"/>
    <w:rsid w:val="22EC662B"/>
    <w:rsid w:val="22F57E73"/>
    <w:rsid w:val="230905D9"/>
    <w:rsid w:val="231523F7"/>
    <w:rsid w:val="234433ED"/>
    <w:rsid w:val="234B605E"/>
    <w:rsid w:val="235133E3"/>
    <w:rsid w:val="23560A29"/>
    <w:rsid w:val="235F59AB"/>
    <w:rsid w:val="236B0C27"/>
    <w:rsid w:val="237544B8"/>
    <w:rsid w:val="237951FC"/>
    <w:rsid w:val="237C4261"/>
    <w:rsid w:val="238A4219"/>
    <w:rsid w:val="239051E5"/>
    <w:rsid w:val="23924A0F"/>
    <w:rsid w:val="23987B60"/>
    <w:rsid w:val="239D13E8"/>
    <w:rsid w:val="239F6D5D"/>
    <w:rsid w:val="239F7F68"/>
    <w:rsid w:val="23A038E9"/>
    <w:rsid w:val="23C2499A"/>
    <w:rsid w:val="23CD7AD1"/>
    <w:rsid w:val="23D65253"/>
    <w:rsid w:val="23ED0F94"/>
    <w:rsid w:val="23F20B68"/>
    <w:rsid w:val="23FC3011"/>
    <w:rsid w:val="240D18BD"/>
    <w:rsid w:val="24117B72"/>
    <w:rsid w:val="24181880"/>
    <w:rsid w:val="243112E9"/>
    <w:rsid w:val="246E404E"/>
    <w:rsid w:val="24710ED7"/>
    <w:rsid w:val="247F538E"/>
    <w:rsid w:val="248114CC"/>
    <w:rsid w:val="24830E8F"/>
    <w:rsid w:val="24850CA7"/>
    <w:rsid w:val="249467FE"/>
    <w:rsid w:val="24A3249E"/>
    <w:rsid w:val="24A62D02"/>
    <w:rsid w:val="24A830D6"/>
    <w:rsid w:val="24AF069B"/>
    <w:rsid w:val="24AF1929"/>
    <w:rsid w:val="24B63D40"/>
    <w:rsid w:val="24BF356C"/>
    <w:rsid w:val="24C674E1"/>
    <w:rsid w:val="24C77C3C"/>
    <w:rsid w:val="24C8317D"/>
    <w:rsid w:val="24DA3852"/>
    <w:rsid w:val="24EA05B7"/>
    <w:rsid w:val="24F8086A"/>
    <w:rsid w:val="24FA0B67"/>
    <w:rsid w:val="25082A0B"/>
    <w:rsid w:val="252A182D"/>
    <w:rsid w:val="25417958"/>
    <w:rsid w:val="254369E7"/>
    <w:rsid w:val="25494E1D"/>
    <w:rsid w:val="257A74F9"/>
    <w:rsid w:val="25895A3D"/>
    <w:rsid w:val="258D735D"/>
    <w:rsid w:val="259A68BC"/>
    <w:rsid w:val="25D1716B"/>
    <w:rsid w:val="25DF6A97"/>
    <w:rsid w:val="25E6024A"/>
    <w:rsid w:val="25EA0F86"/>
    <w:rsid w:val="26212585"/>
    <w:rsid w:val="26282ED7"/>
    <w:rsid w:val="265B6DE8"/>
    <w:rsid w:val="265F04C1"/>
    <w:rsid w:val="26616B11"/>
    <w:rsid w:val="266A6A94"/>
    <w:rsid w:val="267440C5"/>
    <w:rsid w:val="268B161B"/>
    <w:rsid w:val="268C256C"/>
    <w:rsid w:val="268F35A6"/>
    <w:rsid w:val="26991CDA"/>
    <w:rsid w:val="269F48BD"/>
    <w:rsid w:val="26A7223A"/>
    <w:rsid w:val="26DD7344"/>
    <w:rsid w:val="26E01351"/>
    <w:rsid w:val="26ED7BDF"/>
    <w:rsid w:val="26F23979"/>
    <w:rsid w:val="271A0651"/>
    <w:rsid w:val="272A1178"/>
    <w:rsid w:val="272D26C8"/>
    <w:rsid w:val="274604BA"/>
    <w:rsid w:val="27530B85"/>
    <w:rsid w:val="27537ACC"/>
    <w:rsid w:val="27622EC6"/>
    <w:rsid w:val="27634177"/>
    <w:rsid w:val="276C2A3C"/>
    <w:rsid w:val="27743788"/>
    <w:rsid w:val="277B261F"/>
    <w:rsid w:val="278F6738"/>
    <w:rsid w:val="27962ACA"/>
    <w:rsid w:val="279B5A93"/>
    <w:rsid w:val="27A00C3E"/>
    <w:rsid w:val="27A3144C"/>
    <w:rsid w:val="27A35CC1"/>
    <w:rsid w:val="27A74409"/>
    <w:rsid w:val="27A977CB"/>
    <w:rsid w:val="27B61CCA"/>
    <w:rsid w:val="27D130A3"/>
    <w:rsid w:val="27D34FAC"/>
    <w:rsid w:val="27D81BC4"/>
    <w:rsid w:val="27DF3535"/>
    <w:rsid w:val="27E916BA"/>
    <w:rsid w:val="27EE6C68"/>
    <w:rsid w:val="27F10483"/>
    <w:rsid w:val="27FD55EF"/>
    <w:rsid w:val="28022D32"/>
    <w:rsid w:val="28153567"/>
    <w:rsid w:val="28396258"/>
    <w:rsid w:val="28594A6E"/>
    <w:rsid w:val="285A66A5"/>
    <w:rsid w:val="286B5520"/>
    <w:rsid w:val="28724C6B"/>
    <w:rsid w:val="287B0C11"/>
    <w:rsid w:val="287D3F8A"/>
    <w:rsid w:val="28870747"/>
    <w:rsid w:val="288D4712"/>
    <w:rsid w:val="288E5631"/>
    <w:rsid w:val="288F2FC2"/>
    <w:rsid w:val="288F719F"/>
    <w:rsid w:val="28903FB3"/>
    <w:rsid w:val="289F3521"/>
    <w:rsid w:val="28C32DF1"/>
    <w:rsid w:val="28C534E8"/>
    <w:rsid w:val="28D02103"/>
    <w:rsid w:val="28D43CED"/>
    <w:rsid w:val="29095837"/>
    <w:rsid w:val="29200EC3"/>
    <w:rsid w:val="292E78E3"/>
    <w:rsid w:val="293734A8"/>
    <w:rsid w:val="293B5D03"/>
    <w:rsid w:val="294A50E3"/>
    <w:rsid w:val="294E0AA4"/>
    <w:rsid w:val="296735A6"/>
    <w:rsid w:val="296D7E15"/>
    <w:rsid w:val="29842A7C"/>
    <w:rsid w:val="29962D19"/>
    <w:rsid w:val="29970E9E"/>
    <w:rsid w:val="29A72163"/>
    <w:rsid w:val="29AD3BB2"/>
    <w:rsid w:val="29B4309C"/>
    <w:rsid w:val="29BF58B6"/>
    <w:rsid w:val="29C30BAC"/>
    <w:rsid w:val="29C407D5"/>
    <w:rsid w:val="29CD7458"/>
    <w:rsid w:val="29D9048F"/>
    <w:rsid w:val="29E51BC2"/>
    <w:rsid w:val="29E973EB"/>
    <w:rsid w:val="29EB243E"/>
    <w:rsid w:val="29EF70CC"/>
    <w:rsid w:val="29FB3C4B"/>
    <w:rsid w:val="2A0A0002"/>
    <w:rsid w:val="2A1C62F4"/>
    <w:rsid w:val="2A21114E"/>
    <w:rsid w:val="2A476C74"/>
    <w:rsid w:val="2A5F0A9A"/>
    <w:rsid w:val="2A6C666C"/>
    <w:rsid w:val="2A7775B4"/>
    <w:rsid w:val="2A802A87"/>
    <w:rsid w:val="2A931BB9"/>
    <w:rsid w:val="2A9D346A"/>
    <w:rsid w:val="2A9F6321"/>
    <w:rsid w:val="2AB51A38"/>
    <w:rsid w:val="2AB903D8"/>
    <w:rsid w:val="2ACD6CCC"/>
    <w:rsid w:val="2ADF720A"/>
    <w:rsid w:val="2AE3153D"/>
    <w:rsid w:val="2AEE4512"/>
    <w:rsid w:val="2AFC30F1"/>
    <w:rsid w:val="2AFE4547"/>
    <w:rsid w:val="2B080347"/>
    <w:rsid w:val="2B0B1EA1"/>
    <w:rsid w:val="2B107904"/>
    <w:rsid w:val="2B13327A"/>
    <w:rsid w:val="2B341240"/>
    <w:rsid w:val="2B34584A"/>
    <w:rsid w:val="2B3D07D1"/>
    <w:rsid w:val="2B4563D1"/>
    <w:rsid w:val="2B64015F"/>
    <w:rsid w:val="2B644948"/>
    <w:rsid w:val="2B7C6921"/>
    <w:rsid w:val="2B9C4F86"/>
    <w:rsid w:val="2BC76D7C"/>
    <w:rsid w:val="2BCD1E3E"/>
    <w:rsid w:val="2BFE1EDB"/>
    <w:rsid w:val="2C127758"/>
    <w:rsid w:val="2C1A4265"/>
    <w:rsid w:val="2C1F32E8"/>
    <w:rsid w:val="2C2326B1"/>
    <w:rsid w:val="2C26626A"/>
    <w:rsid w:val="2C275841"/>
    <w:rsid w:val="2C3E2651"/>
    <w:rsid w:val="2C461E6D"/>
    <w:rsid w:val="2C4630F8"/>
    <w:rsid w:val="2C636708"/>
    <w:rsid w:val="2C645230"/>
    <w:rsid w:val="2C68059F"/>
    <w:rsid w:val="2C6917E7"/>
    <w:rsid w:val="2C6B3A9A"/>
    <w:rsid w:val="2C756800"/>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175B1"/>
    <w:rsid w:val="2D05566F"/>
    <w:rsid w:val="2D11170D"/>
    <w:rsid w:val="2D13298D"/>
    <w:rsid w:val="2D15219B"/>
    <w:rsid w:val="2D1574B3"/>
    <w:rsid w:val="2D1C1D90"/>
    <w:rsid w:val="2D221D5D"/>
    <w:rsid w:val="2D232F0F"/>
    <w:rsid w:val="2D276715"/>
    <w:rsid w:val="2D2A0414"/>
    <w:rsid w:val="2D341C5B"/>
    <w:rsid w:val="2D383726"/>
    <w:rsid w:val="2D386439"/>
    <w:rsid w:val="2D3E7F90"/>
    <w:rsid w:val="2D590A0A"/>
    <w:rsid w:val="2D77622E"/>
    <w:rsid w:val="2D796490"/>
    <w:rsid w:val="2D7B766B"/>
    <w:rsid w:val="2D7E265B"/>
    <w:rsid w:val="2D9379FB"/>
    <w:rsid w:val="2D9E7CAE"/>
    <w:rsid w:val="2DBA7FBA"/>
    <w:rsid w:val="2DBE1024"/>
    <w:rsid w:val="2DC6390A"/>
    <w:rsid w:val="2DE16ECB"/>
    <w:rsid w:val="2DE2223D"/>
    <w:rsid w:val="2DE40DD4"/>
    <w:rsid w:val="2E0F2EDB"/>
    <w:rsid w:val="2E145E1D"/>
    <w:rsid w:val="2E18318C"/>
    <w:rsid w:val="2E223E47"/>
    <w:rsid w:val="2E270A97"/>
    <w:rsid w:val="2E3A6A83"/>
    <w:rsid w:val="2E3F4045"/>
    <w:rsid w:val="2E406C0B"/>
    <w:rsid w:val="2E4430FB"/>
    <w:rsid w:val="2E4A213E"/>
    <w:rsid w:val="2E6A7B7E"/>
    <w:rsid w:val="2E744638"/>
    <w:rsid w:val="2E852BFA"/>
    <w:rsid w:val="2EB72D84"/>
    <w:rsid w:val="2ED81477"/>
    <w:rsid w:val="2EE359E2"/>
    <w:rsid w:val="2EEC1574"/>
    <w:rsid w:val="2F1B43C7"/>
    <w:rsid w:val="2F33519D"/>
    <w:rsid w:val="2F5604CA"/>
    <w:rsid w:val="2F592F8F"/>
    <w:rsid w:val="2F712680"/>
    <w:rsid w:val="2F736666"/>
    <w:rsid w:val="2F7580EC"/>
    <w:rsid w:val="2F915B15"/>
    <w:rsid w:val="2F996139"/>
    <w:rsid w:val="2F9B53A7"/>
    <w:rsid w:val="2F9C20B6"/>
    <w:rsid w:val="2FA36E63"/>
    <w:rsid w:val="2FC33170"/>
    <w:rsid w:val="2FD352CF"/>
    <w:rsid w:val="2FD66838"/>
    <w:rsid w:val="2FDB72F7"/>
    <w:rsid w:val="2FF0529A"/>
    <w:rsid w:val="30021B53"/>
    <w:rsid w:val="30045DA6"/>
    <w:rsid w:val="300E7DD2"/>
    <w:rsid w:val="30130536"/>
    <w:rsid w:val="30151A67"/>
    <w:rsid w:val="30167D4E"/>
    <w:rsid w:val="301C704F"/>
    <w:rsid w:val="3038011D"/>
    <w:rsid w:val="303C0D37"/>
    <w:rsid w:val="303C3120"/>
    <w:rsid w:val="30600C42"/>
    <w:rsid w:val="30647F44"/>
    <w:rsid w:val="30652485"/>
    <w:rsid w:val="30705633"/>
    <w:rsid w:val="30714035"/>
    <w:rsid w:val="307C0336"/>
    <w:rsid w:val="30814B77"/>
    <w:rsid w:val="308645E8"/>
    <w:rsid w:val="30A474FE"/>
    <w:rsid w:val="30AE0AAC"/>
    <w:rsid w:val="30AF3ABD"/>
    <w:rsid w:val="30B0476E"/>
    <w:rsid w:val="30B36B23"/>
    <w:rsid w:val="30CC5260"/>
    <w:rsid w:val="30CD10F6"/>
    <w:rsid w:val="30D14AFA"/>
    <w:rsid w:val="30E14993"/>
    <w:rsid w:val="30E206FC"/>
    <w:rsid w:val="30EF21BA"/>
    <w:rsid w:val="30EF472A"/>
    <w:rsid w:val="30FA5F5C"/>
    <w:rsid w:val="30FB65D1"/>
    <w:rsid w:val="30FC5A3F"/>
    <w:rsid w:val="30FF6C1F"/>
    <w:rsid w:val="31052214"/>
    <w:rsid w:val="310773C1"/>
    <w:rsid w:val="312D28D8"/>
    <w:rsid w:val="31306D9F"/>
    <w:rsid w:val="3136571E"/>
    <w:rsid w:val="313969FB"/>
    <w:rsid w:val="313B2EDA"/>
    <w:rsid w:val="31476662"/>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07E29"/>
    <w:rsid w:val="32156AF6"/>
    <w:rsid w:val="32240F36"/>
    <w:rsid w:val="3229313A"/>
    <w:rsid w:val="322A09EC"/>
    <w:rsid w:val="322E6D47"/>
    <w:rsid w:val="32343227"/>
    <w:rsid w:val="323F21DE"/>
    <w:rsid w:val="324748F5"/>
    <w:rsid w:val="326C0ABD"/>
    <w:rsid w:val="327945B0"/>
    <w:rsid w:val="32AD5AEA"/>
    <w:rsid w:val="32C3640C"/>
    <w:rsid w:val="32C47E69"/>
    <w:rsid w:val="32CA7FC0"/>
    <w:rsid w:val="32DF4B9C"/>
    <w:rsid w:val="32EE5E66"/>
    <w:rsid w:val="32F707FF"/>
    <w:rsid w:val="32FE7982"/>
    <w:rsid w:val="330D52B8"/>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C3C2F"/>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804C4"/>
    <w:rsid w:val="34D91E9D"/>
    <w:rsid w:val="34E261D0"/>
    <w:rsid w:val="34E3740B"/>
    <w:rsid w:val="350729A6"/>
    <w:rsid w:val="350D2053"/>
    <w:rsid w:val="350D51A0"/>
    <w:rsid w:val="351864DC"/>
    <w:rsid w:val="35286BF7"/>
    <w:rsid w:val="35522321"/>
    <w:rsid w:val="355A6DAB"/>
    <w:rsid w:val="355D53D4"/>
    <w:rsid w:val="35602A7D"/>
    <w:rsid w:val="35704B1F"/>
    <w:rsid w:val="357353BD"/>
    <w:rsid w:val="35753453"/>
    <w:rsid w:val="358A0196"/>
    <w:rsid w:val="358B53A3"/>
    <w:rsid w:val="3599429E"/>
    <w:rsid w:val="35A73257"/>
    <w:rsid w:val="35B12F84"/>
    <w:rsid w:val="35B57875"/>
    <w:rsid w:val="35C64756"/>
    <w:rsid w:val="35E57F90"/>
    <w:rsid w:val="35E83CB6"/>
    <w:rsid w:val="36033A12"/>
    <w:rsid w:val="3613170B"/>
    <w:rsid w:val="362964B6"/>
    <w:rsid w:val="362B777F"/>
    <w:rsid w:val="362F0086"/>
    <w:rsid w:val="363D403E"/>
    <w:rsid w:val="366D3CBC"/>
    <w:rsid w:val="36750E50"/>
    <w:rsid w:val="36776EAA"/>
    <w:rsid w:val="367C01BA"/>
    <w:rsid w:val="36B77EB7"/>
    <w:rsid w:val="36C95F72"/>
    <w:rsid w:val="36D92D4D"/>
    <w:rsid w:val="36DD79DE"/>
    <w:rsid w:val="36DE7BD3"/>
    <w:rsid w:val="36F61C9E"/>
    <w:rsid w:val="36F9234D"/>
    <w:rsid w:val="371B75E8"/>
    <w:rsid w:val="372B7AE0"/>
    <w:rsid w:val="37592FE4"/>
    <w:rsid w:val="375B13FD"/>
    <w:rsid w:val="375E20CF"/>
    <w:rsid w:val="376A21A7"/>
    <w:rsid w:val="377336AC"/>
    <w:rsid w:val="377F502A"/>
    <w:rsid w:val="37804449"/>
    <w:rsid w:val="378A028C"/>
    <w:rsid w:val="37B7401D"/>
    <w:rsid w:val="37BC42C1"/>
    <w:rsid w:val="37C51AE9"/>
    <w:rsid w:val="37CA1388"/>
    <w:rsid w:val="37CB6729"/>
    <w:rsid w:val="37CC6ED3"/>
    <w:rsid w:val="37D6640B"/>
    <w:rsid w:val="37E24F28"/>
    <w:rsid w:val="37F63FA8"/>
    <w:rsid w:val="37F94643"/>
    <w:rsid w:val="37FB24F6"/>
    <w:rsid w:val="3806724C"/>
    <w:rsid w:val="38292EF5"/>
    <w:rsid w:val="38305180"/>
    <w:rsid w:val="383B2625"/>
    <w:rsid w:val="3850158A"/>
    <w:rsid w:val="385C1B7F"/>
    <w:rsid w:val="38610D05"/>
    <w:rsid w:val="3875059D"/>
    <w:rsid w:val="387A6E02"/>
    <w:rsid w:val="387F0895"/>
    <w:rsid w:val="388F49F5"/>
    <w:rsid w:val="389239F0"/>
    <w:rsid w:val="389C55D9"/>
    <w:rsid w:val="38AB3C78"/>
    <w:rsid w:val="38AD23FD"/>
    <w:rsid w:val="38AE7874"/>
    <w:rsid w:val="38BD6057"/>
    <w:rsid w:val="38CF1B18"/>
    <w:rsid w:val="38FA192C"/>
    <w:rsid w:val="38FB4BD9"/>
    <w:rsid w:val="39016CF8"/>
    <w:rsid w:val="39076C11"/>
    <w:rsid w:val="39146BD9"/>
    <w:rsid w:val="391F2580"/>
    <w:rsid w:val="39221703"/>
    <w:rsid w:val="39283EEC"/>
    <w:rsid w:val="392C6103"/>
    <w:rsid w:val="392D67AC"/>
    <w:rsid w:val="3930488C"/>
    <w:rsid w:val="39401394"/>
    <w:rsid w:val="394D0F3D"/>
    <w:rsid w:val="39523735"/>
    <w:rsid w:val="39604D1C"/>
    <w:rsid w:val="3968060E"/>
    <w:rsid w:val="396F1445"/>
    <w:rsid w:val="3984641B"/>
    <w:rsid w:val="398473E8"/>
    <w:rsid w:val="39A644DA"/>
    <w:rsid w:val="39B261A8"/>
    <w:rsid w:val="39C531C8"/>
    <w:rsid w:val="39E23259"/>
    <w:rsid w:val="39EA289E"/>
    <w:rsid w:val="39FC64CB"/>
    <w:rsid w:val="3A0B2C87"/>
    <w:rsid w:val="3A0E4E62"/>
    <w:rsid w:val="3A0F0F43"/>
    <w:rsid w:val="3A2140D2"/>
    <w:rsid w:val="3A380799"/>
    <w:rsid w:val="3A476B5E"/>
    <w:rsid w:val="3A4B0E8F"/>
    <w:rsid w:val="3A555FAD"/>
    <w:rsid w:val="3A711825"/>
    <w:rsid w:val="3A7B1CBC"/>
    <w:rsid w:val="3A931991"/>
    <w:rsid w:val="3AA07642"/>
    <w:rsid w:val="3AA82CF8"/>
    <w:rsid w:val="3AAC5B36"/>
    <w:rsid w:val="3AD06974"/>
    <w:rsid w:val="3ADA42A0"/>
    <w:rsid w:val="3AED2DDA"/>
    <w:rsid w:val="3AF1226A"/>
    <w:rsid w:val="3AF21E9B"/>
    <w:rsid w:val="3AF675B4"/>
    <w:rsid w:val="3B084B8F"/>
    <w:rsid w:val="3B0A7A50"/>
    <w:rsid w:val="3B105BA8"/>
    <w:rsid w:val="3B151E44"/>
    <w:rsid w:val="3B2414E4"/>
    <w:rsid w:val="3B277374"/>
    <w:rsid w:val="3B344321"/>
    <w:rsid w:val="3B3500CB"/>
    <w:rsid w:val="3B4F35F9"/>
    <w:rsid w:val="3B50783E"/>
    <w:rsid w:val="3B5905F5"/>
    <w:rsid w:val="3B6A281B"/>
    <w:rsid w:val="3B706D15"/>
    <w:rsid w:val="3B752953"/>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2471E9"/>
    <w:rsid w:val="3C3158BF"/>
    <w:rsid w:val="3C512C6A"/>
    <w:rsid w:val="3C5C1695"/>
    <w:rsid w:val="3C5E6096"/>
    <w:rsid w:val="3C6B63F3"/>
    <w:rsid w:val="3C6D0AA3"/>
    <w:rsid w:val="3C7D446D"/>
    <w:rsid w:val="3C8805E4"/>
    <w:rsid w:val="3C8E7AF0"/>
    <w:rsid w:val="3C903856"/>
    <w:rsid w:val="3CA96C3C"/>
    <w:rsid w:val="3CAC07B2"/>
    <w:rsid w:val="3CB05E10"/>
    <w:rsid w:val="3CBD45C9"/>
    <w:rsid w:val="3CBF3D07"/>
    <w:rsid w:val="3CE90D4D"/>
    <w:rsid w:val="3CEC5BD9"/>
    <w:rsid w:val="3D0A2A8A"/>
    <w:rsid w:val="3D0D553D"/>
    <w:rsid w:val="3D12272E"/>
    <w:rsid w:val="3D321FA1"/>
    <w:rsid w:val="3D5C306C"/>
    <w:rsid w:val="3D6A3EE4"/>
    <w:rsid w:val="3D6E15B5"/>
    <w:rsid w:val="3D8762BD"/>
    <w:rsid w:val="3D896257"/>
    <w:rsid w:val="3D941FD0"/>
    <w:rsid w:val="3DA75BB4"/>
    <w:rsid w:val="3DB73788"/>
    <w:rsid w:val="3DBE7888"/>
    <w:rsid w:val="3DBF796B"/>
    <w:rsid w:val="3DC72FAC"/>
    <w:rsid w:val="3DD4640D"/>
    <w:rsid w:val="3DE22934"/>
    <w:rsid w:val="3DF15BE8"/>
    <w:rsid w:val="3E00648E"/>
    <w:rsid w:val="3E097ED6"/>
    <w:rsid w:val="3E0A1A92"/>
    <w:rsid w:val="3E0F619F"/>
    <w:rsid w:val="3E190507"/>
    <w:rsid w:val="3E2C07D2"/>
    <w:rsid w:val="3E36774F"/>
    <w:rsid w:val="3E485474"/>
    <w:rsid w:val="3E4B1963"/>
    <w:rsid w:val="3E4B1EC4"/>
    <w:rsid w:val="3E4C5C7B"/>
    <w:rsid w:val="3E4D22D0"/>
    <w:rsid w:val="3E4F06BE"/>
    <w:rsid w:val="3E60232E"/>
    <w:rsid w:val="3E675DBF"/>
    <w:rsid w:val="3E6966CC"/>
    <w:rsid w:val="3E6F6349"/>
    <w:rsid w:val="3E7001DF"/>
    <w:rsid w:val="3E815E9D"/>
    <w:rsid w:val="3E8F04CD"/>
    <w:rsid w:val="3EA37326"/>
    <w:rsid w:val="3EA4334C"/>
    <w:rsid w:val="3EC033B0"/>
    <w:rsid w:val="3EC21710"/>
    <w:rsid w:val="3ED07B39"/>
    <w:rsid w:val="3EEE4BA8"/>
    <w:rsid w:val="3EF223A8"/>
    <w:rsid w:val="3EF55A72"/>
    <w:rsid w:val="3F174095"/>
    <w:rsid w:val="3F1E600A"/>
    <w:rsid w:val="3F227ECC"/>
    <w:rsid w:val="3F2A1510"/>
    <w:rsid w:val="3F323523"/>
    <w:rsid w:val="3F59407A"/>
    <w:rsid w:val="3F7601A5"/>
    <w:rsid w:val="3F963935"/>
    <w:rsid w:val="3FBD7ADB"/>
    <w:rsid w:val="3FC3794B"/>
    <w:rsid w:val="3FDA0C84"/>
    <w:rsid w:val="3FDE080D"/>
    <w:rsid w:val="3FED10C4"/>
    <w:rsid w:val="3FFD69BE"/>
    <w:rsid w:val="40115E5D"/>
    <w:rsid w:val="40142B28"/>
    <w:rsid w:val="402551CC"/>
    <w:rsid w:val="402961CD"/>
    <w:rsid w:val="40413FC6"/>
    <w:rsid w:val="404C0EDB"/>
    <w:rsid w:val="404C3E13"/>
    <w:rsid w:val="405411BB"/>
    <w:rsid w:val="405A7340"/>
    <w:rsid w:val="405B10A3"/>
    <w:rsid w:val="406563D6"/>
    <w:rsid w:val="40682A9B"/>
    <w:rsid w:val="406A3E83"/>
    <w:rsid w:val="406B7B27"/>
    <w:rsid w:val="40A1164F"/>
    <w:rsid w:val="40A4352B"/>
    <w:rsid w:val="40AD7C5B"/>
    <w:rsid w:val="40CD5F0B"/>
    <w:rsid w:val="40D76165"/>
    <w:rsid w:val="40DD4729"/>
    <w:rsid w:val="40E14DB7"/>
    <w:rsid w:val="40E33804"/>
    <w:rsid w:val="40EB7E0B"/>
    <w:rsid w:val="40F1349D"/>
    <w:rsid w:val="40F31392"/>
    <w:rsid w:val="411E2BE4"/>
    <w:rsid w:val="413A144A"/>
    <w:rsid w:val="413B55F6"/>
    <w:rsid w:val="41694287"/>
    <w:rsid w:val="416948A9"/>
    <w:rsid w:val="416B194D"/>
    <w:rsid w:val="41815EC7"/>
    <w:rsid w:val="41831BB8"/>
    <w:rsid w:val="41BE3E52"/>
    <w:rsid w:val="41C36A02"/>
    <w:rsid w:val="41D8445C"/>
    <w:rsid w:val="41EA4E6C"/>
    <w:rsid w:val="41F45402"/>
    <w:rsid w:val="41F85D27"/>
    <w:rsid w:val="420A5570"/>
    <w:rsid w:val="420E2A1A"/>
    <w:rsid w:val="421E5E19"/>
    <w:rsid w:val="4223749D"/>
    <w:rsid w:val="4237497C"/>
    <w:rsid w:val="424D68DB"/>
    <w:rsid w:val="42565FD0"/>
    <w:rsid w:val="42596CCD"/>
    <w:rsid w:val="425E5FDE"/>
    <w:rsid w:val="427A361C"/>
    <w:rsid w:val="427F350F"/>
    <w:rsid w:val="42914340"/>
    <w:rsid w:val="42AF1A12"/>
    <w:rsid w:val="42B008AC"/>
    <w:rsid w:val="42CB6D7A"/>
    <w:rsid w:val="42E53FAF"/>
    <w:rsid w:val="42EA1A5F"/>
    <w:rsid w:val="42F46793"/>
    <w:rsid w:val="42F75898"/>
    <w:rsid w:val="43127FA0"/>
    <w:rsid w:val="431B4901"/>
    <w:rsid w:val="431D66E9"/>
    <w:rsid w:val="43291149"/>
    <w:rsid w:val="43462BCA"/>
    <w:rsid w:val="434E46D6"/>
    <w:rsid w:val="4357457D"/>
    <w:rsid w:val="43587C29"/>
    <w:rsid w:val="435C6176"/>
    <w:rsid w:val="43616901"/>
    <w:rsid w:val="43667A8A"/>
    <w:rsid w:val="436A6992"/>
    <w:rsid w:val="436D4ECF"/>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116CE8"/>
    <w:rsid w:val="44205D19"/>
    <w:rsid w:val="442C10DA"/>
    <w:rsid w:val="44314B0E"/>
    <w:rsid w:val="44414F56"/>
    <w:rsid w:val="446151B8"/>
    <w:rsid w:val="44690E3E"/>
    <w:rsid w:val="446B48FC"/>
    <w:rsid w:val="44785AEE"/>
    <w:rsid w:val="447D2D74"/>
    <w:rsid w:val="44843CC9"/>
    <w:rsid w:val="44880967"/>
    <w:rsid w:val="44964FAD"/>
    <w:rsid w:val="44B673AA"/>
    <w:rsid w:val="44BC28D1"/>
    <w:rsid w:val="44BE5B35"/>
    <w:rsid w:val="44C07F9F"/>
    <w:rsid w:val="44D26E80"/>
    <w:rsid w:val="44DB773A"/>
    <w:rsid w:val="44E23B78"/>
    <w:rsid w:val="44F14784"/>
    <w:rsid w:val="44F55F2E"/>
    <w:rsid w:val="450039C1"/>
    <w:rsid w:val="450F71D2"/>
    <w:rsid w:val="451A32B1"/>
    <w:rsid w:val="451E341B"/>
    <w:rsid w:val="452074A3"/>
    <w:rsid w:val="452D6C34"/>
    <w:rsid w:val="453E1F38"/>
    <w:rsid w:val="454D00BA"/>
    <w:rsid w:val="455D61D9"/>
    <w:rsid w:val="456951DA"/>
    <w:rsid w:val="457277D5"/>
    <w:rsid w:val="457C1659"/>
    <w:rsid w:val="45973AD6"/>
    <w:rsid w:val="45A03175"/>
    <w:rsid w:val="45A52B1C"/>
    <w:rsid w:val="45AC4CF4"/>
    <w:rsid w:val="45AD524F"/>
    <w:rsid w:val="45AE36B8"/>
    <w:rsid w:val="45CF7FBC"/>
    <w:rsid w:val="45D77317"/>
    <w:rsid w:val="45DF5B74"/>
    <w:rsid w:val="45F35C5E"/>
    <w:rsid w:val="46073377"/>
    <w:rsid w:val="460D0F7A"/>
    <w:rsid w:val="4618362D"/>
    <w:rsid w:val="462E7F56"/>
    <w:rsid w:val="46400CA9"/>
    <w:rsid w:val="46406C53"/>
    <w:rsid w:val="465A4FCD"/>
    <w:rsid w:val="465B230D"/>
    <w:rsid w:val="4662285A"/>
    <w:rsid w:val="467208A3"/>
    <w:rsid w:val="467C0D02"/>
    <w:rsid w:val="46810023"/>
    <w:rsid w:val="468354F8"/>
    <w:rsid w:val="46836109"/>
    <w:rsid w:val="46880032"/>
    <w:rsid w:val="468B0189"/>
    <w:rsid w:val="46907C5C"/>
    <w:rsid w:val="46995FD1"/>
    <w:rsid w:val="46AB3E78"/>
    <w:rsid w:val="46B06667"/>
    <w:rsid w:val="46B44E3D"/>
    <w:rsid w:val="46BA4BDC"/>
    <w:rsid w:val="46C35907"/>
    <w:rsid w:val="46D90ED8"/>
    <w:rsid w:val="46F97533"/>
    <w:rsid w:val="47032B85"/>
    <w:rsid w:val="470F0768"/>
    <w:rsid w:val="47111705"/>
    <w:rsid w:val="4719625B"/>
    <w:rsid w:val="471E706D"/>
    <w:rsid w:val="472C0755"/>
    <w:rsid w:val="474422FB"/>
    <w:rsid w:val="4745188E"/>
    <w:rsid w:val="4757535A"/>
    <w:rsid w:val="476D2EF2"/>
    <w:rsid w:val="476E7A2B"/>
    <w:rsid w:val="477A07F4"/>
    <w:rsid w:val="477E77FE"/>
    <w:rsid w:val="47B54AA8"/>
    <w:rsid w:val="47BD13B2"/>
    <w:rsid w:val="47BF5406"/>
    <w:rsid w:val="47C073E7"/>
    <w:rsid w:val="47C621A4"/>
    <w:rsid w:val="47CA1937"/>
    <w:rsid w:val="47CF412C"/>
    <w:rsid w:val="47D31130"/>
    <w:rsid w:val="47DE197A"/>
    <w:rsid w:val="47F04CF4"/>
    <w:rsid w:val="47F04F1C"/>
    <w:rsid w:val="47F221D2"/>
    <w:rsid w:val="47F261EE"/>
    <w:rsid w:val="4801327C"/>
    <w:rsid w:val="480274E2"/>
    <w:rsid w:val="481017B4"/>
    <w:rsid w:val="481F1C5E"/>
    <w:rsid w:val="484B7795"/>
    <w:rsid w:val="48513732"/>
    <w:rsid w:val="486523D3"/>
    <w:rsid w:val="486919DF"/>
    <w:rsid w:val="48713429"/>
    <w:rsid w:val="48752628"/>
    <w:rsid w:val="487B3B0A"/>
    <w:rsid w:val="487F3479"/>
    <w:rsid w:val="487F761D"/>
    <w:rsid w:val="4891605D"/>
    <w:rsid w:val="48CB49E7"/>
    <w:rsid w:val="48D173C6"/>
    <w:rsid w:val="48E02F78"/>
    <w:rsid w:val="48E76F84"/>
    <w:rsid w:val="48F00546"/>
    <w:rsid w:val="48F15D97"/>
    <w:rsid w:val="4906501C"/>
    <w:rsid w:val="4906610F"/>
    <w:rsid w:val="49132398"/>
    <w:rsid w:val="491A5C09"/>
    <w:rsid w:val="491B5B23"/>
    <w:rsid w:val="491D675F"/>
    <w:rsid w:val="493252B0"/>
    <w:rsid w:val="49391300"/>
    <w:rsid w:val="493B491E"/>
    <w:rsid w:val="494305AE"/>
    <w:rsid w:val="49550F29"/>
    <w:rsid w:val="4957708A"/>
    <w:rsid w:val="498E5DDA"/>
    <w:rsid w:val="499A319C"/>
    <w:rsid w:val="49A75100"/>
    <w:rsid w:val="49B6483C"/>
    <w:rsid w:val="49B66680"/>
    <w:rsid w:val="49BE5762"/>
    <w:rsid w:val="49C75CA3"/>
    <w:rsid w:val="49D145CB"/>
    <w:rsid w:val="49E56673"/>
    <w:rsid w:val="49EE6928"/>
    <w:rsid w:val="49FC1D63"/>
    <w:rsid w:val="4A0F6E1A"/>
    <w:rsid w:val="4A125A83"/>
    <w:rsid w:val="4A171DB0"/>
    <w:rsid w:val="4A2057D8"/>
    <w:rsid w:val="4A284B3F"/>
    <w:rsid w:val="4A295EBB"/>
    <w:rsid w:val="4A5A35C4"/>
    <w:rsid w:val="4A6A27E4"/>
    <w:rsid w:val="4A6F2547"/>
    <w:rsid w:val="4A737F34"/>
    <w:rsid w:val="4A776529"/>
    <w:rsid w:val="4A7E7CAA"/>
    <w:rsid w:val="4A8017B0"/>
    <w:rsid w:val="4A861680"/>
    <w:rsid w:val="4A8764D3"/>
    <w:rsid w:val="4A980B3E"/>
    <w:rsid w:val="4AA14A65"/>
    <w:rsid w:val="4AA45078"/>
    <w:rsid w:val="4AA478AA"/>
    <w:rsid w:val="4AB90D4A"/>
    <w:rsid w:val="4AC77F8B"/>
    <w:rsid w:val="4ACB7010"/>
    <w:rsid w:val="4AD74EF4"/>
    <w:rsid w:val="4AED5C11"/>
    <w:rsid w:val="4AEE7ABD"/>
    <w:rsid w:val="4AFF253A"/>
    <w:rsid w:val="4B0362DF"/>
    <w:rsid w:val="4B096721"/>
    <w:rsid w:val="4B151DD8"/>
    <w:rsid w:val="4B2F5A69"/>
    <w:rsid w:val="4B403006"/>
    <w:rsid w:val="4B430139"/>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860AF"/>
    <w:rsid w:val="4CB66E36"/>
    <w:rsid w:val="4CD04687"/>
    <w:rsid w:val="4CDD2CE0"/>
    <w:rsid w:val="4D0638AB"/>
    <w:rsid w:val="4D09681B"/>
    <w:rsid w:val="4D1A6222"/>
    <w:rsid w:val="4D2B1C5F"/>
    <w:rsid w:val="4D2E64BA"/>
    <w:rsid w:val="4D30066A"/>
    <w:rsid w:val="4D316971"/>
    <w:rsid w:val="4D3B1D0F"/>
    <w:rsid w:val="4D423028"/>
    <w:rsid w:val="4D581632"/>
    <w:rsid w:val="4D692C32"/>
    <w:rsid w:val="4D6E3CCE"/>
    <w:rsid w:val="4D756253"/>
    <w:rsid w:val="4D7901E4"/>
    <w:rsid w:val="4D805757"/>
    <w:rsid w:val="4D8F9C1A"/>
    <w:rsid w:val="4DCB0227"/>
    <w:rsid w:val="4DCD70FC"/>
    <w:rsid w:val="4DCF155E"/>
    <w:rsid w:val="4DD11AEE"/>
    <w:rsid w:val="4DE22B61"/>
    <w:rsid w:val="4DFF326B"/>
    <w:rsid w:val="4E071018"/>
    <w:rsid w:val="4E1B3CC0"/>
    <w:rsid w:val="4E1E35A8"/>
    <w:rsid w:val="4E4A36DE"/>
    <w:rsid w:val="4E4B1237"/>
    <w:rsid w:val="4E5B2918"/>
    <w:rsid w:val="4E685D9D"/>
    <w:rsid w:val="4E6F59C6"/>
    <w:rsid w:val="4E7543E2"/>
    <w:rsid w:val="4E8753E7"/>
    <w:rsid w:val="4E886725"/>
    <w:rsid w:val="4E997F39"/>
    <w:rsid w:val="4EA45038"/>
    <w:rsid w:val="4EA535EA"/>
    <w:rsid w:val="4EAA452F"/>
    <w:rsid w:val="4EAB7555"/>
    <w:rsid w:val="4EB16F4D"/>
    <w:rsid w:val="4EBA5082"/>
    <w:rsid w:val="4ECA642F"/>
    <w:rsid w:val="4ED37A9C"/>
    <w:rsid w:val="4EDE0A69"/>
    <w:rsid w:val="4EE51C26"/>
    <w:rsid w:val="4EF438A7"/>
    <w:rsid w:val="4EF74679"/>
    <w:rsid w:val="4F053AD4"/>
    <w:rsid w:val="4F335967"/>
    <w:rsid w:val="4F4A3B9D"/>
    <w:rsid w:val="4F4B0195"/>
    <w:rsid w:val="4F4B7584"/>
    <w:rsid w:val="4F4F7C97"/>
    <w:rsid w:val="4F586DFE"/>
    <w:rsid w:val="4F5C2A54"/>
    <w:rsid w:val="4F680A80"/>
    <w:rsid w:val="4F7F3425"/>
    <w:rsid w:val="4F864DB1"/>
    <w:rsid w:val="4F890EBD"/>
    <w:rsid w:val="4F951D60"/>
    <w:rsid w:val="4FA220A0"/>
    <w:rsid w:val="4FAB27E4"/>
    <w:rsid w:val="4FAD4336"/>
    <w:rsid w:val="4FE56106"/>
    <w:rsid w:val="4FEA66FB"/>
    <w:rsid w:val="4FFD291D"/>
    <w:rsid w:val="50000326"/>
    <w:rsid w:val="5012456C"/>
    <w:rsid w:val="501B0160"/>
    <w:rsid w:val="5028413A"/>
    <w:rsid w:val="502E0E02"/>
    <w:rsid w:val="5034185C"/>
    <w:rsid w:val="503A201D"/>
    <w:rsid w:val="50662285"/>
    <w:rsid w:val="50935D58"/>
    <w:rsid w:val="509473B7"/>
    <w:rsid w:val="50953AE4"/>
    <w:rsid w:val="50C85002"/>
    <w:rsid w:val="50D25B2F"/>
    <w:rsid w:val="50D3250E"/>
    <w:rsid w:val="50D33AD4"/>
    <w:rsid w:val="50D5115D"/>
    <w:rsid w:val="50D565E3"/>
    <w:rsid w:val="50E60A07"/>
    <w:rsid w:val="50E63B90"/>
    <w:rsid w:val="51102586"/>
    <w:rsid w:val="51197219"/>
    <w:rsid w:val="51251091"/>
    <w:rsid w:val="512B4D4B"/>
    <w:rsid w:val="51351C9B"/>
    <w:rsid w:val="513D3709"/>
    <w:rsid w:val="514750EF"/>
    <w:rsid w:val="5153233A"/>
    <w:rsid w:val="515323AC"/>
    <w:rsid w:val="51551AE1"/>
    <w:rsid w:val="515911D2"/>
    <w:rsid w:val="5159308A"/>
    <w:rsid w:val="515A78BC"/>
    <w:rsid w:val="51636223"/>
    <w:rsid w:val="51665649"/>
    <w:rsid w:val="517462FF"/>
    <w:rsid w:val="518D2F61"/>
    <w:rsid w:val="51996C1B"/>
    <w:rsid w:val="51A56DF6"/>
    <w:rsid w:val="51A806D5"/>
    <w:rsid w:val="51AB46BA"/>
    <w:rsid w:val="51C04F90"/>
    <w:rsid w:val="51C06A54"/>
    <w:rsid w:val="51C07AFD"/>
    <w:rsid w:val="51D254DA"/>
    <w:rsid w:val="51D67559"/>
    <w:rsid w:val="51DF2711"/>
    <w:rsid w:val="51EB7348"/>
    <w:rsid w:val="51F20232"/>
    <w:rsid w:val="52014309"/>
    <w:rsid w:val="520C36C1"/>
    <w:rsid w:val="520E771E"/>
    <w:rsid w:val="52171AFB"/>
    <w:rsid w:val="521D2D48"/>
    <w:rsid w:val="522D4979"/>
    <w:rsid w:val="523456B6"/>
    <w:rsid w:val="5235465D"/>
    <w:rsid w:val="52367473"/>
    <w:rsid w:val="523E15D7"/>
    <w:rsid w:val="5249313E"/>
    <w:rsid w:val="524E795E"/>
    <w:rsid w:val="52527419"/>
    <w:rsid w:val="5256794A"/>
    <w:rsid w:val="525A4669"/>
    <w:rsid w:val="525B22C4"/>
    <w:rsid w:val="526018C0"/>
    <w:rsid w:val="52841F28"/>
    <w:rsid w:val="52877DD4"/>
    <w:rsid w:val="52AD06F5"/>
    <w:rsid w:val="52B11EE5"/>
    <w:rsid w:val="52BE0F28"/>
    <w:rsid w:val="52C448B5"/>
    <w:rsid w:val="52D32108"/>
    <w:rsid w:val="52D63022"/>
    <w:rsid w:val="52D6356D"/>
    <w:rsid w:val="52F537F4"/>
    <w:rsid w:val="52F77D67"/>
    <w:rsid w:val="52F836E3"/>
    <w:rsid w:val="5329427D"/>
    <w:rsid w:val="532F7394"/>
    <w:rsid w:val="53385FAE"/>
    <w:rsid w:val="53482D1D"/>
    <w:rsid w:val="53493C0A"/>
    <w:rsid w:val="534E489F"/>
    <w:rsid w:val="535F4EB7"/>
    <w:rsid w:val="53667317"/>
    <w:rsid w:val="536E730E"/>
    <w:rsid w:val="537C2BD7"/>
    <w:rsid w:val="537C75FA"/>
    <w:rsid w:val="5382777D"/>
    <w:rsid w:val="53971E29"/>
    <w:rsid w:val="539D713D"/>
    <w:rsid w:val="53A17F4B"/>
    <w:rsid w:val="53A35F99"/>
    <w:rsid w:val="53D0673A"/>
    <w:rsid w:val="53E46B03"/>
    <w:rsid w:val="53E6334F"/>
    <w:rsid w:val="53FB17FA"/>
    <w:rsid w:val="54016E61"/>
    <w:rsid w:val="54183297"/>
    <w:rsid w:val="541862F0"/>
    <w:rsid w:val="543D59C1"/>
    <w:rsid w:val="545D58DB"/>
    <w:rsid w:val="54691449"/>
    <w:rsid w:val="546A6559"/>
    <w:rsid w:val="546ED35A"/>
    <w:rsid w:val="546F0B91"/>
    <w:rsid w:val="549C0574"/>
    <w:rsid w:val="54B70A61"/>
    <w:rsid w:val="54B779B5"/>
    <w:rsid w:val="54D25371"/>
    <w:rsid w:val="54E03081"/>
    <w:rsid w:val="54EA3421"/>
    <w:rsid w:val="54EC1FC6"/>
    <w:rsid w:val="54EC416F"/>
    <w:rsid w:val="550939D7"/>
    <w:rsid w:val="5516733A"/>
    <w:rsid w:val="552C68B9"/>
    <w:rsid w:val="55335647"/>
    <w:rsid w:val="5538682D"/>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E2C43"/>
    <w:rsid w:val="573F549A"/>
    <w:rsid w:val="57553D3F"/>
    <w:rsid w:val="57685489"/>
    <w:rsid w:val="57703672"/>
    <w:rsid w:val="5773534B"/>
    <w:rsid w:val="57780B7F"/>
    <w:rsid w:val="57856672"/>
    <w:rsid w:val="578C265D"/>
    <w:rsid w:val="578D09C0"/>
    <w:rsid w:val="579D25BA"/>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B7C81"/>
    <w:rsid w:val="581D6018"/>
    <w:rsid w:val="581E561D"/>
    <w:rsid w:val="58260A64"/>
    <w:rsid w:val="583E1D4A"/>
    <w:rsid w:val="583F1055"/>
    <w:rsid w:val="58441188"/>
    <w:rsid w:val="58477459"/>
    <w:rsid w:val="58494A10"/>
    <w:rsid w:val="584B2FF5"/>
    <w:rsid w:val="585A018E"/>
    <w:rsid w:val="585B0937"/>
    <w:rsid w:val="585E0241"/>
    <w:rsid w:val="58744829"/>
    <w:rsid w:val="587673AC"/>
    <w:rsid w:val="588562E3"/>
    <w:rsid w:val="5898522B"/>
    <w:rsid w:val="58A045EF"/>
    <w:rsid w:val="58A9756E"/>
    <w:rsid w:val="58AE0C9D"/>
    <w:rsid w:val="58BD3A38"/>
    <w:rsid w:val="58C75252"/>
    <w:rsid w:val="58CF2717"/>
    <w:rsid w:val="58DA3851"/>
    <w:rsid w:val="58DC744B"/>
    <w:rsid w:val="58E56AC6"/>
    <w:rsid w:val="58F609E4"/>
    <w:rsid w:val="58FB67BC"/>
    <w:rsid w:val="590C30E2"/>
    <w:rsid w:val="591539B6"/>
    <w:rsid w:val="592452D1"/>
    <w:rsid w:val="5930657D"/>
    <w:rsid w:val="59327DEB"/>
    <w:rsid w:val="59392E42"/>
    <w:rsid w:val="593B5B55"/>
    <w:rsid w:val="593D19BE"/>
    <w:rsid w:val="595B7E54"/>
    <w:rsid w:val="5979125D"/>
    <w:rsid w:val="597D137C"/>
    <w:rsid w:val="599D01FE"/>
    <w:rsid w:val="59AF4353"/>
    <w:rsid w:val="59CB134C"/>
    <w:rsid w:val="59D13042"/>
    <w:rsid w:val="59EA652F"/>
    <w:rsid w:val="59F54B3E"/>
    <w:rsid w:val="5A0532DC"/>
    <w:rsid w:val="5A3F6176"/>
    <w:rsid w:val="5A5419CE"/>
    <w:rsid w:val="5A563E1A"/>
    <w:rsid w:val="5A587AE0"/>
    <w:rsid w:val="5A5A38F1"/>
    <w:rsid w:val="5A617BFA"/>
    <w:rsid w:val="5A737E20"/>
    <w:rsid w:val="5A7629B7"/>
    <w:rsid w:val="5A83298E"/>
    <w:rsid w:val="5A84337E"/>
    <w:rsid w:val="5A891BB6"/>
    <w:rsid w:val="5A8D03AD"/>
    <w:rsid w:val="5AA34E07"/>
    <w:rsid w:val="5AC30C90"/>
    <w:rsid w:val="5AD937F3"/>
    <w:rsid w:val="5ADB5FCA"/>
    <w:rsid w:val="5ADD40A9"/>
    <w:rsid w:val="5ADF3244"/>
    <w:rsid w:val="5AE30663"/>
    <w:rsid w:val="5AE36AFC"/>
    <w:rsid w:val="5AE47198"/>
    <w:rsid w:val="5AEF2828"/>
    <w:rsid w:val="5AEF3CA7"/>
    <w:rsid w:val="5AFB0199"/>
    <w:rsid w:val="5B0001EA"/>
    <w:rsid w:val="5B0A5B2F"/>
    <w:rsid w:val="5B2A2098"/>
    <w:rsid w:val="5B2B23CC"/>
    <w:rsid w:val="5B2D4307"/>
    <w:rsid w:val="5B5041D6"/>
    <w:rsid w:val="5B554FD4"/>
    <w:rsid w:val="5B665085"/>
    <w:rsid w:val="5B6B25D0"/>
    <w:rsid w:val="5B6B35C7"/>
    <w:rsid w:val="5B6B4549"/>
    <w:rsid w:val="5B7FCD07"/>
    <w:rsid w:val="5B974B3D"/>
    <w:rsid w:val="5BAD031C"/>
    <w:rsid w:val="5BB108D5"/>
    <w:rsid w:val="5BB36D0A"/>
    <w:rsid w:val="5BBF2E53"/>
    <w:rsid w:val="5BD03C5A"/>
    <w:rsid w:val="5BD33975"/>
    <w:rsid w:val="5BDA775F"/>
    <w:rsid w:val="5BEA7806"/>
    <w:rsid w:val="5BED1355"/>
    <w:rsid w:val="5BFF7753"/>
    <w:rsid w:val="5C03117C"/>
    <w:rsid w:val="5C035D5C"/>
    <w:rsid w:val="5C054372"/>
    <w:rsid w:val="5C0B1081"/>
    <w:rsid w:val="5C0E4E7A"/>
    <w:rsid w:val="5C2E76F3"/>
    <w:rsid w:val="5C531DAC"/>
    <w:rsid w:val="5C5F19A2"/>
    <w:rsid w:val="5C61685C"/>
    <w:rsid w:val="5C6742FC"/>
    <w:rsid w:val="5C727278"/>
    <w:rsid w:val="5C7870C9"/>
    <w:rsid w:val="5C793AF2"/>
    <w:rsid w:val="5C826956"/>
    <w:rsid w:val="5C885120"/>
    <w:rsid w:val="5C8D094F"/>
    <w:rsid w:val="5C926A3F"/>
    <w:rsid w:val="5CAA3CDC"/>
    <w:rsid w:val="5CBC29DE"/>
    <w:rsid w:val="5CC14996"/>
    <w:rsid w:val="5CC5395D"/>
    <w:rsid w:val="5CCB521B"/>
    <w:rsid w:val="5CD10037"/>
    <w:rsid w:val="5CDB13F1"/>
    <w:rsid w:val="5CE42BFC"/>
    <w:rsid w:val="5CF06FCA"/>
    <w:rsid w:val="5D067562"/>
    <w:rsid w:val="5D08718A"/>
    <w:rsid w:val="5D0D6ED7"/>
    <w:rsid w:val="5D33075C"/>
    <w:rsid w:val="5D38401E"/>
    <w:rsid w:val="5D42131E"/>
    <w:rsid w:val="5D4B0C7E"/>
    <w:rsid w:val="5D570F8E"/>
    <w:rsid w:val="5D5853A3"/>
    <w:rsid w:val="5D65772A"/>
    <w:rsid w:val="5D787E7B"/>
    <w:rsid w:val="5D7FCCD2"/>
    <w:rsid w:val="5DA30012"/>
    <w:rsid w:val="5DAB65A4"/>
    <w:rsid w:val="5DC100DE"/>
    <w:rsid w:val="5DC93120"/>
    <w:rsid w:val="5DCA066E"/>
    <w:rsid w:val="5DCD0BA7"/>
    <w:rsid w:val="5DDA6F3B"/>
    <w:rsid w:val="5DDB5F91"/>
    <w:rsid w:val="5DE924F9"/>
    <w:rsid w:val="5E2725A4"/>
    <w:rsid w:val="5E282729"/>
    <w:rsid w:val="5E2C3252"/>
    <w:rsid w:val="5E39000D"/>
    <w:rsid w:val="5E4F6694"/>
    <w:rsid w:val="5E5007AD"/>
    <w:rsid w:val="5E5126D4"/>
    <w:rsid w:val="5E575A00"/>
    <w:rsid w:val="5E5B33A6"/>
    <w:rsid w:val="5E691073"/>
    <w:rsid w:val="5E9C33A1"/>
    <w:rsid w:val="5EAA0A21"/>
    <w:rsid w:val="5EB822A5"/>
    <w:rsid w:val="5EB838A8"/>
    <w:rsid w:val="5EBD179A"/>
    <w:rsid w:val="5ECC0323"/>
    <w:rsid w:val="5EEC29C3"/>
    <w:rsid w:val="5EF17B2A"/>
    <w:rsid w:val="5EF527AD"/>
    <w:rsid w:val="5F0241A8"/>
    <w:rsid w:val="5F031737"/>
    <w:rsid w:val="5F0A4FB7"/>
    <w:rsid w:val="5F154310"/>
    <w:rsid w:val="5F1A1471"/>
    <w:rsid w:val="5F1B570F"/>
    <w:rsid w:val="5F30296C"/>
    <w:rsid w:val="5F4013BA"/>
    <w:rsid w:val="5F515252"/>
    <w:rsid w:val="5F5B2A1E"/>
    <w:rsid w:val="5F7FFBC6"/>
    <w:rsid w:val="5F8536C8"/>
    <w:rsid w:val="5F882D2B"/>
    <w:rsid w:val="5FC91000"/>
    <w:rsid w:val="5FD025CB"/>
    <w:rsid w:val="5FD41E39"/>
    <w:rsid w:val="5FD57769"/>
    <w:rsid w:val="5FDC496F"/>
    <w:rsid w:val="5FDE38C7"/>
    <w:rsid w:val="5FE74089"/>
    <w:rsid w:val="5FEA0E05"/>
    <w:rsid w:val="5FEA1BFF"/>
    <w:rsid w:val="5FFA2F3B"/>
    <w:rsid w:val="5FFD1846"/>
    <w:rsid w:val="60053545"/>
    <w:rsid w:val="60070501"/>
    <w:rsid w:val="600D47EB"/>
    <w:rsid w:val="601C0973"/>
    <w:rsid w:val="60240F4A"/>
    <w:rsid w:val="602A2F0C"/>
    <w:rsid w:val="602F3018"/>
    <w:rsid w:val="60303E0D"/>
    <w:rsid w:val="604F3526"/>
    <w:rsid w:val="605E48C7"/>
    <w:rsid w:val="606942EB"/>
    <w:rsid w:val="606A7181"/>
    <w:rsid w:val="60766C8E"/>
    <w:rsid w:val="60826B55"/>
    <w:rsid w:val="6084197F"/>
    <w:rsid w:val="608D0DC2"/>
    <w:rsid w:val="60953ED5"/>
    <w:rsid w:val="60973C3F"/>
    <w:rsid w:val="60AD0D45"/>
    <w:rsid w:val="60CF4513"/>
    <w:rsid w:val="60D87E5D"/>
    <w:rsid w:val="60F668B8"/>
    <w:rsid w:val="60FC46B7"/>
    <w:rsid w:val="61002168"/>
    <w:rsid w:val="611324D3"/>
    <w:rsid w:val="611565D4"/>
    <w:rsid w:val="61172DD5"/>
    <w:rsid w:val="6138206E"/>
    <w:rsid w:val="616270EF"/>
    <w:rsid w:val="61645F34"/>
    <w:rsid w:val="61706EDF"/>
    <w:rsid w:val="61770AB3"/>
    <w:rsid w:val="61825C14"/>
    <w:rsid w:val="619B1498"/>
    <w:rsid w:val="619B3BCB"/>
    <w:rsid w:val="61C15D1E"/>
    <w:rsid w:val="61C5760F"/>
    <w:rsid w:val="61CB09F2"/>
    <w:rsid w:val="61CF6016"/>
    <w:rsid w:val="61EF027C"/>
    <w:rsid w:val="61F34165"/>
    <w:rsid w:val="62053AEE"/>
    <w:rsid w:val="62225000"/>
    <w:rsid w:val="62426D4A"/>
    <w:rsid w:val="62620910"/>
    <w:rsid w:val="62842199"/>
    <w:rsid w:val="62904A5E"/>
    <w:rsid w:val="62B6346C"/>
    <w:rsid w:val="62C4291E"/>
    <w:rsid w:val="62C65CEC"/>
    <w:rsid w:val="62EF18ED"/>
    <w:rsid w:val="62F27D6D"/>
    <w:rsid w:val="62FA271D"/>
    <w:rsid w:val="631814C9"/>
    <w:rsid w:val="632F7DE7"/>
    <w:rsid w:val="633A048A"/>
    <w:rsid w:val="6347606A"/>
    <w:rsid w:val="635B012E"/>
    <w:rsid w:val="635E620F"/>
    <w:rsid w:val="6368049F"/>
    <w:rsid w:val="636A3EC3"/>
    <w:rsid w:val="636A6F4B"/>
    <w:rsid w:val="63793000"/>
    <w:rsid w:val="637949DA"/>
    <w:rsid w:val="637D0359"/>
    <w:rsid w:val="63A94A31"/>
    <w:rsid w:val="63AC1EAC"/>
    <w:rsid w:val="63B438A9"/>
    <w:rsid w:val="63C90B49"/>
    <w:rsid w:val="63C910E5"/>
    <w:rsid w:val="63CA7446"/>
    <w:rsid w:val="63CC75B9"/>
    <w:rsid w:val="63D53651"/>
    <w:rsid w:val="63DA20B4"/>
    <w:rsid w:val="63E30C41"/>
    <w:rsid w:val="63E7550D"/>
    <w:rsid w:val="63EC6787"/>
    <w:rsid w:val="63F801D3"/>
    <w:rsid w:val="63FE1629"/>
    <w:rsid w:val="640673D9"/>
    <w:rsid w:val="641E6EE2"/>
    <w:rsid w:val="64275148"/>
    <w:rsid w:val="64326B19"/>
    <w:rsid w:val="644E527B"/>
    <w:rsid w:val="645214CF"/>
    <w:rsid w:val="6487530B"/>
    <w:rsid w:val="64981383"/>
    <w:rsid w:val="649A7D9E"/>
    <w:rsid w:val="64AD71B7"/>
    <w:rsid w:val="64BA39D7"/>
    <w:rsid w:val="64CF3CAA"/>
    <w:rsid w:val="64D96235"/>
    <w:rsid w:val="64DA01CC"/>
    <w:rsid w:val="64E35718"/>
    <w:rsid w:val="64F52D15"/>
    <w:rsid w:val="650F5FAC"/>
    <w:rsid w:val="65173C9C"/>
    <w:rsid w:val="65185303"/>
    <w:rsid w:val="652D2807"/>
    <w:rsid w:val="65316185"/>
    <w:rsid w:val="6534392E"/>
    <w:rsid w:val="654A7E8E"/>
    <w:rsid w:val="654F6FF9"/>
    <w:rsid w:val="65510CB7"/>
    <w:rsid w:val="656033A2"/>
    <w:rsid w:val="656A5B61"/>
    <w:rsid w:val="6570041E"/>
    <w:rsid w:val="657C3E63"/>
    <w:rsid w:val="65815AA0"/>
    <w:rsid w:val="65867025"/>
    <w:rsid w:val="6588067C"/>
    <w:rsid w:val="658855D4"/>
    <w:rsid w:val="658867B3"/>
    <w:rsid w:val="658E4758"/>
    <w:rsid w:val="659B42A0"/>
    <w:rsid w:val="65A8095A"/>
    <w:rsid w:val="65C92934"/>
    <w:rsid w:val="65CF32C6"/>
    <w:rsid w:val="65F1238A"/>
    <w:rsid w:val="65F35604"/>
    <w:rsid w:val="65F84BEE"/>
    <w:rsid w:val="65FF3198"/>
    <w:rsid w:val="661469FA"/>
    <w:rsid w:val="662A76E1"/>
    <w:rsid w:val="663B062F"/>
    <w:rsid w:val="663D14D0"/>
    <w:rsid w:val="663E4EF3"/>
    <w:rsid w:val="6641355B"/>
    <w:rsid w:val="66471F83"/>
    <w:rsid w:val="665A01D2"/>
    <w:rsid w:val="6662199C"/>
    <w:rsid w:val="6671203D"/>
    <w:rsid w:val="66811BF5"/>
    <w:rsid w:val="6688533A"/>
    <w:rsid w:val="669C65CD"/>
    <w:rsid w:val="66A6354E"/>
    <w:rsid w:val="66BB442F"/>
    <w:rsid w:val="66D02521"/>
    <w:rsid w:val="67097AAB"/>
    <w:rsid w:val="670C3488"/>
    <w:rsid w:val="67114103"/>
    <w:rsid w:val="671D3E89"/>
    <w:rsid w:val="672E09CF"/>
    <w:rsid w:val="67365DB5"/>
    <w:rsid w:val="67740A9E"/>
    <w:rsid w:val="677507BF"/>
    <w:rsid w:val="677862CF"/>
    <w:rsid w:val="6792126C"/>
    <w:rsid w:val="679B4364"/>
    <w:rsid w:val="67A97CFB"/>
    <w:rsid w:val="67B25068"/>
    <w:rsid w:val="67CF5A1D"/>
    <w:rsid w:val="67D96FA6"/>
    <w:rsid w:val="67DA135C"/>
    <w:rsid w:val="67E341E0"/>
    <w:rsid w:val="67EB7F24"/>
    <w:rsid w:val="67EC006A"/>
    <w:rsid w:val="67EE5AD5"/>
    <w:rsid w:val="680328B7"/>
    <w:rsid w:val="6808392D"/>
    <w:rsid w:val="680D5EE5"/>
    <w:rsid w:val="68107593"/>
    <w:rsid w:val="68457F3A"/>
    <w:rsid w:val="684D1BE5"/>
    <w:rsid w:val="685527BF"/>
    <w:rsid w:val="685844FA"/>
    <w:rsid w:val="68651677"/>
    <w:rsid w:val="686F261C"/>
    <w:rsid w:val="687E3602"/>
    <w:rsid w:val="688D5BC0"/>
    <w:rsid w:val="688F77C3"/>
    <w:rsid w:val="689959E8"/>
    <w:rsid w:val="68A26FEB"/>
    <w:rsid w:val="68A60086"/>
    <w:rsid w:val="68A9751A"/>
    <w:rsid w:val="68AC366C"/>
    <w:rsid w:val="68B329E9"/>
    <w:rsid w:val="68DF17C5"/>
    <w:rsid w:val="68E37939"/>
    <w:rsid w:val="68F176DF"/>
    <w:rsid w:val="69030906"/>
    <w:rsid w:val="692C4F44"/>
    <w:rsid w:val="69326C25"/>
    <w:rsid w:val="6969253C"/>
    <w:rsid w:val="69726A94"/>
    <w:rsid w:val="697D4944"/>
    <w:rsid w:val="697E2DEE"/>
    <w:rsid w:val="69937C14"/>
    <w:rsid w:val="699B3DF9"/>
    <w:rsid w:val="69C503F0"/>
    <w:rsid w:val="69CD45A5"/>
    <w:rsid w:val="69D53E55"/>
    <w:rsid w:val="69E1523E"/>
    <w:rsid w:val="69ED1840"/>
    <w:rsid w:val="6A015401"/>
    <w:rsid w:val="6A1B3F2D"/>
    <w:rsid w:val="6A2364A7"/>
    <w:rsid w:val="6A342C96"/>
    <w:rsid w:val="6A377133"/>
    <w:rsid w:val="6A3802AF"/>
    <w:rsid w:val="6A382142"/>
    <w:rsid w:val="6A4E7EC9"/>
    <w:rsid w:val="6A4F60C8"/>
    <w:rsid w:val="6A650E8F"/>
    <w:rsid w:val="6A735CFE"/>
    <w:rsid w:val="6A7F0672"/>
    <w:rsid w:val="6A8243F3"/>
    <w:rsid w:val="6A8608F4"/>
    <w:rsid w:val="6A953349"/>
    <w:rsid w:val="6A983A80"/>
    <w:rsid w:val="6AA25847"/>
    <w:rsid w:val="6AAC038F"/>
    <w:rsid w:val="6AAE50B7"/>
    <w:rsid w:val="6AB32F8A"/>
    <w:rsid w:val="6AC84CD8"/>
    <w:rsid w:val="6ADE4B51"/>
    <w:rsid w:val="6AEB550E"/>
    <w:rsid w:val="6AF227FD"/>
    <w:rsid w:val="6AF47AD0"/>
    <w:rsid w:val="6B0B7792"/>
    <w:rsid w:val="6B18387B"/>
    <w:rsid w:val="6B1D25FC"/>
    <w:rsid w:val="6B213C7A"/>
    <w:rsid w:val="6B2726B5"/>
    <w:rsid w:val="6B2D19C3"/>
    <w:rsid w:val="6B364E24"/>
    <w:rsid w:val="6B3D4519"/>
    <w:rsid w:val="6B4943C4"/>
    <w:rsid w:val="6B5760AD"/>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126E2A"/>
    <w:rsid w:val="6C1C5513"/>
    <w:rsid w:val="6C1E6B14"/>
    <w:rsid w:val="6C315359"/>
    <w:rsid w:val="6C511D45"/>
    <w:rsid w:val="6C703958"/>
    <w:rsid w:val="6C89469E"/>
    <w:rsid w:val="6C93673A"/>
    <w:rsid w:val="6C9559EA"/>
    <w:rsid w:val="6C991B9A"/>
    <w:rsid w:val="6CA9616E"/>
    <w:rsid w:val="6CB32A52"/>
    <w:rsid w:val="6CBB305B"/>
    <w:rsid w:val="6CC206BF"/>
    <w:rsid w:val="6CC30C66"/>
    <w:rsid w:val="6CDD0CB1"/>
    <w:rsid w:val="6CE419F3"/>
    <w:rsid w:val="6CE93DEC"/>
    <w:rsid w:val="6D182349"/>
    <w:rsid w:val="6D225A73"/>
    <w:rsid w:val="6D2303A1"/>
    <w:rsid w:val="6D256926"/>
    <w:rsid w:val="6D371F41"/>
    <w:rsid w:val="6D4B705D"/>
    <w:rsid w:val="6D711A3E"/>
    <w:rsid w:val="6D8D0D90"/>
    <w:rsid w:val="6D96046C"/>
    <w:rsid w:val="6DC91D5B"/>
    <w:rsid w:val="6DD50561"/>
    <w:rsid w:val="6DD95830"/>
    <w:rsid w:val="6DF021A3"/>
    <w:rsid w:val="6E124286"/>
    <w:rsid w:val="6E134309"/>
    <w:rsid w:val="6E1A1F69"/>
    <w:rsid w:val="6E212E5F"/>
    <w:rsid w:val="6E22773B"/>
    <w:rsid w:val="6E3B5323"/>
    <w:rsid w:val="6E4753F3"/>
    <w:rsid w:val="6E4F38F8"/>
    <w:rsid w:val="6E5074F7"/>
    <w:rsid w:val="6E657BB2"/>
    <w:rsid w:val="6E6D6A35"/>
    <w:rsid w:val="6E6E43B8"/>
    <w:rsid w:val="6E790AB7"/>
    <w:rsid w:val="6E793023"/>
    <w:rsid w:val="6E7F7AFB"/>
    <w:rsid w:val="6E927F74"/>
    <w:rsid w:val="6EB770BA"/>
    <w:rsid w:val="6EB96505"/>
    <w:rsid w:val="6EBF3855"/>
    <w:rsid w:val="6EC42333"/>
    <w:rsid w:val="6EC61E12"/>
    <w:rsid w:val="6ED43ACF"/>
    <w:rsid w:val="6EDF1CCE"/>
    <w:rsid w:val="6EE176C3"/>
    <w:rsid w:val="6EE571FE"/>
    <w:rsid w:val="6EE87CC2"/>
    <w:rsid w:val="6EEA71F0"/>
    <w:rsid w:val="6EEFCD1E"/>
    <w:rsid w:val="6F0503CC"/>
    <w:rsid w:val="6F2B434D"/>
    <w:rsid w:val="6F2C5B46"/>
    <w:rsid w:val="6F2D78EE"/>
    <w:rsid w:val="6F4947DA"/>
    <w:rsid w:val="6F4E71A8"/>
    <w:rsid w:val="6F4F03F9"/>
    <w:rsid w:val="6F636B7C"/>
    <w:rsid w:val="6F70301C"/>
    <w:rsid w:val="6F781F55"/>
    <w:rsid w:val="6F7C562E"/>
    <w:rsid w:val="6F864ACB"/>
    <w:rsid w:val="6F9C0EF2"/>
    <w:rsid w:val="6FB93CAC"/>
    <w:rsid w:val="6FB95193"/>
    <w:rsid w:val="6FDC743E"/>
    <w:rsid w:val="6FDF9FA3"/>
    <w:rsid w:val="6FE60D34"/>
    <w:rsid w:val="6FEB01FA"/>
    <w:rsid w:val="6FEB6C08"/>
    <w:rsid w:val="6FEE7F40"/>
    <w:rsid w:val="70002C17"/>
    <w:rsid w:val="70015EAC"/>
    <w:rsid w:val="70081662"/>
    <w:rsid w:val="70093C44"/>
    <w:rsid w:val="7013025E"/>
    <w:rsid w:val="70150176"/>
    <w:rsid w:val="70557FA5"/>
    <w:rsid w:val="70640863"/>
    <w:rsid w:val="706A4129"/>
    <w:rsid w:val="70747A02"/>
    <w:rsid w:val="7076111A"/>
    <w:rsid w:val="70B73E00"/>
    <w:rsid w:val="70B774D1"/>
    <w:rsid w:val="70BD4A7F"/>
    <w:rsid w:val="70BE1584"/>
    <w:rsid w:val="70D57399"/>
    <w:rsid w:val="70F03026"/>
    <w:rsid w:val="70F2796B"/>
    <w:rsid w:val="70FF5B11"/>
    <w:rsid w:val="710F1765"/>
    <w:rsid w:val="71102404"/>
    <w:rsid w:val="711A1C30"/>
    <w:rsid w:val="711D088F"/>
    <w:rsid w:val="711E6ABB"/>
    <w:rsid w:val="71400456"/>
    <w:rsid w:val="714C2EBE"/>
    <w:rsid w:val="715776FB"/>
    <w:rsid w:val="715F503F"/>
    <w:rsid w:val="71611C06"/>
    <w:rsid w:val="71636191"/>
    <w:rsid w:val="716518A2"/>
    <w:rsid w:val="71686453"/>
    <w:rsid w:val="716F74C0"/>
    <w:rsid w:val="7172428F"/>
    <w:rsid w:val="717C5031"/>
    <w:rsid w:val="71A90A31"/>
    <w:rsid w:val="71A976A3"/>
    <w:rsid w:val="71B83D73"/>
    <w:rsid w:val="71C94377"/>
    <w:rsid w:val="71D0430D"/>
    <w:rsid w:val="71D6274F"/>
    <w:rsid w:val="71DB0956"/>
    <w:rsid w:val="71EE39DC"/>
    <w:rsid w:val="72033A39"/>
    <w:rsid w:val="722E04E1"/>
    <w:rsid w:val="7244417E"/>
    <w:rsid w:val="725D34F6"/>
    <w:rsid w:val="726E4C9E"/>
    <w:rsid w:val="7289516B"/>
    <w:rsid w:val="728978F6"/>
    <w:rsid w:val="729310B6"/>
    <w:rsid w:val="72A00B85"/>
    <w:rsid w:val="72A2006A"/>
    <w:rsid w:val="72A71A1A"/>
    <w:rsid w:val="72B64F42"/>
    <w:rsid w:val="72BE4047"/>
    <w:rsid w:val="72C80096"/>
    <w:rsid w:val="72CD0489"/>
    <w:rsid w:val="72D37E89"/>
    <w:rsid w:val="72DB349B"/>
    <w:rsid w:val="72DC1B9B"/>
    <w:rsid w:val="72E10CF1"/>
    <w:rsid w:val="72E16E78"/>
    <w:rsid w:val="72EA15F7"/>
    <w:rsid w:val="72F347A8"/>
    <w:rsid w:val="72F34D99"/>
    <w:rsid w:val="73062CBE"/>
    <w:rsid w:val="730D5EFB"/>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45BD7"/>
    <w:rsid w:val="73794A20"/>
    <w:rsid w:val="737A04C3"/>
    <w:rsid w:val="738A6877"/>
    <w:rsid w:val="739C4779"/>
    <w:rsid w:val="73A2442B"/>
    <w:rsid w:val="73AA6208"/>
    <w:rsid w:val="73C832AF"/>
    <w:rsid w:val="73E52982"/>
    <w:rsid w:val="73FA0625"/>
    <w:rsid w:val="74024A09"/>
    <w:rsid w:val="74212069"/>
    <w:rsid w:val="7422148A"/>
    <w:rsid w:val="744311FB"/>
    <w:rsid w:val="74472CC7"/>
    <w:rsid w:val="74484539"/>
    <w:rsid w:val="745E3843"/>
    <w:rsid w:val="748330DD"/>
    <w:rsid w:val="7485747A"/>
    <w:rsid w:val="748D3B91"/>
    <w:rsid w:val="74963991"/>
    <w:rsid w:val="74B71854"/>
    <w:rsid w:val="74CF1CD2"/>
    <w:rsid w:val="74FD176E"/>
    <w:rsid w:val="750038DA"/>
    <w:rsid w:val="75132281"/>
    <w:rsid w:val="753D0D28"/>
    <w:rsid w:val="754564C8"/>
    <w:rsid w:val="754C1C51"/>
    <w:rsid w:val="755F4608"/>
    <w:rsid w:val="7560118D"/>
    <w:rsid w:val="7564660F"/>
    <w:rsid w:val="7571106C"/>
    <w:rsid w:val="757918F4"/>
    <w:rsid w:val="757F1965"/>
    <w:rsid w:val="7585185D"/>
    <w:rsid w:val="75877406"/>
    <w:rsid w:val="75886342"/>
    <w:rsid w:val="758A779D"/>
    <w:rsid w:val="758E7458"/>
    <w:rsid w:val="75952827"/>
    <w:rsid w:val="75B9274E"/>
    <w:rsid w:val="75BF78C4"/>
    <w:rsid w:val="75C92E89"/>
    <w:rsid w:val="75F83FB4"/>
    <w:rsid w:val="75F9318E"/>
    <w:rsid w:val="75FC2E47"/>
    <w:rsid w:val="760E47B2"/>
    <w:rsid w:val="76112877"/>
    <w:rsid w:val="7631245D"/>
    <w:rsid w:val="76332C59"/>
    <w:rsid w:val="764D4D66"/>
    <w:rsid w:val="76595CC4"/>
    <w:rsid w:val="76631090"/>
    <w:rsid w:val="76703988"/>
    <w:rsid w:val="7672217C"/>
    <w:rsid w:val="767C2E9F"/>
    <w:rsid w:val="768749C5"/>
    <w:rsid w:val="76A12DC3"/>
    <w:rsid w:val="76A85022"/>
    <w:rsid w:val="76C64E50"/>
    <w:rsid w:val="76CE1124"/>
    <w:rsid w:val="76D15B17"/>
    <w:rsid w:val="77031533"/>
    <w:rsid w:val="77186B1E"/>
    <w:rsid w:val="774F3A20"/>
    <w:rsid w:val="77645C7D"/>
    <w:rsid w:val="77655D90"/>
    <w:rsid w:val="777439C1"/>
    <w:rsid w:val="777F7099"/>
    <w:rsid w:val="778B1158"/>
    <w:rsid w:val="77961505"/>
    <w:rsid w:val="779B1EE1"/>
    <w:rsid w:val="77B15DF4"/>
    <w:rsid w:val="77B856B5"/>
    <w:rsid w:val="77BF359C"/>
    <w:rsid w:val="77C24F73"/>
    <w:rsid w:val="77E36DBE"/>
    <w:rsid w:val="77F7E119"/>
    <w:rsid w:val="780459E4"/>
    <w:rsid w:val="78076895"/>
    <w:rsid w:val="78091695"/>
    <w:rsid w:val="78151AE7"/>
    <w:rsid w:val="781D0ABF"/>
    <w:rsid w:val="782B5948"/>
    <w:rsid w:val="785061EE"/>
    <w:rsid w:val="78602ABF"/>
    <w:rsid w:val="78630A94"/>
    <w:rsid w:val="786357CB"/>
    <w:rsid w:val="78645746"/>
    <w:rsid w:val="78665FE4"/>
    <w:rsid w:val="786E0FFE"/>
    <w:rsid w:val="78964DE4"/>
    <w:rsid w:val="78A1379D"/>
    <w:rsid w:val="78A93133"/>
    <w:rsid w:val="78B32107"/>
    <w:rsid w:val="78B4011E"/>
    <w:rsid w:val="78C4780A"/>
    <w:rsid w:val="78D02FB6"/>
    <w:rsid w:val="78D31105"/>
    <w:rsid w:val="78E43768"/>
    <w:rsid w:val="78F1518D"/>
    <w:rsid w:val="78F75B24"/>
    <w:rsid w:val="78FD3867"/>
    <w:rsid w:val="791F4E49"/>
    <w:rsid w:val="79214FA6"/>
    <w:rsid w:val="79367FB8"/>
    <w:rsid w:val="79392A29"/>
    <w:rsid w:val="794A2140"/>
    <w:rsid w:val="79583AEC"/>
    <w:rsid w:val="795C7162"/>
    <w:rsid w:val="79740A63"/>
    <w:rsid w:val="797812D7"/>
    <w:rsid w:val="79830878"/>
    <w:rsid w:val="799D7539"/>
    <w:rsid w:val="799F72C4"/>
    <w:rsid w:val="79A20557"/>
    <w:rsid w:val="79A55EEE"/>
    <w:rsid w:val="79AB7A8E"/>
    <w:rsid w:val="79AC0207"/>
    <w:rsid w:val="79AD091A"/>
    <w:rsid w:val="79BE7842"/>
    <w:rsid w:val="79CB5BC6"/>
    <w:rsid w:val="79D0709A"/>
    <w:rsid w:val="79E554A8"/>
    <w:rsid w:val="79FD1C9F"/>
    <w:rsid w:val="79FD492D"/>
    <w:rsid w:val="7A040784"/>
    <w:rsid w:val="7A047EAF"/>
    <w:rsid w:val="7A087CF7"/>
    <w:rsid w:val="7A13564A"/>
    <w:rsid w:val="7A27182B"/>
    <w:rsid w:val="7A302626"/>
    <w:rsid w:val="7A303322"/>
    <w:rsid w:val="7A3A14DD"/>
    <w:rsid w:val="7A4C2F0F"/>
    <w:rsid w:val="7A62380B"/>
    <w:rsid w:val="7A690008"/>
    <w:rsid w:val="7A6B7DC7"/>
    <w:rsid w:val="7A6E3AE7"/>
    <w:rsid w:val="7A7F6A39"/>
    <w:rsid w:val="7A820227"/>
    <w:rsid w:val="7A9A2995"/>
    <w:rsid w:val="7A9E37B9"/>
    <w:rsid w:val="7AA85A57"/>
    <w:rsid w:val="7AA97571"/>
    <w:rsid w:val="7ABB1198"/>
    <w:rsid w:val="7AD1328F"/>
    <w:rsid w:val="7ADC3AA4"/>
    <w:rsid w:val="7AF26D81"/>
    <w:rsid w:val="7AF26E1B"/>
    <w:rsid w:val="7AF464E6"/>
    <w:rsid w:val="7AF6549D"/>
    <w:rsid w:val="7B014170"/>
    <w:rsid w:val="7B134611"/>
    <w:rsid w:val="7B187563"/>
    <w:rsid w:val="7B1A61F8"/>
    <w:rsid w:val="7B1F3EC7"/>
    <w:rsid w:val="7B2F16D6"/>
    <w:rsid w:val="7B4B007D"/>
    <w:rsid w:val="7B5C346C"/>
    <w:rsid w:val="7B5E5C27"/>
    <w:rsid w:val="7B652196"/>
    <w:rsid w:val="7B762D9E"/>
    <w:rsid w:val="7B784952"/>
    <w:rsid w:val="7B7974C6"/>
    <w:rsid w:val="7B7C479D"/>
    <w:rsid w:val="7B7C4B25"/>
    <w:rsid w:val="7B7E15E7"/>
    <w:rsid w:val="7B920A5D"/>
    <w:rsid w:val="7B9A2E42"/>
    <w:rsid w:val="7BA1455F"/>
    <w:rsid w:val="7BAA20ED"/>
    <w:rsid w:val="7BCC7A90"/>
    <w:rsid w:val="7BDC1294"/>
    <w:rsid w:val="7BE975D0"/>
    <w:rsid w:val="7BEA7526"/>
    <w:rsid w:val="7BED54C4"/>
    <w:rsid w:val="7BF2190A"/>
    <w:rsid w:val="7BF2682E"/>
    <w:rsid w:val="7C010589"/>
    <w:rsid w:val="7C02003C"/>
    <w:rsid w:val="7C160D02"/>
    <w:rsid w:val="7C1637C1"/>
    <w:rsid w:val="7C1E537F"/>
    <w:rsid w:val="7C3A7CDC"/>
    <w:rsid w:val="7C457811"/>
    <w:rsid w:val="7C4706AF"/>
    <w:rsid w:val="7C473009"/>
    <w:rsid w:val="7C501E80"/>
    <w:rsid w:val="7C526D30"/>
    <w:rsid w:val="7C574088"/>
    <w:rsid w:val="7C5D6386"/>
    <w:rsid w:val="7C813B39"/>
    <w:rsid w:val="7C910149"/>
    <w:rsid w:val="7C921F5C"/>
    <w:rsid w:val="7C9D2374"/>
    <w:rsid w:val="7CAC42FA"/>
    <w:rsid w:val="7CD97C96"/>
    <w:rsid w:val="7CEA2FFC"/>
    <w:rsid w:val="7CEBBD10"/>
    <w:rsid w:val="7CF36D0A"/>
    <w:rsid w:val="7CFD68A1"/>
    <w:rsid w:val="7D004B90"/>
    <w:rsid w:val="7D060B62"/>
    <w:rsid w:val="7D09176A"/>
    <w:rsid w:val="7D15262A"/>
    <w:rsid w:val="7D21528B"/>
    <w:rsid w:val="7D295788"/>
    <w:rsid w:val="7D2D6988"/>
    <w:rsid w:val="7D3B3F11"/>
    <w:rsid w:val="7D431D8D"/>
    <w:rsid w:val="7D5A66A9"/>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E5DE0"/>
    <w:rsid w:val="7DDF573A"/>
    <w:rsid w:val="7DE93C91"/>
    <w:rsid w:val="7DEFF622"/>
    <w:rsid w:val="7DFC10B6"/>
    <w:rsid w:val="7E0B2B81"/>
    <w:rsid w:val="7E0E7FD0"/>
    <w:rsid w:val="7E104D6C"/>
    <w:rsid w:val="7E1B6002"/>
    <w:rsid w:val="7E1F4180"/>
    <w:rsid w:val="7E400D18"/>
    <w:rsid w:val="7E433210"/>
    <w:rsid w:val="7E55163F"/>
    <w:rsid w:val="7E575AC2"/>
    <w:rsid w:val="7E580C80"/>
    <w:rsid w:val="7E68207B"/>
    <w:rsid w:val="7E6F0D2F"/>
    <w:rsid w:val="7E8B6473"/>
    <w:rsid w:val="7E8C1386"/>
    <w:rsid w:val="7E8C6E11"/>
    <w:rsid w:val="7E950FE9"/>
    <w:rsid w:val="7EA337EC"/>
    <w:rsid w:val="7EA454D3"/>
    <w:rsid w:val="7EB4385B"/>
    <w:rsid w:val="7EBDF523"/>
    <w:rsid w:val="7EC009E8"/>
    <w:rsid w:val="7ED16523"/>
    <w:rsid w:val="7ED64F5E"/>
    <w:rsid w:val="7EE39E9E"/>
    <w:rsid w:val="7EE44904"/>
    <w:rsid w:val="7EE83A26"/>
    <w:rsid w:val="7EF96B1E"/>
    <w:rsid w:val="7EFA65C6"/>
    <w:rsid w:val="7F3443EA"/>
    <w:rsid w:val="7F353C06"/>
    <w:rsid w:val="7F410352"/>
    <w:rsid w:val="7F440F7A"/>
    <w:rsid w:val="7F510226"/>
    <w:rsid w:val="7F5E5DAF"/>
    <w:rsid w:val="7F633EFB"/>
    <w:rsid w:val="7F634386"/>
    <w:rsid w:val="7F6379B6"/>
    <w:rsid w:val="7F6E5620"/>
    <w:rsid w:val="7F805E76"/>
    <w:rsid w:val="7F8A074A"/>
    <w:rsid w:val="7FA02E1C"/>
    <w:rsid w:val="7FB67C44"/>
    <w:rsid w:val="7FBF3E86"/>
    <w:rsid w:val="7FCA7309"/>
    <w:rsid w:val="7FCD8A59"/>
    <w:rsid w:val="7FD7DC2E"/>
    <w:rsid w:val="7FDC725C"/>
    <w:rsid w:val="7FDF9656"/>
    <w:rsid w:val="7FE32DBF"/>
    <w:rsid w:val="7FF506FF"/>
    <w:rsid w:val="7FF66E27"/>
    <w:rsid w:val="916B7755"/>
    <w:rsid w:val="ADFF1CD1"/>
    <w:rsid w:val="AFDB5FA2"/>
    <w:rsid w:val="AFEF1BFC"/>
    <w:rsid w:val="B7DF7EC0"/>
    <w:rsid w:val="B8DE0DE9"/>
    <w:rsid w:val="B9F5A720"/>
    <w:rsid w:val="CFCF8EDA"/>
    <w:rsid w:val="CFDE730D"/>
    <w:rsid w:val="CFEF254B"/>
    <w:rsid w:val="DAB7EAF1"/>
    <w:rsid w:val="DBF3971E"/>
    <w:rsid w:val="DE7D0785"/>
    <w:rsid w:val="DF7FEDDC"/>
    <w:rsid w:val="DFE396A0"/>
    <w:rsid w:val="E6DB0970"/>
    <w:rsid w:val="EBA73D27"/>
    <w:rsid w:val="EBFB59AB"/>
    <w:rsid w:val="ECFC5D2C"/>
    <w:rsid w:val="EF57B1F9"/>
    <w:rsid w:val="F52B352A"/>
    <w:rsid w:val="F6FFF813"/>
    <w:rsid w:val="F7BF0D41"/>
    <w:rsid w:val="FA7F546E"/>
    <w:rsid w:val="FB7CA46C"/>
    <w:rsid w:val="FCBD15C5"/>
    <w:rsid w:val="FE5FB3A2"/>
    <w:rsid w:val="FE7ECD2B"/>
    <w:rsid w:val="FF7FAD9C"/>
    <w:rsid w:val="FFA9856A"/>
    <w:rsid w:val="FFBEB387"/>
    <w:rsid w:val="FFD74806"/>
    <w:rsid w:val="FFE2D8CA"/>
    <w:rsid w:val="FFEEA960"/>
    <w:rsid w:val="FFFF22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line="259" w:lineRule="auto"/>
      <w:jc w:val="both"/>
    </w:pPr>
    <w:rPr>
      <w:rFonts w:ascii="Times New Roman" w:hAnsi="Times New Roman" w:eastAsia="宋体" w:cs="Times New Roman"/>
      <w:kern w:val="2"/>
      <w:lang w:val="en-US" w:eastAsia="zh-CN" w:bidi="ar-SA"/>
    </w:rPr>
  </w:style>
  <w:style w:type="paragraph" w:styleId="2">
    <w:name w:val="heading 1"/>
    <w:basedOn w:val="1"/>
    <w:next w:val="1"/>
    <w:link w:val="34"/>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35"/>
    <w:qFormat/>
    <w:uiPriority w:val="0"/>
    <w:pPr>
      <w:numPr>
        <w:ilvl w:val="1"/>
      </w:numPr>
      <w:pBdr>
        <w:top w:val="none" w:color="auto" w:sz="0" w:space="0"/>
      </w:pBdr>
      <w:spacing w:before="180"/>
      <w:ind w:right="100" w:rightChars="100"/>
      <w:outlineLvl w:val="1"/>
    </w:pPr>
    <w:rPr>
      <w:sz w:val="28"/>
    </w:rPr>
  </w:style>
  <w:style w:type="paragraph" w:styleId="4">
    <w:name w:val="heading 3"/>
    <w:basedOn w:val="1"/>
    <w:next w:val="1"/>
    <w:link w:val="36"/>
    <w:qFormat/>
    <w:uiPriority w:val="0"/>
    <w:pPr>
      <w:spacing w:before="120"/>
      <w:outlineLvl w:val="2"/>
    </w:pPr>
    <w:rPr>
      <w:sz w:val="24"/>
    </w:rPr>
  </w:style>
  <w:style w:type="paragraph" w:styleId="5">
    <w:name w:val="heading 4"/>
    <w:basedOn w:val="4"/>
    <w:next w:val="1"/>
    <w:unhideWhenUsed/>
    <w:qFormat/>
    <w:uiPriority w:val="9"/>
    <w:pPr>
      <w:spacing w:beforeLines="0" w:afterLines="0" w:line="372" w:lineRule="auto"/>
      <w:outlineLvl w:val="3"/>
    </w:pPr>
    <w:rPr>
      <w:rFonts w:eastAsia="黑体"/>
      <w:b/>
      <w:sz w:val="28"/>
    </w:rPr>
  </w:style>
  <w:style w:type="paragraph" w:styleId="6">
    <w:name w:val="heading 5"/>
    <w:basedOn w:val="5"/>
    <w:next w:val="1"/>
    <w:unhideWhenUsed/>
    <w:qFormat/>
    <w:uiPriority w:val="9"/>
    <w:pPr>
      <w:spacing w:before="10" w:after="10" w:line="240" w:lineRule="auto"/>
      <w:outlineLvl w:val="4"/>
    </w:pPr>
    <w:rPr>
      <w:rFonts w:eastAsia="宋体"/>
      <w:sz w:val="21"/>
      <w:u w:val="single"/>
    </w:rPr>
  </w:style>
  <w:style w:type="paragraph" w:styleId="7">
    <w:name w:val="heading 6"/>
    <w:basedOn w:val="8"/>
    <w:next w:val="1"/>
    <w:qFormat/>
    <w:uiPriority w:val="0"/>
    <w:pPr>
      <w:outlineLvl w:val="5"/>
    </w:pPr>
  </w:style>
  <w:style w:type="character" w:default="1" w:styleId="27">
    <w:name w:val="Default Paragraph Font"/>
    <w:semiHidden/>
    <w:unhideWhenUsed/>
    <w:qFormat/>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List 3"/>
    <w:basedOn w:val="10"/>
    <w:qFormat/>
    <w:uiPriority w:val="0"/>
    <w:pPr>
      <w:ind w:left="1135"/>
    </w:pPr>
  </w:style>
  <w:style w:type="paragraph" w:styleId="10">
    <w:name w:val="List 2"/>
    <w:basedOn w:val="11"/>
    <w:qFormat/>
    <w:uiPriority w:val="0"/>
    <w:pPr>
      <w:ind w:left="851"/>
    </w:pPr>
  </w:style>
  <w:style w:type="paragraph" w:styleId="11">
    <w:name w:val="List"/>
    <w:basedOn w:val="1"/>
    <w:qFormat/>
    <w:uiPriority w:val="0"/>
    <w:pPr>
      <w:ind w:left="568" w:hanging="284"/>
    </w:pPr>
  </w:style>
  <w:style w:type="paragraph" w:styleId="12">
    <w:name w:val="caption"/>
    <w:basedOn w:val="1"/>
    <w:next w:val="1"/>
    <w:link w:val="82"/>
    <w:unhideWhenUsed/>
    <w:qFormat/>
    <w:uiPriority w:val="0"/>
    <w:rPr>
      <w:rFonts w:ascii="Arial" w:hAnsi="Arial" w:eastAsia="黑体"/>
    </w:rPr>
  </w:style>
  <w:style w:type="paragraph" w:styleId="13">
    <w:name w:val="Document Map"/>
    <w:basedOn w:val="1"/>
    <w:link w:val="55"/>
    <w:semiHidden/>
    <w:unhideWhenUsed/>
    <w:qFormat/>
    <w:uiPriority w:val="99"/>
    <w:rPr>
      <w:rFonts w:ascii="宋体"/>
      <w:sz w:val="18"/>
      <w:szCs w:val="18"/>
    </w:rPr>
  </w:style>
  <w:style w:type="paragraph" w:styleId="14">
    <w:name w:val="annotation text"/>
    <w:basedOn w:val="1"/>
    <w:link w:val="37"/>
    <w:qFormat/>
    <w:uiPriority w:val="0"/>
  </w:style>
  <w:style w:type="paragraph" w:styleId="15">
    <w:name w:val="Body Text"/>
    <w:basedOn w:val="1"/>
    <w:qFormat/>
    <w:uiPriority w:val="0"/>
    <w:pPr>
      <w:spacing w:after="120"/>
    </w:pPr>
    <w:rPr>
      <w:rFonts w:ascii="Times" w:hAnsi="Times"/>
      <w:szCs w:val="24"/>
    </w:rPr>
  </w:style>
  <w:style w:type="paragraph" w:styleId="16">
    <w:name w:val="toc 3"/>
    <w:basedOn w:val="1"/>
    <w:next w:val="1"/>
    <w:unhideWhenUsed/>
    <w:qFormat/>
    <w:uiPriority w:val="99"/>
    <w:pPr>
      <w:adjustRightInd w:val="0"/>
      <w:ind w:left="1282" w:leftChars="400" w:hanging="442" w:hangingChars="200"/>
    </w:pPr>
    <w:rPr>
      <w:b/>
      <w:i/>
    </w:rPr>
  </w:style>
  <w:style w:type="paragraph" w:styleId="17">
    <w:name w:val="Balloon Text"/>
    <w:basedOn w:val="1"/>
    <w:link w:val="33"/>
    <w:semiHidden/>
    <w:unhideWhenUsed/>
    <w:qFormat/>
    <w:uiPriority w:val="99"/>
    <w:rPr>
      <w:sz w:val="18"/>
      <w:szCs w:val="18"/>
    </w:rPr>
  </w:style>
  <w:style w:type="paragraph" w:styleId="18">
    <w:name w:val="footer"/>
    <w:basedOn w:val="1"/>
    <w:link w:val="38"/>
    <w:unhideWhenUsed/>
    <w:qFormat/>
    <w:uiPriority w:val="99"/>
    <w:pPr>
      <w:tabs>
        <w:tab w:val="center" w:pos="4153"/>
        <w:tab w:val="right" w:pos="8306"/>
      </w:tabs>
      <w:snapToGrid w:val="0"/>
      <w:jc w:val="left"/>
    </w:pPr>
    <w:rPr>
      <w:sz w:val="18"/>
      <w:szCs w:val="18"/>
    </w:rPr>
  </w:style>
  <w:style w:type="paragraph" w:styleId="19">
    <w:name w:val="header"/>
    <w:basedOn w:val="1"/>
    <w:link w:val="39"/>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unhideWhenUsed/>
    <w:qFormat/>
    <w:uiPriority w:val="39"/>
    <w:pPr>
      <w:tabs>
        <w:tab w:val="decimal" w:pos="0"/>
        <w:tab w:val="right" w:pos="9660"/>
      </w:tabs>
      <w:ind w:right="420" w:rightChars="200"/>
      <w:jc w:val="left"/>
    </w:pPr>
    <w:rPr>
      <w:b/>
      <w:bCs/>
      <w:i/>
      <w:iCs/>
    </w:rPr>
  </w:style>
  <w:style w:type="paragraph" w:styleId="21">
    <w:name w:val="toc 2"/>
    <w:basedOn w:val="1"/>
    <w:next w:val="1"/>
    <w:semiHidden/>
    <w:unhideWhenUsed/>
    <w:qFormat/>
    <w:uiPriority w:val="99"/>
    <w:pPr>
      <w:tabs>
        <w:tab w:val="right" w:pos="420"/>
      </w:tabs>
      <w:ind w:left="862" w:leftChars="200" w:hanging="442" w:hangingChars="200"/>
      <w:jc w:val="left"/>
    </w:pPr>
    <w:rPr>
      <w:b/>
      <w:i/>
    </w:rPr>
  </w:style>
  <w:style w:type="paragraph" w:styleId="22">
    <w:name w:val="List 4"/>
    <w:basedOn w:val="9"/>
    <w:qFormat/>
    <w:uiPriority w:val="0"/>
    <w:pPr>
      <w:ind w:left="1418"/>
    </w:pPr>
  </w:style>
  <w:style w:type="paragraph" w:styleId="23">
    <w:name w:val="Normal (Web)"/>
    <w:basedOn w:val="1"/>
    <w:unhideWhenUsed/>
    <w:qFormat/>
    <w:uiPriority w:val="99"/>
    <w:pPr>
      <w:spacing w:beforeAutospacing="1" w:afterAutospacing="1"/>
      <w:jc w:val="left"/>
    </w:pPr>
    <w:rPr>
      <w:kern w:val="0"/>
      <w:sz w:val="24"/>
    </w:rPr>
  </w:style>
  <w:style w:type="paragraph" w:styleId="24">
    <w:name w:val="annotation subject"/>
    <w:basedOn w:val="14"/>
    <w:next w:val="14"/>
    <w:link w:val="45"/>
    <w:semiHidden/>
    <w:unhideWhenUsed/>
    <w:qFormat/>
    <w:uiPriority w:val="99"/>
    <w:pPr>
      <w:jc w:val="left"/>
    </w:pPr>
    <w:rPr>
      <w:b/>
      <w:bCs/>
    </w:rPr>
  </w:style>
  <w:style w:type="table" w:styleId="26">
    <w:name w:val="Table Grid"/>
    <w:basedOn w:val="25"/>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rPr>
  </w:style>
  <w:style w:type="character" w:styleId="29">
    <w:name w:val="page number"/>
    <w:basedOn w:val="27"/>
    <w:semiHidden/>
    <w:qFormat/>
    <w:uiPriority w:val="0"/>
  </w:style>
  <w:style w:type="character" w:styleId="30">
    <w:name w:val="Emphasis"/>
    <w:basedOn w:val="27"/>
    <w:qFormat/>
    <w:uiPriority w:val="20"/>
    <w:rPr>
      <w:i/>
    </w:rPr>
  </w:style>
  <w:style w:type="character" w:styleId="31">
    <w:name w:val="Hyperlink"/>
    <w:basedOn w:val="27"/>
    <w:qFormat/>
    <w:uiPriority w:val="99"/>
    <w:rPr>
      <w:color w:val="0000FF"/>
      <w:u w:val="single"/>
    </w:rPr>
  </w:style>
  <w:style w:type="character" w:styleId="32">
    <w:name w:val="annotation reference"/>
    <w:basedOn w:val="27"/>
    <w:qFormat/>
    <w:uiPriority w:val="0"/>
    <w:rPr>
      <w:sz w:val="16"/>
    </w:rPr>
  </w:style>
  <w:style w:type="character" w:customStyle="1" w:styleId="33">
    <w:name w:val="批注框文本 字符"/>
    <w:basedOn w:val="27"/>
    <w:link w:val="17"/>
    <w:semiHidden/>
    <w:qFormat/>
    <w:uiPriority w:val="99"/>
    <w:rPr>
      <w:rFonts w:ascii="Times New Roman" w:hAnsi="Times New Roman" w:eastAsia="宋体" w:cs="Times New Roman"/>
      <w:sz w:val="18"/>
      <w:szCs w:val="18"/>
    </w:rPr>
  </w:style>
  <w:style w:type="character" w:customStyle="1" w:styleId="34">
    <w:name w:val="标题 1 字符"/>
    <w:basedOn w:val="27"/>
    <w:link w:val="2"/>
    <w:qFormat/>
    <w:uiPriority w:val="0"/>
    <w:rPr>
      <w:rFonts w:ascii="Arial" w:hAnsi="Arial" w:eastAsia="MS Mincho" w:cs="Times New Roman"/>
      <w:sz w:val="32"/>
      <w:szCs w:val="20"/>
    </w:rPr>
  </w:style>
  <w:style w:type="character" w:customStyle="1" w:styleId="35">
    <w:name w:val="标题 2 字符"/>
    <w:basedOn w:val="27"/>
    <w:link w:val="3"/>
    <w:qFormat/>
    <w:uiPriority w:val="0"/>
    <w:rPr>
      <w:rFonts w:ascii="Arial" w:hAnsi="Arial" w:eastAsia="MS Mincho" w:cs="Times New Roman"/>
      <w:sz w:val="28"/>
      <w:szCs w:val="20"/>
    </w:rPr>
  </w:style>
  <w:style w:type="character" w:customStyle="1" w:styleId="36">
    <w:name w:val="标题 3 字符"/>
    <w:basedOn w:val="27"/>
    <w:link w:val="4"/>
    <w:qFormat/>
    <w:uiPriority w:val="0"/>
    <w:rPr>
      <w:rFonts w:ascii="Arial" w:hAnsi="Arial" w:eastAsia="MS Mincho" w:cs="Times New Roman"/>
      <w:sz w:val="24"/>
      <w:szCs w:val="20"/>
    </w:rPr>
  </w:style>
  <w:style w:type="character" w:customStyle="1" w:styleId="37">
    <w:name w:val="批注文字 字符"/>
    <w:basedOn w:val="27"/>
    <w:link w:val="14"/>
    <w:qFormat/>
    <w:uiPriority w:val="0"/>
    <w:rPr>
      <w:rFonts w:ascii="Times New Roman" w:hAnsi="Times New Roman" w:eastAsia="宋体" w:cs="Times New Roman"/>
      <w:szCs w:val="20"/>
    </w:rPr>
  </w:style>
  <w:style w:type="character" w:customStyle="1" w:styleId="38">
    <w:name w:val="页脚 字符"/>
    <w:basedOn w:val="27"/>
    <w:link w:val="18"/>
    <w:qFormat/>
    <w:uiPriority w:val="99"/>
    <w:rPr>
      <w:rFonts w:ascii="Times New Roman" w:hAnsi="Times New Roman" w:eastAsia="宋体" w:cs="Times New Roman"/>
      <w:sz w:val="18"/>
      <w:szCs w:val="18"/>
    </w:rPr>
  </w:style>
  <w:style w:type="character" w:customStyle="1" w:styleId="39">
    <w:name w:val="页眉 字符"/>
    <w:basedOn w:val="27"/>
    <w:link w:val="19"/>
    <w:semiHidden/>
    <w:qFormat/>
    <w:uiPriority w:val="0"/>
    <w:rPr>
      <w:rFonts w:ascii="Times New Roman" w:hAnsi="Times New Roman" w:eastAsia="宋体" w:cs="Times New Roman"/>
      <w:sz w:val="18"/>
      <w:szCs w:val="18"/>
    </w:rPr>
  </w:style>
  <w:style w:type="paragraph" w:customStyle="1" w:styleId="40">
    <w:name w:val="References"/>
    <w:basedOn w:val="1"/>
    <w:qFormat/>
    <w:uiPriority w:val="0"/>
    <w:pPr>
      <w:numPr>
        <w:ilvl w:val="0"/>
        <w:numId w:val="2"/>
      </w:numPr>
      <w:spacing w:after="60"/>
    </w:pPr>
    <w:rPr>
      <w:szCs w:val="16"/>
    </w:rPr>
  </w:style>
  <w:style w:type="paragraph" w:styleId="41">
    <w:name w:val="List Paragraph"/>
    <w:basedOn w:val="1"/>
    <w:link w:val="47"/>
    <w:qFormat/>
    <w:uiPriority w:val="34"/>
    <w:pPr>
      <w:spacing w:beforeLines="0"/>
      <w:ind w:left="720"/>
      <w:contextualSpacing/>
    </w:pPr>
    <w:rPr>
      <w:rFonts w:eastAsia="Times New Roman"/>
      <w:sz w:val="24"/>
      <w:szCs w:val="24"/>
    </w:rPr>
  </w:style>
  <w:style w:type="character" w:customStyle="1" w:styleId="42">
    <w:name w:val="font21"/>
    <w:basedOn w:val="27"/>
    <w:qFormat/>
    <w:uiPriority w:val="0"/>
    <w:rPr>
      <w:rFonts w:hint="default" w:ascii="Times New Roman" w:hAnsi="Times New Roman" w:cs="Times New Roman"/>
      <w:color w:val="000000"/>
      <w:sz w:val="20"/>
      <w:szCs w:val="20"/>
      <w:u w:val="none"/>
    </w:rPr>
  </w:style>
  <w:style w:type="character" w:customStyle="1" w:styleId="43">
    <w:name w:val="font11"/>
    <w:basedOn w:val="27"/>
    <w:qFormat/>
    <w:uiPriority w:val="0"/>
    <w:rPr>
      <w:rFonts w:hint="default" w:ascii="Symbol" w:hAnsi="Symbol" w:cs="Symbol"/>
      <w:b/>
      <w:color w:val="000000"/>
      <w:sz w:val="20"/>
      <w:szCs w:val="20"/>
      <w:u w:val="none"/>
    </w:rPr>
  </w:style>
  <w:style w:type="character" w:customStyle="1" w:styleId="44">
    <w:name w:val="font01"/>
    <w:basedOn w:val="27"/>
    <w:qFormat/>
    <w:uiPriority w:val="0"/>
    <w:rPr>
      <w:rFonts w:hint="default" w:ascii="Symbol" w:hAnsi="Symbol" w:cs="Symbol"/>
      <w:color w:val="000000"/>
      <w:sz w:val="20"/>
      <w:szCs w:val="20"/>
      <w:u w:val="none"/>
    </w:rPr>
  </w:style>
  <w:style w:type="character" w:customStyle="1" w:styleId="45">
    <w:name w:val="批注主题 字符"/>
    <w:basedOn w:val="37"/>
    <w:link w:val="24"/>
    <w:semiHidden/>
    <w:qFormat/>
    <w:uiPriority w:val="99"/>
    <w:rPr>
      <w:rFonts w:ascii="Times New Roman" w:hAnsi="Times New Roman" w:eastAsia="宋体" w:cs="Times New Roman"/>
      <w:b/>
      <w:bCs/>
      <w:kern w:val="2"/>
      <w:sz w:val="21"/>
      <w:szCs w:val="20"/>
    </w:rPr>
  </w:style>
  <w:style w:type="paragraph" w:customStyle="1" w:styleId="46">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7">
    <w:name w:val="列表段落 字符"/>
    <w:link w:val="41"/>
    <w:qFormat/>
    <w:uiPriority w:val="34"/>
    <w:rPr>
      <w:rFonts w:ascii="Times New Roman" w:hAnsi="Times New Roman" w:eastAsia="Times New Roman" w:cs="Times New Roman"/>
      <w:kern w:val="2"/>
      <w:sz w:val="24"/>
      <w:szCs w:val="24"/>
    </w:rPr>
  </w:style>
  <w:style w:type="character" w:styleId="48">
    <w:name w:val="Placeholder Text"/>
    <w:basedOn w:val="27"/>
    <w:unhideWhenUsed/>
    <w:qFormat/>
    <w:uiPriority w:val="99"/>
    <w:rPr>
      <w:color w:val="808080"/>
    </w:rPr>
  </w:style>
  <w:style w:type="paragraph" w:customStyle="1" w:styleId="49">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0">
    <w:name w:val="x_apple-converted-space"/>
    <w:qFormat/>
    <w:uiPriority w:val="0"/>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pPr>
    <w:rPr>
      <w:rFonts w:ascii="Arial" w:hAnsi="Arial"/>
      <w:sz w:val="18"/>
    </w:rPr>
  </w:style>
  <w:style w:type="paragraph" w:customStyle="1" w:styleId="54">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5">
    <w:name w:val="文档结构图 字符"/>
    <w:basedOn w:val="27"/>
    <w:link w:val="13"/>
    <w:semiHidden/>
    <w:qFormat/>
    <w:uiPriority w:val="99"/>
    <w:rPr>
      <w:rFonts w:ascii="宋体"/>
      <w:kern w:val="2"/>
      <w:sz w:val="18"/>
      <w:szCs w:val="18"/>
    </w:rPr>
  </w:style>
  <w:style w:type="paragraph" w:customStyle="1" w:styleId="56">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7">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8">
    <w:name w:val="apple-converted-space"/>
    <w:basedOn w:val="27"/>
    <w:qFormat/>
    <w:uiPriority w:val="0"/>
  </w:style>
  <w:style w:type="paragraph" w:customStyle="1" w:styleId="59">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0">
    <w:name w:val="x_xmsonormal"/>
    <w:basedOn w:val="1"/>
    <w:qFormat/>
    <w:uiPriority w:val="0"/>
    <w:rPr>
      <w:rFonts w:ascii="宋体" w:hAnsi="宋体" w:cs="Calibri"/>
      <w:sz w:val="24"/>
    </w:rPr>
  </w:style>
  <w:style w:type="paragraph" w:customStyle="1" w:styleId="61">
    <w:name w:val="YJ-Observation"/>
    <w:basedOn w:val="62"/>
    <w:qFormat/>
    <w:uiPriority w:val="0"/>
    <w:pPr>
      <w:numPr>
        <w:ilvl w:val="0"/>
        <w:numId w:val="3"/>
      </w:numPr>
      <w:tabs>
        <w:tab w:val="left" w:pos="0"/>
        <w:tab w:val="left" w:pos="420"/>
        <w:tab w:val="clear" w:pos="990"/>
      </w:tabs>
      <w:ind w:left="0"/>
    </w:pPr>
  </w:style>
  <w:style w:type="paragraph" w:customStyle="1" w:styleId="62">
    <w:name w:val="YJ-Proposal"/>
    <w:basedOn w:val="1"/>
    <w:qFormat/>
    <w:uiPriority w:val="0"/>
    <w:pPr>
      <w:numPr>
        <w:ilvl w:val="0"/>
        <w:numId w:val="4"/>
      </w:numPr>
      <w:jc w:val="left"/>
    </w:pPr>
    <w:rPr>
      <w:rFonts w:eastAsia="Times"/>
      <w:b/>
      <w:bCs/>
      <w:i/>
      <w:iCs/>
      <w:lang w:val="en-GB" w:eastAsia="en-US"/>
    </w:rPr>
  </w:style>
  <w:style w:type="paragraph" w:customStyle="1" w:styleId="63">
    <w:name w:val="3GPP Normal Text"/>
    <w:basedOn w:val="15"/>
    <w:qFormat/>
    <w:uiPriority w:val="0"/>
    <w:pPr>
      <w:spacing w:after="60"/>
    </w:pPr>
    <w:rPr>
      <w:rFonts w:ascii="Times New Roman" w:hAnsi="Times New Roman" w:eastAsia="MS Mincho"/>
    </w:rPr>
  </w:style>
  <w:style w:type="paragraph" w:customStyle="1" w:styleId="64">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5">
    <w:name w:val="contentpasted2"/>
    <w:basedOn w:val="27"/>
    <w:qFormat/>
    <w:uiPriority w:val="0"/>
  </w:style>
  <w:style w:type="paragraph" w:customStyle="1" w:styleId="66">
    <w:name w:val="TH"/>
    <w:basedOn w:val="1"/>
    <w:qFormat/>
    <w:uiPriority w:val="0"/>
    <w:pPr>
      <w:keepNext/>
      <w:keepLines/>
      <w:spacing w:before="60" w:after="180"/>
      <w:jc w:val="center"/>
    </w:pPr>
    <w:rPr>
      <w:rFonts w:ascii="Arial" w:hAnsi="Arial" w:eastAsia="Times New Roman"/>
      <w:b/>
      <w:lang w:val="en-GB"/>
    </w:rPr>
  </w:style>
  <w:style w:type="paragraph" w:customStyle="1" w:styleId="67">
    <w:name w:val="B1"/>
    <w:basedOn w:val="11"/>
    <w:qFormat/>
    <w:uiPriority w:val="0"/>
  </w:style>
  <w:style w:type="paragraph" w:customStyle="1" w:styleId="68">
    <w:name w:val="B2"/>
    <w:basedOn w:val="10"/>
    <w:qFormat/>
    <w:uiPriority w:val="0"/>
  </w:style>
  <w:style w:type="paragraph" w:customStyle="1" w:styleId="69">
    <w:name w:val="B3"/>
    <w:basedOn w:val="9"/>
    <w:qFormat/>
    <w:uiPriority w:val="0"/>
  </w:style>
  <w:style w:type="paragraph" w:customStyle="1" w:styleId="70">
    <w:name w:val="B4"/>
    <w:basedOn w:val="22"/>
    <w:qFormat/>
    <w:uiPriority w:val="0"/>
  </w:style>
  <w:style w:type="paragraph" w:customStyle="1" w:styleId="71">
    <w:name w:val="EQ"/>
    <w:basedOn w:val="1"/>
    <w:next w:val="1"/>
    <w:qFormat/>
    <w:uiPriority w:val="0"/>
    <w:pPr>
      <w:keepLines/>
      <w:tabs>
        <w:tab w:val="center" w:pos="4536"/>
        <w:tab w:val="right" w:pos="9072"/>
      </w:tabs>
    </w:pPr>
  </w:style>
  <w:style w:type="paragraph" w:customStyle="1" w:styleId="72">
    <w:name w:val="listparagraph"/>
    <w:basedOn w:val="1"/>
    <w:qFormat/>
    <w:uiPriority w:val="99"/>
    <w:pPr>
      <w:spacing w:line="252" w:lineRule="auto"/>
      <w:ind w:left="720"/>
    </w:pPr>
    <w:rPr>
      <w:rFonts w:ascii="Calibri" w:hAnsi="Calibri" w:eastAsia="Calibri" w:cs="Calibri"/>
      <w:sz w:val="22"/>
      <w:szCs w:val="22"/>
    </w:rPr>
  </w:style>
  <w:style w:type="paragraph" w:customStyle="1" w:styleId="73">
    <w:name w:val="Guidance"/>
    <w:basedOn w:val="1"/>
    <w:qFormat/>
    <w:uiPriority w:val="0"/>
    <w:rPr>
      <w:rFonts w:eastAsia="Times New Roman"/>
      <w:i/>
      <w:color w:val="000000"/>
      <w:lang w:eastAsia="ja-JP"/>
    </w:rPr>
  </w:style>
  <w:style w:type="paragraph" w:customStyle="1" w:styleId="74">
    <w:name w:val="清單段落1"/>
    <w:basedOn w:val="1"/>
    <w:qFormat/>
    <w:uiPriority w:val="34"/>
    <w:pPr>
      <w:ind w:left="840" w:leftChars="400"/>
    </w:pPr>
  </w:style>
  <w:style w:type="paragraph" w:customStyle="1" w:styleId="75">
    <w:name w:val="List Paragraph9"/>
    <w:basedOn w:val="1"/>
    <w:qFormat/>
    <w:uiPriority w:val="34"/>
    <w:pPr>
      <w:ind w:left="840" w:leftChars="400"/>
    </w:pPr>
  </w:style>
  <w:style w:type="paragraph" w:customStyle="1" w:styleId="76">
    <w:name w:val="목록 단락1"/>
    <w:basedOn w:val="1"/>
    <w:unhideWhenUsed/>
    <w:qFormat/>
    <w:uiPriority w:val="34"/>
    <w:pPr>
      <w:ind w:left="480" w:leftChars="200"/>
    </w:pPr>
  </w:style>
  <w:style w:type="paragraph" w:customStyle="1" w:styleId="77">
    <w:name w:val="List Paragraph10"/>
    <w:basedOn w:val="1"/>
    <w:unhideWhenUsed/>
    <w:qFormat/>
    <w:uiPriority w:val="34"/>
    <w:pPr>
      <w:spacing w:line="278" w:lineRule="auto"/>
      <w:ind w:left="480" w:leftChars="200"/>
    </w:pPr>
  </w:style>
  <w:style w:type="paragraph" w:customStyle="1" w:styleId="78">
    <w:name w:val="TAN"/>
    <w:basedOn w:val="53"/>
    <w:qFormat/>
    <w:uiPriority w:val="0"/>
    <w:pPr>
      <w:ind w:left="851" w:hanging="851"/>
    </w:pPr>
  </w:style>
  <w:style w:type="paragraph" w:customStyle="1" w:styleId="79">
    <w:name w:val="Default"/>
    <w:unhideWhenUsed/>
    <w:qFormat/>
    <w:uiPriority w:val="99"/>
    <w:pPr>
      <w:widowControl w:val="0"/>
      <w:autoSpaceDE w:val="0"/>
      <w:autoSpaceDN w:val="0"/>
      <w:adjustRightInd w:val="0"/>
    </w:pPr>
    <w:rPr>
      <w:rFonts w:hint="eastAsia" w:ascii="DIN Next LT Pro Bold" w:hAnsi="DIN Next LT Pro Bold" w:eastAsia="DIN Next LT Pro Bold" w:cs="Times New Roman"/>
      <w:color w:val="000000"/>
      <w:sz w:val="24"/>
      <w:szCs w:val="24"/>
      <w:lang w:val="en-US" w:eastAsia="zh-CN" w:bidi="ar-SA"/>
    </w:rPr>
  </w:style>
  <w:style w:type="paragraph" w:customStyle="1" w:styleId="80">
    <w:name w:val="Pa0"/>
    <w:basedOn w:val="79"/>
    <w:next w:val="79"/>
    <w:unhideWhenUsed/>
    <w:qFormat/>
    <w:uiPriority w:val="99"/>
    <w:pPr>
      <w:spacing w:line="241" w:lineRule="atLeast"/>
    </w:pPr>
    <w:rPr>
      <w:rFonts w:hint="default"/>
    </w:rPr>
  </w:style>
  <w:style w:type="paragraph" w:customStyle="1" w:styleId="81">
    <w:name w:val="TF"/>
    <w:basedOn w:val="66"/>
    <w:qFormat/>
    <w:uiPriority w:val="0"/>
    <w:pPr>
      <w:keepNext w:val="0"/>
      <w:widowControl w:val="0"/>
      <w:spacing w:before="0" w:beforeLines="0" w:after="240" w:afterLines="0" w:line="240" w:lineRule="auto"/>
    </w:pPr>
    <w:rPr>
      <w:rFonts w:eastAsiaTheme="minorEastAsia" w:cstheme="minorBidi"/>
      <w:sz w:val="24"/>
      <w:szCs w:val="22"/>
      <w:lang w:val="en-US"/>
      <w14:ligatures w14:val="standardContextual"/>
    </w:rPr>
  </w:style>
  <w:style w:type="character" w:customStyle="1" w:styleId="82">
    <w:name w:val="题注 字符"/>
    <w:link w:val="12"/>
    <w:qFormat/>
    <w:uiPriority w:val="0"/>
    <w:rPr>
      <w:rFonts w:ascii="Arial" w:hAnsi="Arial" w:eastAsia="黑体"/>
      <w:kern w:val="2"/>
    </w:rPr>
  </w:style>
  <w:style w:type="paragraph" w:styleId="83">
    <w:name w:val="No Spacing"/>
    <w:qFormat/>
    <w:uiPriority w:val="1"/>
    <w:rPr>
      <w:rFonts w:ascii="Times New Roman" w:hAnsi="Times New Roman" w:cs="Times New Roman" w:eastAsiaTheme="minorEastAsia"/>
      <w:lang w:val="en-GB" w:eastAsia="en-GB"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jpeg"/><Relationship Id="rId23" Type="http://schemas.openxmlformats.org/officeDocument/2006/relationships/image" Target="media/image12.png"/><Relationship Id="rId22" Type="http://schemas.openxmlformats.org/officeDocument/2006/relationships/image" Target="media/image11.emf"/><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emf"/><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6599</Words>
  <Characters>37618</Characters>
  <Lines>313</Lines>
  <Paragraphs>88</Paragraphs>
  <TotalTime>10</TotalTime>
  <ScaleCrop>false</ScaleCrop>
  <LinksUpToDate>false</LinksUpToDate>
  <CharactersWithSpaces>44129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2025-08-15T20:17:00Z</dcterms:created>
  <dc:creator>ZTE</dc:creator>
  <cp:lastModifiedBy>ZTE, Mengzhu</cp:lastModifiedBy>
  <cp:lastPrinted>2025-03-24T09:23:00Z</cp:lastPrinted>
  <dcterms:modified xsi:type="dcterms:W3CDTF">2025-08-15T23:03:22Z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9BF41620E2DC43D19E8E89845600A2BC</vt:lpwstr>
  </property>
</Properties>
</file>