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3A0E41D0"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7747AD">
        <w:rPr>
          <w:bCs/>
          <w:noProof w:val="0"/>
          <w:sz w:val="24"/>
          <w:szCs w:val="24"/>
        </w:rPr>
        <w:t>1</w:t>
      </w:r>
      <w:r w:rsidRPr="005336CD">
        <w:rPr>
          <w:bCs/>
          <w:noProof w:val="0"/>
          <w:sz w:val="24"/>
          <w:szCs w:val="24"/>
        </w:rPr>
        <w:tab/>
      </w:r>
      <w:r w:rsidR="00783B70" w:rsidRPr="00980E19">
        <w:rPr>
          <w:bCs/>
          <w:noProof w:val="0"/>
          <w:sz w:val="24"/>
          <w:szCs w:val="24"/>
          <w:lang w:val="en-GB"/>
        </w:rPr>
        <w:t>R1-250</w:t>
      </w:r>
      <w:r w:rsidR="00980E19" w:rsidRPr="00980E19">
        <w:rPr>
          <w:bCs/>
          <w:noProof w:val="0"/>
          <w:sz w:val="24"/>
          <w:szCs w:val="24"/>
          <w:lang w:val="en-GB"/>
        </w:rPr>
        <w:t>4573</w:t>
      </w:r>
    </w:p>
    <w:p w14:paraId="5E67D49E" w14:textId="357A7C0D" w:rsidR="00D964DA" w:rsidRDefault="00980E19" w:rsidP="00D964DA">
      <w:pPr>
        <w:pStyle w:val="Header"/>
        <w:tabs>
          <w:tab w:val="right" w:pos="9639"/>
        </w:tabs>
        <w:spacing w:before="0" w:after="0"/>
        <w:rPr>
          <w:bCs/>
          <w:noProof w:val="0"/>
          <w:sz w:val="24"/>
          <w:szCs w:val="24"/>
        </w:rPr>
      </w:pPr>
      <w:r>
        <w:rPr>
          <w:bCs/>
          <w:noProof w:val="0"/>
          <w:sz w:val="24"/>
          <w:szCs w:val="24"/>
        </w:rPr>
        <w:t xml:space="preserve">St. Julian’s, </w:t>
      </w:r>
      <w:r w:rsidR="00827FBF">
        <w:rPr>
          <w:bCs/>
          <w:noProof w:val="0"/>
          <w:sz w:val="24"/>
          <w:szCs w:val="24"/>
        </w:rPr>
        <w:t>Malta</w:t>
      </w:r>
      <w:r w:rsidR="00DE17F8">
        <w:rPr>
          <w:bCs/>
          <w:noProof w:val="0"/>
          <w:sz w:val="24"/>
          <w:szCs w:val="24"/>
        </w:rPr>
        <w:t>,</w:t>
      </w:r>
      <w:r w:rsidR="00D964DA" w:rsidRPr="00BB2367">
        <w:rPr>
          <w:bCs/>
          <w:noProof w:val="0"/>
          <w:sz w:val="24"/>
          <w:szCs w:val="24"/>
        </w:rPr>
        <w:t xml:space="preserve"> </w:t>
      </w:r>
      <w:r w:rsidR="00B7627B">
        <w:rPr>
          <w:bCs/>
          <w:noProof w:val="0"/>
          <w:sz w:val="24"/>
          <w:szCs w:val="24"/>
        </w:rPr>
        <w:t>May</w:t>
      </w:r>
      <w:r w:rsidR="00D964DA">
        <w:rPr>
          <w:bCs/>
          <w:noProof w:val="0"/>
          <w:sz w:val="24"/>
          <w:szCs w:val="24"/>
        </w:rPr>
        <w:t xml:space="preserve"> </w:t>
      </w:r>
      <w:r w:rsidR="00B7627B">
        <w:rPr>
          <w:bCs/>
          <w:noProof w:val="0"/>
          <w:sz w:val="24"/>
          <w:szCs w:val="24"/>
        </w:rPr>
        <w:t>19</w:t>
      </w:r>
      <w:r w:rsidR="004C26E0">
        <w:rPr>
          <w:bCs/>
          <w:noProof w:val="0"/>
          <w:sz w:val="24"/>
          <w:szCs w:val="24"/>
        </w:rPr>
        <w:t>th</w:t>
      </w:r>
      <w:r w:rsidR="00D964DA">
        <w:rPr>
          <w:bCs/>
          <w:noProof w:val="0"/>
          <w:sz w:val="24"/>
          <w:szCs w:val="24"/>
        </w:rPr>
        <w:t xml:space="preserve"> </w:t>
      </w:r>
      <w:r w:rsidR="00F21935">
        <w:rPr>
          <w:bCs/>
          <w:noProof w:val="0"/>
          <w:sz w:val="24"/>
          <w:szCs w:val="24"/>
        </w:rPr>
        <w:t>–</w:t>
      </w:r>
      <w:r w:rsidR="00D964DA">
        <w:rPr>
          <w:bCs/>
          <w:noProof w:val="0"/>
          <w:sz w:val="24"/>
          <w:szCs w:val="24"/>
        </w:rPr>
        <w:t xml:space="preserve"> </w:t>
      </w:r>
      <w:r w:rsidR="00B7627B">
        <w:rPr>
          <w:bCs/>
          <w:noProof w:val="0"/>
          <w:sz w:val="24"/>
          <w:szCs w:val="24"/>
        </w:rPr>
        <w:t>23</w:t>
      </w:r>
      <w:r w:rsidR="00F21935">
        <w:rPr>
          <w:bCs/>
          <w:noProof w:val="0"/>
          <w:sz w:val="24"/>
          <w:szCs w:val="24"/>
        </w:rPr>
        <w:t>rd</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5EC7870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35C66">
        <w:rPr>
          <w:rFonts w:eastAsia="SimSun" w:cs="Arial"/>
          <w:b/>
          <w:sz w:val="24"/>
        </w:rPr>
        <w:t>6</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66825F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9C5943">
        <w:rPr>
          <w:rFonts w:ascii="Arial" w:hAnsi="Arial" w:cs="Arial"/>
          <w:b/>
          <w:bCs/>
          <w:sz w:val="24"/>
        </w:rPr>
        <w:t xml:space="preserve">Alignment CR for MAC-CE </w:t>
      </w:r>
      <w:r w:rsidR="0026080A">
        <w:rPr>
          <w:rFonts w:ascii="Arial" w:hAnsi="Arial" w:cs="Arial"/>
          <w:b/>
          <w:bCs/>
          <w:sz w:val="24"/>
        </w:rPr>
        <w:t>TA command</w:t>
      </w:r>
      <w:r w:rsidR="004F7063">
        <w:rPr>
          <w:rFonts w:ascii="Arial" w:hAnsi="Arial" w:cs="Arial"/>
          <w:b/>
          <w:bCs/>
          <w:sz w:val="24"/>
        </w:rPr>
        <w:t xml:space="preserve"> in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ABBF9D8" w:rsidR="00F76410" w:rsidRDefault="0026080A" w:rsidP="00FE7C32">
      <w:pPr>
        <w:pStyle w:val="Heading1"/>
      </w:pPr>
      <w:r>
        <w:t>Issue</w:t>
      </w:r>
    </w:p>
    <w:p w14:paraId="55B83D9D" w14:textId="203CDDB4" w:rsidR="00F21935" w:rsidRDefault="00F21935" w:rsidP="0069461E">
      <w:pPr>
        <w:spacing w:before="0"/>
        <w:rPr>
          <w:lang w:val="en-US"/>
        </w:rPr>
      </w:pPr>
      <w:r>
        <w:rPr>
          <w:lang w:val="en-US"/>
        </w:rPr>
        <w:t>In 36.</w:t>
      </w:r>
      <w:r w:rsidR="00E26165">
        <w:rPr>
          <w:lang w:val="en-US"/>
        </w:rPr>
        <w:t>133</w:t>
      </w:r>
      <w:r w:rsidR="00063B04">
        <w:rPr>
          <w:lang w:val="en-US"/>
        </w:rPr>
        <w:t>, RAN4 spec</w:t>
      </w:r>
      <w:r w:rsidR="0010255E">
        <w:rPr>
          <w:lang w:val="en-US"/>
        </w:rPr>
        <w:t xml:space="preserve">ification </w:t>
      </w:r>
      <w:r w:rsidR="00A14098">
        <w:rPr>
          <w:lang w:val="en-US"/>
        </w:rPr>
        <w:t xml:space="preserve">contains </w:t>
      </w:r>
      <w:r w:rsidR="00035C66">
        <w:rPr>
          <w:lang w:val="en-US"/>
        </w:rPr>
        <w:t xml:space="preserve">MAC-CE </w:t>
      </w:r>
      <w:r w:rsidR="00B852E5">
        <w:rPr>
          <w:lang w:val="en-US"/>
        </w:rPr>
        <w:t xml:space="preserve">timing advance adjustment delay, where k-Offset-r17 on top of terrestrial </w:t>
      </w:r>
      <w:r w:rsidR="00641699">
        <w:rPr>
          <w:lang w:val="en-US"/>
        </w:rPr>
        <w:t>timeline is present.</w:t>
      </w:r>
    </w:p>
    <w:tbl>
      <w:tblPr>
        <w:tblStyle w:val="TableGrid"/>
        <w:tblW w:w="0" w:type="auto"/>
        <w:tblLook w:val="04A0" w:firstRow="1" w:lastRow="0" w:firstColumn="1" w:lastColumn="0" w:noHBand="0" w:noVBand="1"/>
      </w:tblPr>
      <w:tblGrid>
        <w:gridCol w:w="9629"/>
      </w:tblGrid>
      <w:tr w:rsidR="00702251" w14:paraId="2AC3A2DA" w14:textId="77777777" w:rsidTr="00702251">
        <w:tc>
          <w:tcPr>
            <w:tcW w:w="9629" w:type="dxa"/>
          </w:tcPr>
          <w:p w14:paraId="196BDD7C" w14:textId="77777777" w:rsidR="00702251" w:rsidRPr="00063B04" w:rsidRDefault="00702251" w:rsidP="00702251">
            <w:pPr>
              <w:numPr>
                <w:ilvl w:val="0"/>
                <w:numId w:val="40"/>
              </w:numPr>
              <w:tabs>
                <w:tab w:val="clear" w:pos="360"/>
              </w:tabs>
              <w:spacing w:before="0"/>
              <w:rPr>
                <w:b/>
                <w:bCs/>
                <w:lang w:val="en-US"/>
              </w:rPr>
            </w:pPr>
            <w:r w:rsidRPr="00063B04">
              <w:rPr>
                <w:b/>
                <w:bCs/>
                <w:lang w:val="en-US"/>
              </w:rPr>
              <w:t>7.22A   Timing Advance for NB-IoT for Satellite Access</w:t>
            </w:r>
          </w:p>
          <w:p w14:paraId="5A1CAA06" w14:textId="77777777" w:rsidR="00702251" w:rsidRPr="00063B04" w:rsidRDefault="00702251" w:rsidP="00702251">
            <w:pPr>
              <w:numPr>
                <w:ilvl w:val="0"/>
                <w:numId w:val="40"/>
              </w:numPr>
              <w:tabs>
                <w:tab w:val="clear" w:pos="360"/>
              </w:tabs>
              <w:spacing w:before="0"/>
              <w:rPr>
                <w:b/>
                <w:bCs/>
                <w:lang w:val="fi-FI"/>
              </w:rPr>
            </w:pPr>
            <w:r w:rsidRPr="00063B04">
              <w:rPr>
                <w:b/>
                <w:bCs/>
                <w:lang w:val="fi-FI"/>
              </w:rPr>
              <w:t>7.22A.1  Introduction</w:t>
            </w:r>
          </w:p>
          <w:p w14:paraId="18B38911" w14:textId="77777777" w:rsidR="00702251" w:rsidRPr="00063B04" w:rsidRDefault="00702251" w:rsidP="00702251">
            <w:pPr>
              <w:spacing w:before="0"/>
              <w:rPr>
                <w:lang w:val="en-US"/>
              </w:rPr>
            </w:pPr>
            <w:r w:rsidRPr="00063B04">
              <w:rPr>
                <w:lang w:val="en-US"/>
              </w:rPr>
              <w:t>The timing advance is initiated from E-UTRAN with MAC message that implies and adjustment of the timing advance, see TS 36.321 [17] clause 5.2.</w:t>
            </w:r>
          </w:p>
          <w:p w14:paraId="3A9DFF55" w14:textId="77777777" w:rsidR="00702251" w:rsidRPr="00063B04" w:rsidRDefault="00702251" w:rsidP="00702251">
            <w:pPr>
              <w:numPr>
                <w:ilvl w:val="0"/>
                <w:numId w:val="40"/>
              </w:numPr>
              <w:tabs>
                <w:tab w:val="clear" w:pos="360"/>
              </w:tabs>
              <w:spacing w:before="0"/>
              <w:rPr>
                <w:b/>
                <w:bCs/>
                <w:lang w:val="fi-FI"/>
              </w:rPr>
            </w:pPr>
            <w:r w:rsidRPr="00063B04">
              <w:rPr>
                <w:b/>
                <w:bCs/>
                <w:lang w:val="fi-FI"/>
              </w:rPr>
              <w:t>7.22A.2  Requirements</w:t>
            </w:r>
          </w:p>
          <w:p w14:paraId="5A593585" w14:textId="77777777" w:rsidR="00702251" w:rsidRPr="00063B04" w:rsidRDefault="00702251" w:rsidP="00702251">
            <w:pPr>
              <w:numPr>
                <w:ilvl w:val="0"/>
                <w:numId w:val="40"/>
              </w:numPr>
              <w:tabs>
                <w:tab w:val="clear" w:pos="360"/>
              </w:tabs>
              <w:spacing w:before="0"/>
              <w:rPr>
                <w:b/>
                <w:bCs/>
                <w:lang w:val="fi-FI"/>
              </w:rPr>
            </w:pPr>
            <w:r w:rsidRPr="00063B04">
              <w:rPr>
                <w:b/>
                <w:bCs/>
                <w:lang w:val="fi-FI"/>
              </w:rPr>
              <w:t>7.22A.2.1       Timing Advance adjustment delay</w:t>
            </w:r>
          </w:p>
          <w:p w14:paraId="2B6720C2" w14:textId="77777777" w:rsidR="00702251" w:rsidRPr="00063B04" w:rsidRDefault="00702251" w:rsidP="00702251">
            <w:pPr>
              <w:spacing w:before="0"/>
              <w:rPr>
                <w:lang w:val="en-US"/>
              </w:rPr>
            </w:pPr>
            <w:r w:rsidRPr="00063B04">
              <w:rPr>
                <w:lang w:val="en-US"/>
              </w:rPr>
              <w:t xml:space="preserve">UE shall adjust the timing of its uplink transmission timing at 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sub-frame </w:t>
            </w:r>
            <w:r w:rsidRPr="00063B04">
              <w:rPr>
                <w:i/>
                <w:iCs/>
                <w:lang w:val="en-US"/>
              </w:rPr>
              <w:t>n</w:t>
            </w:r>
            <w:r w:rsidRPr="00063B04">
              <w:rPr>
                <w:lang w:val="en-US"/>
              </w:rPr>
              <w:t>, where </w:t>
            </w:r>
            <w:r w:rsidRPr="00063B04">
              <w:rPr>
                <w:i/>
                <w:iCs/>
                <w:lang w:val="en-US"/>
              </w:rPr>
              <w:t>k-Offset-r17 </w:t>
            </w:r>
            <w:r w:rsidRPr="00063B04">
              <w:rPr>
                <w:lang w:val="en-US"/>
              </w:rPr>
              <w:t xml:space="preserve">is specified in [2]. In case repetitions are used on the downlink, sub-frame </w:t>
            </w:r>
            <w:r w:rsidRPr="00063B04">
              <w:rPr>
                <w:i/>
                <w:iCs/>
                <w:lang w:val="en-US"/>
              </w:rPr>
              <w:t>n</w:t>
            </w:r>
            <w:r w:rsidRPr="00063B04">
              <w:rPr>
                <w:lang w:val="en-US"/>
              </w:rPr>
              <w:t xml:space="preserve"> refers to the last subframe in the repetition period in which the message containing the MAC control information was received. The UE shall not apply a TA command during an uplink repetition period.</w:t>
            </w:r>
          </w:p>
          <w:p w14:paraId="2E608C78" w14:textId="77777777" w:rsidR="00702251" w:rsidRPr="00063B04" w:rsidRDefault="00702251" w:rsidP="00702251">
            <w:pPr>
              <w:numPr>
                <w:ilvl w:val="0"/>
                <w:numId w:val="40"/>
              </w:numPr>
              <w:tabs>
                <w:tab w:val="clear" w:pos="360"/>
              </w:tabs>
              <w:spacing w:before="0"/>
              <w:rPr>
                <w:b/>
                <w:bCs/>
                <w:lang w:val="fi-FI"/>
              </w:rPr>
            </w:pPr>
            <w:r w:rsidRPr="00063B04">
              <w:rPr>
                <w:b/>
                <w:bCs/>
                <w:lang w:val="fi-FI"/>
              </w:rPr>
              <w:t>7.22A.2.2       Timing Advance adjustment accuracy</w:t>
            </w:r>
          </w:p>
          <w:p w14:paraId="55DA177B" w14:textId="687A78D4" w:rsidR="00702251" w:rsidRDefault="00702251" w:rsidP="0069461E">
            <w:pPr>
              <w:spacing w:before="0"/>
              <w:rPr>
                <w:lang w:val="en-US"/>
              </w:rPr>
            </w:pPr>
            <w:r w:rsidRPr="00063B04">
              <w:rPr>
                <w:lang w:val="en-US"/>
              </w:rPr>
              <w:t>The UE shall adjust the timing of its transmissions with a relative accuracy better than or equal to ±13.33* T</w:t>
            </w:r>
            <w:r w:rsidRPr="00063B04">
              <w:rPr>
                <w:i/>
                <w:iCs/>
                <w:lang w:val="en-US"/>
              </w:rPr>
              <w:t>S</w:t>
            </w:r>
            <w:r w:rsidRPr="00063B04">
              <w:rPr>
                <w:lang w:val="en-US"/>
              </w:rPr>
              <w:t xml:space="preserve"> seconds to the signalled timing advance value compared to the timing of preceding uplink transmission. The timing advance command is expressed in multiples of 16* T</w:t>
            </w:r>
            <w:r w:rsidRPr="00063B04">
              <w:rPr>
                <w:i/>
                <w:iCs/>
                <w:lang w:val="en-US"/>
              </w:rPr>
              <w:t>S</w:t>
            </w:r>
            <w:r w:rsidRPr="00063B04">
              <w:rPr>
                <w:lang w:val="en-US"/>
              </w:rPr>
              <w:t xml:space="preserve"> and is relative to the current uplink timing</w:t>
            </w:r>
          </w:p>
        </w:tc>
      </w:tr>
    </w:tbl>
    <w:p w14:paraId="20D94F57" w14:textId="77777777" w:rsidR="00F21935" w:rsidRDefault="00F21935" w:rsidP="0069461E">
      <w:pPr>
        <w:spacing w:before="0"/>
        <w:rPr>
          <w:lang w:val="en-US"/>
        </w:rPr>
      </w:pPr>
    </w:p>
    <w:p w14:paraId="22DAA88F" w14:textId="590B11EE" w:rsidR="00063B04" w:rsidRDefault="00641699" w:rsidP="0069461E">
      <w:pPr>
        <w:spacing w:before="0"/>
        <w:rPr>
          <w:lang w:val="en-US"/>
        </w:rPr>
      </w:pPr>
      <w:r>
        <w:rPr>
          <w:lang w:val="en-US"/>
        </w:rPr>
        <w:t>On the other hand</w:t>
      </w:r>
      <w:r w:rsidR="00A1142B">
        <w:rPr>
          <w:lang w:val="en-US"/>
        </w:rPr>
        <w:t>,</w:t>
      </w:r>
      <w:r>
        <w:rPr>
          <w:lang w:val="en-US"/>
        </w:rPr>
        <w:t xml:space="preserve"> </w:t>
      </w:r>
      <w:r w:rsidR="004035C9">
        <w:rPr>
          <w:lang w:val="en-US"/>
        </w:rPr>
        <w:t xml:space="preserve">R18 version </w:t>
      </w:r>
      <w:r w:rsidR="00AA7E30">
        <w:rPr>
          <w:lang w:val="en-US"/>
        </w:rPr>
        <w:t xml:space="preserve">18.3.0 of 35.213, says UE should apply </w:t>
      </w:r>
      <w:r w:rsidR="001A1527">
        <w:rPr>
          <w:lang w:val="en-US"/>
        </w:rPr>
        <w:t xml:space="preserve">command after 12 ms. This seems to be mis-aligned with RAN4 36.133 specification. </w:t>
      </w:r>
    </w:p>
    <w:p w14:paraId="4BA24B5E" w14:textId="77777777" w:rsidR="00641699" w:rsidRDefault="00641699" w:rsidP="0069461E">
      <w:pPr>
        <w:spacing w:before="0"/>
        <w:rPr>
          <w:lang w:val="en-US"/>
        </w:rPr>
      </w:pPr>
    </w:p>
    <w:tbl>
      <w:tblPr>
        <w:tblStyle w:val="TableGrid"/>
        <w:tblW w:w="0" w:type="auto"/>
        <w:tblLook w:val="04A0" w:firstRow="1" w:lastRow="0" w:firstColumn="1" w:lastColumn="0" w:noHBand="0" w:noVBand="1"/>
      </w:tblPr>
      <w:tblGrid>
        <w:gridCol w:w="9629"/>
      </w:tblGrid>
      <w:tr w:rsidR="00FB5D04" w14:paraId="3925236A" w14:textId="77777777" w:rsidTr="00FB5D04">
        <w:tc>
          <w:tcPr>
            <w:tcW w:w="9629" w:type="dxa"/>
          </w:tcPr>
          <w:p w14:paraId="1744FA3C" w14:textId="77777777" w:rsidR="00FB5D04" w:rsidRPr="001A7C01" w:rsidRDefault="00FB5D04" w:rsidP="00FB5D04">
            <w:pPr>
              <w:pStyle w:val="Heading3"/>
              <w:numPr>
                <w:ilvl w:val="0"/>
                <w:numId w:val="0"/>
              </w:numPr>
            </w:pPr>
            <w:r w:rsidRPr="001A7C01">
              <w:lastRenderedPageBreak/>
              <w:t>16.1.2</w:t>
            </w:r>
            <w:r w:rsidRPr="001A7C01">
              <w:tab/>
              <w:t>Timing synchronization</w:t>
            </w:r>
          </w:p>
          <w:p w14:paraId="4C408692" w14:textId="77777777" w:rsidR="00FB5D04" w:rsidRPr="001A7C01" w:rsidRDefault="00FB5D04" w:rsidP="00FB5D04">
            <w:pPr>
              <w:rPr>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62776069" w14:textId="77777777" w:rsidR="00FB5D04" w:rsidRPr="001A7C01" w:rsidRDefault="00FB5D04" w:rsidP="00FB5D04">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74E7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808300071"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18BA8007" w14:textId="77777777" w:rsidR="00FB5D04" w:rsidRPr="001A7C01" w:rsidRDefault="00FB5D04" w:rsidP="00FB5D04">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45CE44E4" w14:textId="77777777" w:rsidR="00FB5D04" w:rsidRPr="001A7C01" w:rsidRDefault="00FB5D04" w:rsidP="00FB5D04">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1535A916" w14:textId="77777777" w:rsidR="00FB5D04" w:rsidRPr="001A7C01" w:rsidRDefault="00FB5D04" w:rsidP="00FB5D04">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n+12</w:t>
            </w:r>
            <w:r w:rsidRPr="00FB5D04">
              <w:rPr>
                <w:b/>
                <w:bCs/>
              </w:rPr>
              <w:t xml:space="preserve"> </w:t>
            </w:r>
            <w:r w:rsidRPr="001A7C01">
              <w:t>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hint="eastAsia"/>
                <w:lang w:eastAsia="zh-CN"/>
              </w:rPr>
              <w:t>W</w:t>
            </w:r>
            <w:r w:rsidRPr="001A7C01">
              <w:rPr>
                <w:rFonts w:hint="eastAsia"/>
              </w:rPr>
              <w:t>hen the UE</w:t>
            </w:r>
            <w:r w:rsidRPr="001A7C01">
              <w:t>'</w:t>
            </w:r>
            <w:r w:rsidRPr="001A7C01">
              <w:rPr>
                <w:rFonts w:hint="eastAsia"/>
              </w:rPr>
              <w:t xml:space="preserve">s uplink </w:t>
            </w:r>
            <w:r w:rsidRPr="001A7C01">
              <w:rPr>
                <w:rFonts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425B06EA" w14:textId="77777777" w:rsidR="00FB5D04" w:rsidRPr="00FB5D04" w:rsidRDefault="00FB5D04" w:rsidP="0069461E">
            <w:pPr>
              <w:spacing w:before="0"/>
            </w:pPr>
          </w:p>
        </w:tc>
      </w:tr>
    </w:tbl>
    <w:p w14:paraId="42666DBE" w14:textId="77777777" w:rsidR="00A1142B" w:rsidRDefault="00A1142B" w:rsidP="0069461E">
      <w:pPr>
        <w:spacing w:before="0"/>
        <w:rPr>
          <w:b/>
          <w:bCs/>
          <w:i/>
          <w:iCs/>
          <w:lang w:val="en-US"/>
        </w:rPr>
      </w:pPr>
    </w:p>
    <w:p w14:paraId="2FAE3590" w14:textId="33C581FB" w:rsidR="001A1527" w:rsidRDefault="001A1527" w:rsidP="0069461E">
      <w:pPr>
        <w:spacing w:before="0"/>
        <w:rPr>
          <w:i/>
          <w:iCs/>
          <w:lang w:val="en-US"/>
        </w:rPr>
      </w:pPr>
      <w:r w:rsidRPr="00F17154">
        <w:rPr>
          <w:b/>
          <w:bCs/>
          <w:i/>
          <w:iCs/>
          <w:lang w:val="en-US"/>
        </w:rPr>
        <w:t>Proposal-1:</w:t>
      </w:r>
      <w:r w:rsidRPr="00F17154">
        <w:rPr>
          <w:i/>
          <w:iCs/>
          <w:lang w:val="en-US"/>
        </w:rPr>
        <w:t xml:space="preserve"> Align RAN1 specification to RAN4 specification</w:t>
      </w:r>
      <w:r w:rsidR="00F17154">
        <w:rPr>
          <w:i/>
          <w:iCs/>
          <w:lang w:val="en-US"/>
        </w:rPr>
        <w:t>, by adopting the enclosed CR</w:t>
      </w:r>
      <w:r w:rsidR="00A51C48">
        <w:rPr>
          <w:i/>
          <w:iCs/>
          <w:lang w:val="en-US"/>
        </w:rPr>
        <w:t>/ below TP.</w:t>
      </w:r>
    </w:p>
    <w:tbl>
      <w:tblPr>
        <w:tblStyle w:val="TableGrid"/>
        <w:tblW w:w="0" w:type="auto"/>
        <w:tblLook w:val="04A0" w:firstRow="1" w:lastRow="0" w:firstColumn="1" w:lastColumn="0" w:noHBand="0" w:noVBand="1"/>
      </w:tblPr>
      <w:tblGrid>
        <w:gridCol w:w="9629"/>
      </w:tblGrid>
      <w:tr w:rsidR="00F17154" w14:paraId="3C702AD1" w14:textId="77777777" w:rsidTr="00F17154">
        <w:tc>
          <w:tcPr>
            <w:tcW w:w="9629" w:type="dxa"/>
          </w:tcPr>
          <w:p w14:paraId="25B56F00" w14:textId="60ABF306" w:rsidR="00F17154" w:rsidRPr="00F17154" w:rsidRDefault="00F17154" w:rsidP="00F8749A">
            <w:pPr>
              <w:rPr>
                <w:i/>
                <w:iCs/>
              </w:rPr>
            </w:pPr>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n+12</w:t>
            </w:r>
            <m:oMath>
              <m:r>
                <m:rPr>
                  <m:sty m:val="bi"/>
                </m:rPr>
                <w:rPr>
                  <w:rFonts w:ascii="Cambria Math" w:hAnsi="Cambria Math"/>
                  <w:u w:val="single"/>
                </w:rPr>
                <m:t>+</m:t>
              </m:r>
              <m:sSub>
                <m:sSubPr>
                  <m:ctrlPr>
                    <w:rPr>
                      <w:rFonts w:ascii="Cambria Math" w:eastAsia="MS Mincho" w:hAnsi="Cambria Math"/>
                      <w:b/>
                      <w:bCs/>
                      <w:color w:val="FF0000"/>
                      <w:u w:val="single"/>
                    </w:rPr>
                  </m:ctrlPr>
                </m:sSubPr>
                <m:e>
                  <m:r>
                    <m:rPr>
                      <m:sty m:val="bi"/>
                    </m:rPr>
                    <w:rPr>
                      <w:rFonts w:ascii="Cambria Math" w:eastAsia="MS Mincho" w:hAnsi="Cambria Math"/>
                      <w:color w:val="FF0000"/>
                      <w:u w:val="single"/>
                    </w:rPr>
                    <m:t>K</m:t>
                  </m:r>
                </m:e>
                <m:sub>
                  <m:r>
                    <m:rPr>
                      <m:sty m:val="b"/>
                    </m:rPr>
                    <w:rPr>
                      <w:rFonts w:ascii="Cambria Math" w:eastAsia="MS Mincho" w:hAnsi="Cambria Math"/>
                      <w:color w:val="FF0000"/>
                      <w:u w:val="single"/>
                    </w:rPr>
                    <m:t>offset</m:t>
                  </m:r>
                </m:sub>
              </m:sSub>
              <m:r>
                <w:rPr>
                  <w:rFonts w:ascii="Cambria Math" w:eastAsia="MS Mincho" w:hAnsi="Cambria Math"/>
                  <w:color w:val="FF0000"/>
                  <w:u w:val="single"/>
                </w:rPr>
                <m:t>+</m:t>
              </m:r>
              <m:r>
                <w:rPr>
                  <w:rFonts w:ascii="Cambria Math" w:hAnsi="Cambria Math"/>
                  <w:color w:val="FF0000"/>
                  <w:u w:val="single"/>
                </w:rPr>
                <m:t>1</m:t>
              </m:r>
            </m:oMath>
            <w:r w:rsidRPr="00FB5D04">
              <w:rPr>
                <w:b/>
                <w:bCs/>
              </w:rPr>
              <w:t xml:space="preserve"> </w:t>
            </w:r>
            <w:r w:rsidRPr="001A7C01">
              <w:t>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hint="eastAsia"/>
                <w:lang w:eastAsia="zh-CN"/>
              </w:rPr>
              <w:t>W</w:t>
            </w:r>
            <w:r w:rsidRPr="001A7C01">
              <w:rPr>
                <w:rFonts w:hint="eastAsia"/>
              </w:rPr>
              <w:t>hen the UE</w:t>
            </w:r>
            <w:r w:rsidRPr="001A7C01">
              <w:t>'</w:t>
            </w:r>
            <w:r w:rsidRPr="001A7C01">
              <w:rPr>
                <w:rFonts w:hint="eastAsia"/>
              </w:rPr>
              <w:t xml:space="preserve">s uplink </w:t>
            </w:r>
            <w:r w:rsidRPr="001A7C01">
              <w:rPr>
                <w:rFonts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tc>
      </w:tr>
    </w:tbl>
    <w:p w14:paraId="7F8F4394" w14:textId="77777777" w:rsidR="00F17154" w:rsidRPr="00F17154" w:rsidRDefault="00F17154" w:rsidP="0069461E">
      <w:pPr>
        <w:spacing w:before="0"/>
        <w:rPr>
          <w:i/>
          <w:iCs/>
          <w:lang w:val="en-US"/>
        </w:rPr>
      </w:pPr>
    </w:p>
    <w:sectPr w:rsidR="00F17154" w:rsidRPr="00F17154"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08B3" w14:textId="77777777" w:rsidR="00100B8B" w:rsidRDefault="00100B8B">
      <w:r>
        <w:separator/>
      </w:r>
    </w:p>
  </w:endnote>
  <w:endnote w:type="continuationSeparator" w:id="0">
    <w:p w14:paraId="58FC326E" w14:textId="77777777" w:rsidR="00100B8B" w:rsidRDefault="00100B8B">
      <w:r>
        <w:continuationSeparator/>
      </w:r>
    </w:p>
  </w:endnote>
  <w:endnote w:type="continuationNotice" w:id="1">
    <w:p w14:paraId="2EDFB04E" w14:textId="77777777" w:rsidR="00100B8B" w:rsidRDefault="00100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7DC7" w14:textId="77777777" w:rsidR="00100B8B" w:rsidRDefault="00100B8B">
      <w:r>
        <w:separator/>
      </w:r>
    </w:p>
  </w:footnote>
  <w:footnote w:type="continuationSeparator" w:id="0">
    <w:p w14:paraId="434C3202" w14:textId="77777777" w:rsidR="00100B8B" w:rsidRDefault="00100B8B">
      <w:r>
        <w:continuationSeparator/>
      </w:r>
    </w:p>
  </w:footnote>
  <w:footnote w:type="continuationNotice" w:id="1">
    <w:p w14:paraId="4A30667E" w14:textId="77777777" w:rsidR="00100B8B" w:rsidRDefault="00100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7"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4"/>
  </w:num>
  <w:num w:numId="3" w16cid:durableId="1524787052">
    <w:abstractNumId w:val="41"/>
  </w:num>
  <w:num w:numId="4" w16cid:durableId="148908271">
    <w:abstractNumId w:val="25"/>
  </w:num>
  <w:num w:numId="5" w16cid:durableId="256060203">
    <w:abstractNumId w:val="22"/>
  </w:num>
  <w:num w:numId="6" w16cid:durableId="1716932158">
    <w:abstractNumId w:val="5"/>
  </w:num>
  <w:num w:numId="7" w16cid:durableId="1577593817">
    <w:abstractNumId w:val="39"/>
  </w:num>
  <w:num w:numId="8" w16cid:durableId="108859384">
    <w:abstractNumId w:val="18"/>
  </w:num>
  <w:num w:numId="9" w16cid:durableId="1062406887">
    <w:abstractNumId w:val="32"/>
  </w:num>
  <w:num w:numId="10" w16cid:durableId="496926408">
    <w:abstractNumId w:val="23"/>
  </w:num>
  <w:num w:numId="11" w16cid:durableId="1079131709">
    <w:abstractNumId w:val="13"/>
  </w:num>
  <w:num w:numId="12" w16cid:durableId="1845629578">
    <w:abstractNumId w:val="2"/>
  </w:num>
  <w:num w:numId="13" w16cid:durableId="751245973">
    <w:abstractNumId w:val="4"/>
  </w:num>
  <w:num w:numId="14" w16cid:durableId="2055275339">
    <w:abstractNumId w:val="38"/>
  </w:num>
  <w:num w:numId="15" w16cid:durableId="883908089">
    <w:abstractNumId w:val="0"/>
  </w:num>
  <w:num w:numId="16" w16cid:durableId="569119849">
    <w:abstractNumId w:val="27"/>
  </w:num>
  <w:num w:numId="17" w16cid:durableId="881210659">
    <w:abstractNumId w:val="29"/>
  </w:num>
  <w:num w:numId="18" w16cid:durableId="1049496253">
    <w:abstractNumId w:val="40"/>
  </w:num>
  <w:num w:numId="19" w16cid:durableId="1119765256">
    <w:abstractNumId w:val="14"/>
  </w:num>
  <w:num w:numId="20" w16cid:durableId="923104762">
    <w:abstractNumId w:val="21"/>
  </w:num>
  <w:num w:numId="21" w16cid:durableId="1126853665">
    <w:abstractNumId w:val="16"/>
  </w:num>
  <w:num w:numId="22" w16cid:durableId="923799296">
    <w:abstractNumId w:val="15"/>
  </w:num>
  <w:num w:numId="23" w16cid:durableId="891384585">
    <w:abstractNumId w:val="12"/>
  </w:num>
  <w:num w:numId="24" w16cid:durableId="1469662976">
    <w:abstractNumId w:val="19"/>
  </w:num>
  <w:num w:numId="25" w16cid:durableId="1109668882">
    <w:abstractNumId w:val="17"/>
  </w:num>
  <w:num w:numId="26" w16cid:durableId="114568673">
    <w:abstractNumId w:val="1"/>
  </w:num>
  <w:num w:numId="27" w16cid:durableId="1253587756">
    <w:abstractNumId w:val="34"/>
  </w:num>
  <w:num w:numId="28" w16cid:durableId="461731965">
    <w:abstractNumId w:val="28"/>
  </w:num>
  <w:num w:numId="29" w16cid:durableId="1329559841">
    <w:abstractNumId w:val="8"/>
  </w:num>
  <w:num w:numId="30" w16cid:durableId="532613094">
    <w:abstractNumId w:val="20"/>
  </w:num>
  <w:num w:numId="31" w16cid:durableId="1088818094">
    <w:abstractNumId w:val="26"/>
  </w:num>
  <w:num w:numId="32" w16cid:durableId="516776594">
    <w:abstractNumId w:val="30"/>
  </w:num>
  <w:num w:numId="33" w16cid:durableId="1553034836">
    <w:abstractNumId w:val="36"/>
  </w:num>
  <w:num w:numId="34" w16cid:durableId="359668944">
    <w:abstractNumId w:val="9"/>
  </w:num>
  <w:num w:numId="35" w16cid:durableId="560870286">
    <w:abstractNumId w:val="31"/>
  </w:num>
  <w:num w:numId="36" w16cid:durableId="197402919">
    <w:abstractNumId w:val="3"/>
  </w:num>
  <w:num w:numId="37" w16cid:durableId="2073582214">
    <w:abstractNumId w:val="10"/>
  </w:num>
  <w:num w:numId="38" w16cid:durableId="2112702938">
    <w:abstractNumId w:val="35"/>
  </w:num>
  <w:num w:numId="39" w16cid:durableId="610017795">
    <w:abstractNumId w:val="7"/>
  </w:num>
  <w:num w:numId="40" w16cid:durableId="618150710">
    <w:abstractNumId w:val="37"/>
  </w:num>
  <w:num w:numId="41" w16cid:durableId="756947179">
    <w:abstractNumId w:val="37"/>
  </w:num>
  <w:num w:numId="42" w16cid:durableId="1589998346">
    <w:abstractNumId w:val="6"/>
  </w:num>
  <w:num w:numId="43" w16cid:durableId="360710329">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C66"/>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04"/>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0B8B"/>
    <w:rsid w:val="00101875"/>
    <w:rsid w:val="0010196C"/>
    <w:rsid w:val="00101985"/>
    <w:rsid w:val="001019E4"/>
    <w:rsid w:val="00101C4F"/>
    <w:rsid w:val="00101C9C"/>
    <w:rsid w:val="00101D82"/>
    <w:rsid w:val="00101DB4"/>
    <w:rsid w:val="0010255E"/>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27"/>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54A"/>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80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C9"/>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6C"/>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63"/>
    <w:rsid w:val="004F7070"/>
    <w:rsid w:val="004F71AE"/>
    <w:rsid w:val="004F73B6"/>
    <w:rsid w:val="004F7A54"/>
    <w:rsid w:val="004F7B37"/>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5AA"/>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34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699"/>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251"/>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19"/>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3FC"/>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43"/>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42B"/>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098"/>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1C48"/>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E30"/>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728"/>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B5D"/>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2E5"/>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165"/>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154"/>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935"/>
    <w:rsid w:val="00F21BA3"/>
    <w:rsid w:val="00F21F6C"/>
    <w:rsid w:val="00F21F86"/>
    <w:rsid w:val="00F2231E"/>
    <w:rsid w:val="00F2260F"/>
    <w:rsid w:val="00F228F3"/>
    <w:rsid w:val="00F22ABD"/>
    <w:rsid w:val="00F22C46"/>
    <w:rsid w:val="00F22D47"/>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49A"/>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5D04"/>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40"/>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852940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85307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313A46FD-24C3-47D3-909F-5684B18C0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37</TotalTime>
  <Pages>2</Pages>
  <Words>649</Words>
  <Characters>3399</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Pre-compensation gaps</vt:lpstr>
      <vt:lpstr>    Power consumption in R19 TDD NTN IoT</vt:lpstr>
      <vt:lpstr>    DL channels</vt:lpstr>
      <vt:lpstr>Conclusions </vt:lpstr>
    </vt:vector>
  </TitlesOfParts>
  <Company>Nordic Semiconductor ASA</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26</cp:revision>
  <cp:lastPrinted>2020-10-18T09:51:00Z</cp:lastPrinted>
  <dcterms:created xsi:type="dcterms:W3CDTF">2025-04-22T07:12:00Z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