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ascii="Arial" w:hAnsi="Arial" w:eastAsia="宋体" w:cs="Arial"/>
          <w:b/>
          <w:sz w:val="28"/>
          <w:szCs w:val="28"/>
          <w:lang w:val="en-US" w:eastAsia="zh-CN"/>
        </w:rPr>
      </w:pPr>
      <w:bookmarkStart w:id="0" w:name="OLE_LINK3"/>
      <w:bookmarkStart w:id="9" w:name="_GoBack"/>
      <w:bookmarkEnd w:id="9"/>
      <w:r>
        <w:rPr>
          <w:rFonts w:ascii="Arial" w:hAnsi="Arial" w:eastAsia="MS Mincho" w:cs="Arial"/>
          <w:b/>
          <w:sz w:val="28"/>
          <w:szCs w:val="28"/>
          <w:lang w:val="en-US"/>
        </w:rPr>
        <w:t>3GPP TSG RAN WG1 #1</w:t>
      </w:r>
      <w:r>
        <w:rPr>
          <w:rFonts w:hint="eastAsia" w:ascii="Arial" w:hAnsi="Arial" w:eastAsia="宋体" w:cs="Arial"/>
          <w:b/>
          <w:sz w:val="28"/>
          <w:szCs w:val="28"/>
          <w:lang w:val="en-US" w:eastAsia="zh-CN"/>
        </w:rPr>
        <w:t xml:space="preserve">21 </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w:t>
      </w:r>
      <w:r>
        <w:rPr>
          <w:rFonts w:hint="eastAsia" w:ascii="Arial" w:hAnsi="Arial" w:eastAsia="MS Mincho" w:cs="Arial"/>
          <w:b/>
          <w:sz w:val="28"/>
          <w:szCs w:val="28"/>
          <w:lang w:val="en-US"/>
        </w:rPr>
        <w:t>R1-2504436</w:t>
      </w:r>
    </w:p>
    <w:p>
      <w:pPr>
        <w:pStyle w:val="10"/>
        <w:tabs>
          <w:tab w:val="right" w:pos="10206"/>
        </w:tabs>
        <w:spacing w:after="0" w:afterAutospacing="0"/>
        <w:rPr>
          <w:rFonts w:eastAsia="宋体" w:cs="Arial"/>
          <w:sz w:val="28"/>
          <w:szCs w:val="28"/>
          <w:lang w:val="en-US" w:eastAsia="zh-CN"/>
        </w:rPr>
      </w:pPr>
      <w:r>
        <w:rPr>
          <w:rFonts w:cs="Arial"/>
          <w:bCs/>
          <w:sz w:val="28"/>
        </w:rPr>
        <w:t xml:space="preserve">St Julian’s, Malta, </w:t>
      </w:r>
      <w:r>
        <w:rPr>
          <w:rFonts w:hint="eastAsia" w:eastAsia="宋体" w:cs="Arial"/>
          <w:sz w:val="28"/>
          <w:szCs w:val="28"/>
          <w:lang w:val="en-US" w:eastAsia="zh-CN"/>
        </w:rPr>
        <w:t>May 19</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- 23</w:t>
      </w:r>
      <w:r>
        <w:rPr>
          <w:rFonts w:hint="eastAsia" w:eastAsia="宋体" w:cs="Arial"/>
          <w:sz w:val="28"/>
          <w:szCs w:val="28"/>
          <w:vertAlign w:val="superscript"/>
          <w:lang w:val="en-US" w:eastAsia="zh-CN"/>
        </w:rPr>
        <w:t>rd</w:t>
      </w:r>
      <w:r>
        <w:rPr>
          <w:rFonts w:hint="eastAsia" w:cs="Arial"/>
          <w:sz w:val="28"/>
          <w:szCs w:val="28"/>
          <w:lang w:val="en-US"/>
        </w:rPr>
        <w:t>, 202</w:t>
      </w:r>
      <w:r>
        <w:rPr>
          <w:rFonts w:hint="eastAsia" w:eastAsia="宋体" w:cs="Arial"/>
          <w:sz w:val="28"/>
          <w:szCs w:val="28"/>
          <w:lang w:val="en-US" w:eastAsia="zh-CN"/>
        </w:rPr>
        <w:t>5</w:t>
      </w:r>
    </w:p>
    <w:p>
      <w:pPr>
        <w:widowControl w:val="0"/>
        <w:tabs>
          <w:tab w:val="right" w:pos="10206"/>
        </w:tabs>
        <w:spacing w:afterAutospacing="0"/>
        <w:rPr>
          <w:rFonts w:ascii="Arial" w:hAnsi="Arial" w:eastAsia="宋体" w:cs="Arial"/>
          <w:b/>
          <w:sz w:val="28"/>
          <w:szCs w:val="28"/>
          <w:lang w:val="en-US" w:eastAsia="zh-CN"/>
        </w:rPr>
      </w:pPr>
    </w:p>
    <w:bookmarkEnd w:id="0"/>
    <w:p>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 xml:space="preserve">Discussion on </w:t>
      </w:r>
      <w:r>
        <w:rPr>
          <w:rFonts w:hint="eastAsia" w:ascii="Arial" w:hAnsi="Arial" w:eastAsia="宋体" w:cs="Arial"/>
          <w:b/>
          <w:sz w:val="28"/>
          <w:szCs w:val="28"/>
          <w:lang w:val="en-US" w:eastAsia="zh-CN"/>
        </w:rPr>
        <w:t>other aspects</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w:t>
      </w:r>
      <w:r>
        <w:rPr>
          <w:rFonts w:hint="eastAsia" w:ascii="Arial" w:hAnsi="Arial" w:eastAsia="宋体" w:cs="Arial"/>
          <w:b/>
          <w:sz w:val="28"/>
          <w:szCs w:val="28"/>
          <w:lang w:val="en-US" w:eastAsia="zh-CN"/>
        </w:rPr>
        <w:t>4</w:t>
      </w:r>
    </w:p>
    <w:p>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pPr>
        <w:pStyle w:val="2"/>
        <w:spacing w:after="180"/>
        <w:rPr>
          <w:lang w:val="en-US"/>
        </w:rPr>
      </w:pPr>
      <w:r>
        <w:rPr>
          <w:lang w:val="en-US"/>
        </w:rPr>
        <w:t>Introduction</w:t>
      </w:r>
      <w:bookmarkEnd w:id="1"/>
    </w:p>
    <w:p>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 xml:space="preserve">work </w:t>
      </w:r>
      <w:r>
        <w:rPr>
          <w:rFonts w:eastAsia="宋体"/>
          <w:lang w:eastAsia="zh-CN"/>
        </w:rPr>
        <w:t>item on</w:t>
      </w:r>
      <w:r>
        <w:rPr>
          <w:rFonts w:hint="eastAsia" w:eastAsia="宋体"/>
          <w:lang w:val="en-US" w:eastAsia="zh-CN"/>
        </w:rPr>
        <w:t xml:space="preserve">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RAN#106, with objectives including the following</w:t>
      </w:r>
      <w:r>
        <w:rPr>
          <w:rFonts w:eastAsia="宋体"/>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numPr>
                <w:ilvl w:val="0"/>
                <w:numId w:val="7"/>
              </w:numPr>
              <w:suppressLineNumbers w:val="0"/>
              <w:overflowPunct w:val="0"/>
              <w:autoSpaceDE w:val="0"/>
              <w:autoSpaceDN w:val="0"/>
              <w:adjustRightInd w:val="0"/>
              <w:snapToGrid/>
              <w:spacing w:before="0" w:beforeAutospacing="0" w:after="120" w:afterAutospacing="0"/>
              <w:ind w:right="-96"/>
              <w:textAlignment w:val="baseline"/>
              <w:rPr>
                <w:rFonts w:hint="eastAsia" w:eastAsia="宋体"/>
                <w:szCs w:val="24"/>
                <w:lang w:val="en-US"/>
              </w:rPr>
            </w:pPr>
            <w:r>
              <w:rPr>
                <w:rFonts w:hint="eastAsia" w:eastAsia="宋体"/>
                <w:szCs w:val="24"/>
                <w:lang w:val="en-US"/>
              </w:rPr>
              <w:t>RAN1 scope:</w:t>
            </w:r>
          </w:p>
          <w:p>
            <w:pPr>
              <w:keepNext w:val="0"/>
              <w:keepLines w:val="0"/>
              <w:widowControl/>
              <w:numPr>
                <w:ilvl w:val="1"/>
                <w:numId w:val="7"/>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Cs w:val="24"/>
                <w:lang w:val="en-US"/>
              </w:rPr>
            </w:pPr>
            <w:r>
              <w:rPr>
                <w:rFonts w:hint="eastAsia" w:eastAsia="宋体"/>
                <w:szCs w:val="24"/>
                <w:lang w:val="en-US" w:eastAsia="zh-CN"/>
              </w:rPr>
              <w:t>[...]</w:t>
            </w:r>
          </w:p>
          <w:p>
            <w:pPr>
              <w:keepNext w:val="0"/>
              <w:keepLines w:val="0"/>
              <w:widowControl/>
              <w:numPr>
                <w:ilvl w:val="1"/>
                <w:numId w:val="7"/>
              </w:numPr>
              <w:suppressLineNumbers w:val="0"/>
              <w:overflowPunct w:val="0"/>
              <w:autoSpaceDE w:val="0"/>
              <w:autoSpaceDN w:val="0"/>
              <w:adjustRightInd w:val="0"/>
              <w:snapToGrid/>
              <w:spacing w:before="0" w:beforeAutospacing="0" w:after="120" w:afterAutospacing="0"/>
              <w:ind w:right="-96"/>
              <w:textAlignment w:val="baseline"/>
              <w:rPr>
                <w:rFonts w:hint="eastAsia" w:eastAsia="宋体"/>
                <w:szCs w:val="24"/>
                <w:lang w:val="en-US"/>
              </w:rPr>
            </w:pPr>
            <w:r>
              <w:rPr>
                <w:rFonts w:hint="eastAsia" w:eastAsia="宋体"/>
                <w:szCs w:val="24"/>
                <w:lang w:val="en-US"/>
              </w:rPr>
              <w:t>PRDCH and PDRCH, which are the only physical channels in R2D and D2R, respectively.</w:t>
            </w:r>
          </w:p>
          <w:p>
            <w:pPr>
              <w:keepNext w:val="0"/>
              <w:keepLines w:val="0"/>
              <w:widowControl/>
              <w:numPr>
                <w:ilvl w:val="1"/>
                <w:numId w:val="7"/>
              </w:numPr>
              <w:suppressLineNumbers w:val="0"/>
              <w:overflowPunct w:val="0"/>
              <w:autoSpaceDE w:val="0"/>
              <w:autoSpaceDN w:val="0"/>
              <w:adjustRightInd w:val="0"/>
              <w:snapToGrid/>
              <w:spacing w:before="0" w:beforeAutospacing="0" w:after="120" w:afterAutospacing="0"/>
              <w:ind w:right="-96"/>
              <w:textAlignment w:val="baseline"/>
              <w:rPr>
                <w:rFonts w:hint="eastAsia" w:eastAsia="宋体"/>
                <w:szCs w:val="24"/>
                <w:lang w:val="en-US"/>
              </w:rPr>
            </w:pPr>
            <w:r>
              <w:rPr>
                <w:rFonts w:hint="eastAsia" w:eastAsia="宋体"/>
                <w:szCs w:val="24"/>
                <w:lang w:val="en-US"/>
              </w:rPr>
              <w:t>R2D and D2R signal(s)</w:t>
            </w:r>
            <w:r>
              <w:rPr>
                <w:rFonts w:hint="eastAsia" w:eastAsia="宋体"/>
                <w:szCs w:val="24"/>
                <w:lang w:val="en-US" w:eastAsia="zh-CN"/>
              </w:rPr>
              <w:t>.</w:t>
            </w:r>
          </w:p>
          <w:p>
            <w:pPr>
              <w:keepNext w:val="0"/>
              <w:keepLines w:val="0"/>
              <w:widowControl/>
              <w:numPr>
                <w:ilvl w:val="1"/>
                <w:numId w:val="7"/>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Cs w:val="24"/>
                <w:lang w:val="en-US"/>
              </w:rPr>
              <w:t>Multiplexing/multiple access in R2D is by only TDMA, and in D2R is by only TDMA and FDMA.</w:t>
            </w:r>
          </w:p>
        </w:tc>
      </w:tr>
    </w:tbl>
    <w:p>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hint="eastAsia" w:eastAsia="宋体"/>
          <w:lang w:val="en-US" w:eastAsia="zh-CN"/>
        </w:rPr>
        <w:t xml:space="preserve">a few </w:t>
      </w:r>
      <w:r>
        <w:rPr>
          <w:rFonts w:eastAsia="宋体"/>
          <w:lang w:val="en-US" w:eastAsia="zh-CN"/>
        </w:rPr>
        <w:t>aspects</w:t>
      </w:r>
      <w:r>
        <w:rPr>
          <w:rFonts w:hint="eastAsia" w:eastAsia="宋体"/>
          <w:lang w:val="en-US" w:eastAsia="zh-CN"/>
        </w:rPr>
        <w:t xml:space="preserve"> related to</w:t>
      </w:r>
      <w:r>
        <w:rPr>
          <w:rFonts w:eastAsia="宋体"/>
          <w:lang w:val="en-US" w:eastAsia="zh-CN"/>
        </w:rPr>
        <w:t xml:space="preserve"> </w:t>
      </w:r>
      <w:r>
        <w:rPr>
          <w:rFonts w:hint="eastAsia" w:eastAsia="宋体"/>
          <w:lang w:val="en-US" w:eastAsia="zh-CN"/>
        </w:rPr>
        <w:t>multiplexing/multiple access, scheduling information, and timing relationships in A-IoT.</w:t>
      </w:r>
    </w:p>
    <w:p>
      <w:pPr>
        <w:pStyle w:val="2"/>
        <w:spacing w:after="180"/>
        <w:rPr>
          <w:lang w:val="en-US"/>
        </w:rPr>
      </w:pPr>
      <w:r>
        <w:rPr>
          <w:lang w:val="en-US"/>
        </w:rPr>
        <w:t>Discussion</w:t>
      </w:r>
    </w:p>
    <w:p>
      <w:pPr>
        <w:pStyle w:val="3"/>
        <w:spacing w:after="180"/>
        <w:rPr>
          <w:lang w:val="en-US" w:eastAsia="zh-CN"/>
        </w:rPr>
      </w:pPr>
      <w:bookmarkStart w:id="3" w:name="_Ref17383"/>
      <w:r>
        <w:rPr>
          <w:rFonts w:hint="eastAsia"/>
          <w:lang w:val="en-US" w:eastAsia="zh-CN"/>
        </w:rPr>
        <w:t>D2R data rate</w:t>
      </w:r>
    </w:p>
    <w:p>
      <w:pPr>
        <w:rPr>
          <w:szCs w:val="24"/>
          <w:lang w:val="en-US" w:eastAsia="zh-CN"/>
        </w:rPr>
      </w:pPr>
      <w:r>
        <w:rPr>
          <w:rFonts w:hint="eastAsia"/>
          <w:szCs w:val="24"/>
          <w:lang w:val="en-US" w:eastAsia="zh-CN"/>
        </w:rPr>
        <w:t>The following was agreed in RAN1#120-bis,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pStyle w:val="22"/>
              <w:keepNext w:val="0"/>
              <w:keepLines w:val="0"/>
              <w:widowControl/>
              <w:suppressLineNumbers w:val="0"/>
              <w:spacing w:before="0" w:beforeAutospacing="0"/>
              <w:ind w:left="0" w:right="0"/>
              <w:rPr>
                <w:rFonts w:hint="eastAsia"/>
                <w:szCs w:val="24"/>
                <w:lang w:eastAsia="zh-CN"/>
              </w:rPr>
            </w:pPr>
            <w:r>
              <w:rPr>
                <w:rFonts w:hint="eastAsia"/>
                <w:szCs w:val="24"/>
                <w:highlight w:val="green"/>
                <w:lang w:eastAsia="zh-CN"/>
              </w:rPr>
              <w:t>Agreement</w:t>
            </w:r>
          </w:p>
          <w:p>
            <w:pPr>
              <w:keepNext w:val="0"/>
              <w:keepLines w:val="0"/>
              <w:widowControl/>
              <w:suppressLineNumbers w:val="0"/>
              <w:adjustRightInd w:val="0"/>
              <w:spacing w:before="0" w:beforeAutospacing="0"/>
              <w:ind w:left="0" w:right="0"/>
              <w:rPr>
                <w:rFonts w:hint="eastAsia" w:eastAsiaTheme="minorEastAsia"/>
                <w:szCs w:val="24"/>
                <w:lang w:val="en-US" w:eastAsia="zh-CN"/>
              </w:rPr>
            </w:pPr>
            <w:r>
              <w:rPr>
                <w:rFonts w:hint="eastAsia" w:eastAsia="等线"/>
                <w:bCs/>
                <w:color w:val="000000" w:themeColor="text1"/>
                <w:szCs w:val="24"/>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tc>
      </w:tr>
    </w:tbl>
    <w:p>
      <w:pPr>
        <w:spacing w:before="180" w:beforeLines="50" w:beforeAutospacing="1" w:after="180" w:afterLines="50" w:afterAutospacing="0"/>
        <w:rPr>
          <w:szCs w:val="24"/>
          <w:lang w:val="en-US" w:eastAsia="zh-CN"/>
        </w:rPr>
      </w:pPr>
      <w:r>
        <w:rPr>
          <w:rFonts w:hint="eastAsia"/>
          <w:szCs w:val="24"/>
          <w:lang w:val="en-US" w:eastAsia="zh-CN"/>
        </w:rPr>
        <w:t>The following was also discussed in RAN1#120-bis, with no consensus yet,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keepNext/>
              <w:keepLines w:val="0"/>
              <w:widowControl/>
              <w:suppressLineNumbers w:val="0"/>
              <w:adjustRightInd w:val="0"/>
              <w:spacing w:before="0" w:beforeAutospacing="0" w:after="180" w:afterLines="50" w:afterAutospacing="0"/>
              <w:ind w:left="100" w:right="0"/>
              <w:jc w:val="left"/>
              <w:outlineLvl w:val="2"/>
              <w:rPr>
                <w:rFonts w:hint="eastAsia" w:ascii="Arial" w:hAnsi="Arial" w:eastAsia="等线" w:cs="Arial"/>
                <w:b w:val="0"/>
                <w:bCs w:val="0"/>
                <w:sz w:val="24"/>
                <w:szCs w:val="24"/>
                <w:lang w:val="en-US" w:eastAsia="zh-CN"/>
              </w:rPr>
            </w:pPr>
            <w:r>
              <w:rPr>
                <w:rFonts w:hint="eastAsia" w:ascii="Arial" w:hAnsi="Arial" w:eastAsia="等线" w:cs="Arial"/>
                <w:b w:val="0"/>
                <w:bCs w:val="0"/>
                <w:sz w:val="24"/>
                <w:szCs w:val="24"/>
                <w:lang w:val="en-US" w:eastAsia="zh-CN"/>
              </w:rPr>
              <w:t xml:space="preserve">[Close][High] </w:t>
            </w:r>
            <w:r>
              <w:rPr>
                <w:rFonts w:hint="eastAsia" w:ascii="Arial" w:hAnsi="Arial" w:eastAsia="Batang" w:cs="Arial"/>
                <w:b w:val="0"/>
                <w:bCs w:val="0"/>
                <w:sz w:val="24"/>
                <w:szCs w:val="24"/>
                <w:lang w:val="en-US" w:eastAsia="en-US"/>
              </w:rPr>
              <w:t>FL</w:t>
            </w:r>
            <w:r>
              <w:rPr>
                <w:rFonts w:hint="eastAsia" w:ascii="Arial" w:hAnsi="Arial" w:eastAsia="宋体" w:cs="Arial"/>
                <w:b w:val="0"/>
                <w:bCs w:val="0"/>
                <w:sz w:val="24"/>
                <w:szCs w:val="24"/>
                <w:lang w:val="en-US" w:eastAsia="zh-CN"/>
              </w:rPr>
              <w:t>3</w:t>
            </w:r>
            <w:r>
              <w:rPr>
                <w:rFonts w:hint="eastAsia" w:ascii="Arial" w:hAnsi="Arial" w:eastAsia="Batang" w:cs="Arial"/>
                <w:b w:val="0"/>
                <w:bCs w:val="0"/>
                <w:sz w:val="24"/>
                <w:szCs w:val="24"/>
                <w:lang w:val="en-US" w:eastAsia="en-US"/>
              </w:rPr>
              <w:t xml:space="preserve"> </w:t>
            </w:r>
            <w:r>
              <w:rPr>
                <w:rFonts w:hint="eastAsia" w:ascii="Arial" w:hAnsi="Arial" w:eastAsia="等线" w:cs="Arial"/>
                <w:b w:val="0"/>
                <w:bCs w:val="0"/>
                <w:sz w:val="24"/>
                <w:szCs w:val="24"/>
                <w:lang w:val="en-US" w:eastAsia="zh-CN"/>
              </w:rPr>
              <w:t>Proposal 3.2-1a</w:t>
            </w:r>
          </w:p>
          <w:p>
            <w:pPr>
              <w:keepNext w:val="0"/>
              <w:keepLines w:val="0"/>
              <w:widowControl/>
              <w:numPr>
                <w:ilvl w:val="0"/>
                <w:numId w:val="8"/>
              </w:numPr>
              <w:suppressLineNumbers w:val="0"/>
              <w:adjustRightInd w:val="0"/>
              <w:spacing w:before="0" w:beforeAutospacing="0" w:after="0" w:afterAutospacing="0" w:line="259" w:lineRule="auto"/>
              <w:ind w:right="0"/>
              <w:rPr>
                <w:rFonts w:hint="eastAsia" w:eastAsia="等线"/>
                <w:b w:val="0"/>
                <w:bCs w:val="0"/>
                <w:sz w:val="24"/>
                <w:szCs w:val="24"/>
                <w:lang w:val="en-US" w:eastAsia="zh-CN"/>
              </w:rPr>
            </w:pPr>
            <w:r>
              <w:rPr>
                <w:rFonts w:hint="eastAsia" w:eastAsia="Batang"/>
                <w:b w:val="0"/>
                <w:bCs w:val="0"/>
                <w:sz w:val="24"/>
                <w:szCs w:val="24"/>
                <w:lang w:eastAsia="en-US"/>
              </w:rPr>
              <w:t>[…]</w:t>
            </w:r>
          </w:p>
          <w:p>
            <w:pPr>
              <w:keepNext w:val="0"/>
              <w:keepLines w:val="0"/>
              <w:widowControl/>
              <w:numPr>
                <w:ilvl w:val="0"/>
                <w:numId w:val="8"/>
              </w:numPr>
              <w:suppressLineNumbers w:val="0"/>
              <w:adjustRightInd w:val="0"/>
              <w:spacing w:before="0" w:beforeLines="-2147483648" w:beforeAutospacing="0" w:after="0" w:afterLines="-2147483648" w:afterAutospacing="0" w:line="259" w:lineRule="auto"/>
              <w:ind w:right="0"/>
              <w:rPr>
                <w:rFonts w:hint="eastAsia" w:eastAsiaTheme="minorEastAsia"/>
                <w:szCs w:val="24"/>
                <w:lang w:val="en-US" w:eastAsia="zh-CN"/>
              </w:rPr>
            </w:pPr>
            <w:r>
              <w:rPr>
                <w:rFonts w:hint="eastAsia" w:eastAsia="Batang"/>
                <w:b w:val="0"/>
                <w:bCs w:val="0"/>
                <w:sz w:val="24"/>
                <w:szCs w:val="24"/>
                <w:lang w:val="en-US" w:eastAsia="zh-CN"/>
              </w:rPr>
              <w:t xml:space="preserve">For </w:t>
            </w:r>
            <w:r>
              <w:rPr>
                <w:rFonts w:hint="eastAsia" w:eastAsia="Batang"/>
                <w:b w:val="0"/>
                <w:bCs w:val="0"/>
                <w:sz w:val="24"/>
                <w:szCs w:val="24"/>
                <w:lang w:eastAsia="zh-CN"/>
              </w:rPr>
              <w:t>FDMA of multiple Msg3 transmissions in response to a PRDCH for Msg2 transmission</w:t>
            </w:r>
            <w:r>
              <w:rPr>
                <w:rFonts w:hint="eastAsia" w:eastAsia="Batang"/>
                <w:b w:val="0"/>
                <w:bCs w:val="0"/>
                <w:sz w:val="24"/>
                <w:szCs w:val="24"/>
                <w:lang w:val="en-US" w:eastAsia="zh-CN"/>
              </w:rPr>
              <w:t xml:space="preserve">, FFS same or different data rate(s) for the FDMed Msg3 transmissions. </w:t>
            </w:r>
          </w:p>
        </w:tc>
      </w:tr>
    </w:tbl>
    <w:p>
      <w:pPr>
        <w:spacing w:before="180" w:beforeLines="50" w:beforeAutospacing="1" w:after="180" w:afterLines="50" w:afterAutospacing="0"/>
        <w:rPr>
          <w:rFonts w:hint="eastAsia"/>
          <w:szCs w:val="24"/>
          <w:lang w:val="en-US" w:eastAsia="zh-CN"/>
        </w:rPr>
      </w:pPr>
      <w:r>
        <w:rPr>
          <w:rFonts w:hint="eastAsia"/>
          <w:szCs w:val="24"/>
          <w:lang w:val="en-US" w:eastAsia="zh-CN"/>
        </w:rPr>
        <w:t>We support only same data rate for FDM</w:t>
      </w:r>
      <w:r>
        <w:rPr>
          <w:rFonts w:hint="default"/>
          <w:szCs w:val="24"/>
          <w:lang w:val="en-US" w:eastAsia="zh-CN"/>
        </w:rPr>
        <w:t>’</w:t>
      </w:r>
      <w:r>
        <w:rPr>
          <w:rFonts w:hint="eastAsia"/>
          <w:szCs w:val="24"/>
          <w:lang w:val="en-US" w:eastAsia="zh-CN"/>
        </w:rPr>
        <w:t xml:space="preserve">ed Msg3 transmissions, mainly because of no requirement on </w:t>
      </w:r>
      <w:r>
        <w:rPr>
          <w:rFonts w:hint="default"/>
          <w:szCs w:val="24"/>
          <w:lang w:val="en-US" w:eastAsia="zh-CN"/>
        </w:rPr>
        <w:t>“</w:t>
      </w:r>
      <w:r>
        <w:rPr>
          <w:rFonts w:hint="eastAsia"/>
          <w:szCs w:val="24"/>
          <w:lang w:val="en-US" w:eastAsia="zh-CN"/>
        </w:rPr>
        <w:t>scheduling flexibility</w:t>
      </w:r>
      <w:r>
        <w:rPr>
          <w:rFonts w:hint="default"/>
          <w:szCs w:val="24"/>
          <w:lang w:val="en-US" w:eastAsia="zh-CN"/>
        </w:rPr>
        <w:t>”</w:t>
      </w:r>
      <w:r>
        <w:rPr>
          <w:rFonts w:hint="eastAsia"/>
          <w:szCs w:val="24"/>
          <w:lang w:val="en-US" w:eastAsia="zh-CN"/>
        </w:rPr>
        <w:t xml:space="preserve"> on data rate for Msg3: in a same inventory round the Device ID carried in each FDM</w:t>
      </w:r>
      <w:r>
        <w:rPr>
          <w:rFonts w:hint="default"/>
          <w:szCs w:val="24"/>
          <w:lang w:val="en-US" w:eastAsia="zh-CN"/>
        </w:rPr>
        <w:t>’</w:t>
      </w:r>
      <w:r>
        <w:rPr>
          <w:rFonts w:hint="eastAsia"/>
          <w:szCs w:val="24"/>
          <w:lang w:val="en-US" w:eastAsia="zh-CN"/>
        </w:rPr>
        <w:t>ed Msg3 should have a same length (even though the Device ID field in Msg3 may have a variable size depending on higher layer service configurations).</w:t>
      </w:r>
    </w:p>
    <w:p>
      <w:pPr>
        <w:widowControl w:val="0"/>
        <w:numPr>
          <w:ilvl w:val="0"/>
          <w:numId w:val="9"/>
        </w:numPr>
        <w:tabs>
          <w:tab w:val="left" w:pos="1418"/>
        </w:tabs>
        <w:snapToGrid/>
        <w:spacing w:before="240" w:after="0" w:afterAutospacing="0"/>
        <w:ind w:left="1440" w:hanging="1440"/>
        <w:rPr>
          <w:rFonts w:eastAsiaTheme="minorEastAsia"/>
          <w:szCs w:val="24"/>
          <w:lang w:val="en-US" w:eastAsia="zh-CN"/>
        </w:rPr>
      </w:pPr>
      <w:r>
        <w:rPr>
          <w:rFonts w:hint="eastAsia" w:eastAsiaTheme="minorEastAsia"/>
          <w:szCs w:val="24"/>
          <w:lang w:val="en-US" w:eastAsia="zh-CN"/>
        </w:rPr>
        <w:t>For FDMA of multiple Msg3 transmissions in response to a PRDCH for Msg2 transmission, support only same data rate for the FDMed Msg3 transmissions.</w:t>
      </w:r>
    </w:p>
    <w:p>
      <w:pPr>
        <w:pStyle w:val="3"/>
        <w:spacing w:after="180"/>
        <w:rPr>
          <w:lang w:val="en-US" w:eastAsia="zh-CN"/>
        </w:rPr>
      </w:pPr>
      <w:r>
        <w:rPr>
          <w:lang w:val="en-US" w:eastAsia="zh-CN"/>
        </w:rPr>
        <w:t>Msg3 transmission</w:t>
      </w:r>
    </w:p>
    <w:p>
      <w:pPr>
        <w:pStyle w:val="4"/>
        <w:spacing w:after="180"/>
        <w:rPr>
          <w:rFonts w:hint="default" w:cs="Times New Roman"/>
          <w:sz w:val="24"/>
          <w:szCs w:val="28"/>
          <w:lang w:val="en-US" w:eastAsia="zh-CN"/>
        </w:rPr>
      </w:pPr>
      <w:r>
        <w:rPr>
          <w:rFonts w:hint="default" w:cs="Times New Roman"/>
          <w:sz w:val="24"/>
          <w:lang w:val="en-US" w:eastAsia="zh-CN"/>
        </w:rPr>
        <w:t>Time-domain resource allocation for Msg3 transmission</w:t>
      </w:r>
    </w:p>
    <w:p>
      <w:pPr>
        <w:rPr>
          <w:rFonts w:hint="eastAsia"/>
          <w:szCs w:val="24"/>
          <w:lang w:val="en-US" w:eastAsia="zh-CN"/>
        </w:rPr>
      </w:pPr>
      <w:r>
        <w:rPr>
          <w:rFonts w:hint="eastAsia"/>
          <w:szCs w:val="24"/>
          <w:lang w:val="en-US" w:eastAsia="zh-CN"/>
        </w:rPr>
        <w:t>The following table was captured in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napToGrid w:val="0"/>
              <w:spacing w:before="0" w:beforeAutospacing="0" w:after="50" w:afterAutospacing="0"/>
              <w:ind w:left="0" w:right="0"/>
              <w:jc w:val="center"/>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Table 2.1.2-1</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2612"/>
              <w:gridCol w:w="2294"/>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p>
              </w:tc>
              <w:tc>
                <w:tcPr>
                  <w:tcW w:w="2612" w:type="dxa"/>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jc w:val="center"/>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TDMA of Msg3s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p>
              </w:tc>
              <w:tc>
                <w:tcPr>
                  <w:tcW w:w="229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Non-interleaving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 xml:space="preserve">One Common Msg2 </w:t>
                  </w:r>
                </w:p>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 xml:space="preserve">Case 1: Support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50" w:afterAutospacing="0"/>
                          <w:ind w:left="0" w:right="0"/>
                          <w:jc w:val="center"/>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Common Msg2</w:t>
                        </w:r>
                      </w:p>
                    </w:tc>
                    <w:tc>
                      <w:tcPr>
                        <w:tcW w:w="9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p>
                    </w:tc>
                    <w:tc>
                      <w:tcPr>
                        <w:tcW w:w="9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Msg3</w:t>
                        </w:r>
                      </w:p>
                    </w:tc>
                  </w:tr>
                </w:tbl>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p>
              </w:tc>
              <w:tc>
                <w:tcPr>
                  <w:tcW w:w="229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w:t>
                  </w:r>
                </w:p>
              </w:tc>
              <w:tc>
                <w:tcPr>
                  <w:tcW w:w="240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jc w:val="center"/>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Case 4: ?</w:t>
                  </w:r>
                </w:p>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(Common Msg2, Msg3,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 xml:space="preserve">Separate Msg2s </w:t>
                  </w:r>
                </w:p>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jc w:val="center"/>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Case 2: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695"/>
                    <w:gridCol w:w="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Msg2</w:t>
                        </w:r>
                      </w:p>
                    </w:tc>
                    <w:tc>
                      <w:tcPr>
                        <w:tcW w:w="9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p>
                    </w:tc>
                    <w:tc>
                      <w:tcPr>
                        <w:tcW w:w="9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Msg3</w:t>
                        </w:r>
                      </w:p>
                    </w:tc>
                  </w:tr>
                </w:tbl>
                <w:p>
                  <w:pPr>
                    <w:keepNext w:val="0"/>
                    <w:keepLines w:val="0"/>
                    <w:widowControl/>
                    <w:suppressLineNumbers w:val="0"/>
                    <w:snapToGrid w:val="0"/>
                    <w:spacing w:before="0" w:beforeAutospacing="0" w:after="50" w:afterAutospacing="0"/>
                    <w:ind w:left="0" w:right="0"/>
                    <w:rPr>
                      <w:rFonts w:hint="eastAsia" w:eastAsia="等线"/>
                      <w:b w:val="0"/>
                      <w:bCs w:val="0"/>
                      <w:color w:val="000000" w:themeColor="text1"/>
                      <w:kern w:val="2"/>
                      <w:sz w:val="21"/>
                      <w:szCs w:val="22"/>
                      <w:highlight w:val="none"/>
                      <w:lang w:eastAsia="zh-CN"/>
                      <w14:textFill>
                        <w14:solidFill>
                          <w14:schemeClr w14:val="tx1"/>
                        </w14:solidFill>
                      </w14:textFill>
                    </w:rPr>
                  </w:pPr>
                </w:p>
              </w:tc>
              <w:tc>
                <w:tcPr>
                  <w:tcW w:w="229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jc w:val="center"/>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Case 3: ?</w:t>
                  </w:r>
                </w:p>
                <w:p>
                  <w:pPr>
                    <w:keepNext w:val="0"/>
                    <w:keepLines w:val="0"/>
                    <w:widowControl/>
                    <w:suppressLineNumbers w:val="0"/>
                    <w:snapToGrid w:val="0"/>
                    <w:spacing w:before="0" w:beforeAutospacing="0" w:after="50" w:afterAutospacing="0"/>
                    <w:ind w:left="0" w:right="0"/>
                    <w:jc w:val="center"/>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(Msg2, Msg3, Msg2, Msg3)</w:t>
                  </w:r>
                </w:p>
              </w:tc>
              <w:tc>
                <w:tcPr>
                  <w:tcW w:w="240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50" w:afterAutospacing="0"/>
                    <w:ind w:left="0" w:right="0"/>
                    <w:jc w:val="center"/>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Case 5: ?</w:t>
                  </w:r>
                </w:p>
                <w:p>
                  <w:pPr>
                    <w:keepNext w:val="0"/>
                    <w:keepLines w:val="0"/>
                    <w:widowControl/>
                    <w:suppressLineNumbers w:val="0"/>
                    <w:snapToGrid w:val="0"/>
                    <w:spacing w:before="0" w:beforeAutospacing="0" w:after="50" w:afterAutospacing="0"/>
                    <w:ind w:left="0" w:right="0"/>
                    <w:jc w:val="center"/>
                    <w:rPr>
                      <w:rFonts w:hint="eastAsia" w:eastAsia="等线"/>
                      <w:b w:val="0"/>
                      <w:bCs w:val="0"/>
                      <w:color w:val="000000" w:themeColor="text1"/>
                      <w:kern w:val="2"/>
                      <w:sz w:val="21"/>
                      <w:szCs w:val="22"/>
                      <w:highlight w:val="none"/>
                      <w:lang w:eastAsia="zh-CN"/>
                      <w14:textFill>
                        <w14:solidFill>
                          <w14:schemeClr w14:val="tx1"/>
                        </w14:solidFill>
                      </w14:textFill>
                    </w:rPr>
                  </w:pPr>
                  <w:r>
                    <w:rPr>
                      <w:rFonts w:hint="eastAsia" w:eastAsia="等线"/>
                      <w:b w:val="0"/>
                      <w:bCs w:val="0"/>
                      <w:color w:val="000000" w:themeColor="text1"/>
                      <w:kern w:val="2"/>
                      <w:sz w:val="21"/>
                      <w:szCs w:val="22"/>
                      <w:highlight w:val="none"/>
                      <w:lang w:eastAsia="zh-CN"/>
                      <w14:textFill>
                        <w14:solidFill>
                          <w14:schemeClr w14:val="tx1"/>
                        </w14:solidFill>
                      </w14:textFill>
                    </w:rPr>
                    <w:t>(Msg2, Msg2, Msg3, Msg3)</w:t>
                  </w:r>
                </w:p>
              </w:tc>
            </w:tr>
          </w:tbl>
          <w:p>
            <w:pPr>
              <w:keepNext w:val="0"/>
              <w:keepLines w:val="0"/>
              <w:widowControl/>
              <w:suppressLineNumbers w:val="0"/>
              <w:spacing w:before="0" w:beforeAutospacing="0"/>
              <w:ind w:left="0" w:right="0"/>
              <w:rPr>
                <w:rFonts w:hint="default"/>
                <w:szCs w:val="24"/>
                <w:vertAlign w:val="baseline"/>
                <w:lang w:val="en-US" w:eastAsia="zh-CN"/>
              </w:rPr>
            </w:pPr>
          </w:p>
        </w:tc>
      </w:tr>
    </w:tbl>
    <w:p>
      <w:pPr>
        <w:spacing w:before="100" w:beforeAutospacing="1"/>
        <w:rPr>
          <w:szCs w:val="24"/>
          <w:lang w:val="en-US" w:eastAsia="zh-CN"/>
        </w:rPr>
      </w:pPr>
      <w:r>
        <w:rPr>
          <w:rFonts w:hint="eastAsia"/>
          <w:szCs w:val="24"/>
          <w:lang w:val="en-US" w:eastAsia="zh-CN"/>
        </w:rPr>
        <w:t>A</w:t>
      </w:r>
      <w:r>
        <w:rPr>
          <w:szCs w:val="24"/>
          <w:lang w:val="en-US" w:eastAsia="zh-CN"/>
        </w:rPr>
        <w:t xml:space="preserve">s captured in clause 6.3.5 of TR 38.769, retransmission of Msg2 had been agreed to be supported during the SI phase (e.g. for scheduling retransmissions of Msg3 for some of the devices), in which case </w:t>
      </w:r>
      <w:r>
        <w:rPr>
          <w:rFonts w:hint="eastAsia" w:ascii="Times New Roman" w:hAnsi="Times New Roman" w:cs="Times New Roman"/>
          <w:szCs w:val="24"/>
          <w:lang w:val="en-US" w:eastAsia="zh-CN"/>
        </w:rPr>
        <w:t xml:space="preserve">there </w:t>
      </w:r>
      <w:r>
        <w:rPr>
          <w:szCs w:val="24"/>
          <w:lang w:val="en-US" w:eastAsia="zh-CN"/>
        </w:rPr>
        <w:t>might be “interleaved Msg3 transmissions” anyway</w:t>
      </w:r>
      <w:r>
        <w:rPr>
          <w:rFonts w:hint="eastAsia"/>
          <w:szCs w:val="24"/>
          <w:lang w:val="en-US" w:eastAsia="zh-CN"/>
        </w:rPr>
        <w:t xml:space="preserve"> (i.e. a first round of </w:t>
      </w:r>
      <w:r>
        <w:rPr>
          <w:szCs w:val="24"/>
          <w:lang w:val="en-US" w:eastAsia="zh-CN"/>
        </w:rPr>
        <w:t>“</w:t>
      </w:r>
      <w:r>
        <w:rPr>
          <w:rFonts w:hint="eastAsia"/>
          <w:szCs w:val="24"/>
          <w:lang w:val="en-US" w:eastAsia="zh-CN"/>
        </w:rPr>
        <w:t>Msg2-Msg3</w:t>
      </w:r>
      <w:r>
        <w:rPr>
          <w:szCs w:val="24"/>
          <w:lang w:val="en-US" w:eastAsia="zh-CN"/>
        </w:rPr>
        <w:t>”</w:t>
      </w:r>
      <w:r>
        <w:rPr>
          <w:rFonts w:hint="eastAsia"/>
          <w:szCs w:val="24"/>
          <w:lang w:val="en-US" w:eastAsia="zh-CN"/>
        </w:rPr>
        <w:t xml:space="preserve"> may be immediately </w:t>
      </w:r>
      <w:r>
        <w:rPr>
          <w:rFonts w:hint="eastAsia" w:ascii="Times New Roman" w:hAnsi="Times New Roman" w:cs="Times New Roman"/>
          <w:szCs w:val="24"/>
          <w:lang w:val="en-US" w:eastAsia="zh-CN"/>
        </w:rPr>
        <w:t xml:space="preserve">followed </w:t>
      </w:r>
      <w:r>
        <w:rPr>
          <w:rFonts w:hint="eastAsia"/>
          <w:szCs w:val="24"/>
          <w:lang w:val="en-US" w:eastAsia="zh-CN"/>
        </w:rPr>
        <w:t xml:space="preserve">by a second round of </w:t>
      </w:r>
      <w:r>
        <w:rPr>
          <w:szCs w:val="24"/>
          <w:lang w:val="en-US" w:eastAsia="zh-CN"/>
        </w:rPr>
        <w:t>“</w:t>
      </w:r>
      <w:r>
        <w:rPr>
          <w:rFonts w:hint="eastAsia"/>
          <w:szCs w:val="24"/>
          <w:lang w:val="en-US" w:eastAsia="zh-CN"/>
        </w:rPr>
        <w:t>Msg2-Msg3</w:t>
      </w:r>
      <w:r>
        <w:rPr>
          <w:szCs w:val="24"/>
          <w:lang w:val="en-US" w:eastAsia="zh-CN"/>
        </w:rPr>
        <w:t>”</w:t>
      </w:r>
      <w:r>
        <w:rPr>
          <w:rFonts w:hint="eastAsia"/>
          <w:szCs w:val="24"/>
          <w:lang w:val="en-US" w:eastAsia="zh-CN"/>
        </w:rPr>
        <w:t xml:space="preserve"> due to Msg2 retransmission).</w:t>
      </w:r>
      <w:r>
        <w:rPr>
          <w:szCs w:val="24"/>
          <w:lang w:val="en-US" w:eastAsia="zh-CN"/>
        </w:rPr>
        <w:t xml:space="preserve"> </w:t>
      </w:r>
      <w:r>
        <w:rPr>
          <w:rFonts w:hint="eastAsia"/>
          <w:szCs w:val="24"/>
          <w:lang w:val="en-US" w:eastAsia="zh-CN"/>
        </w:rPr>
        <w:t xml:space="preserve">Therefore, </w:t>
      </w:r>
      <w:r>
        <w:rPr>
          <w:szCs w:val="24"/>
          <w:lang w:val="en-US" w:eastAsia="zh-CN"/>
        </w:rPr>
        <w:t xml:space="preserve">we think </w:t>
      </w:r>
      <w:r>
        <w:rPr>
          <w:rFonts w:hint="eastAsia"/>
          <w:szCs w:val="24"/>
          <w:lang w:val="en-US" w:eastAsia="zh-CN"/>
        </w:rPr>
        <w:t>Case 3 in the table above</w:t>
      </w:r>
      <w:r>
        <w:rPr>
          <w:szCs w:val="24"/>
          <w:lang w:val="en-US" w:eastAsia="zh-CN"/>
        </w:rPr>
        <w:t xml:space="preserve"> </w:t>
      </w:r>
      <w:r>
        <w:rPr>
          <w:rFonts w:hint="eastAsia"/>
          <w:szCs w:val="24"/>
          <w:lang w:val="en-US" w:eastAsia="zh-CN"/>
        </w:rPr>
        <w:t>is</w:t>
      </w:r>
      <w:r>
        <w:rPr>
          <w:szCs w:val="24"/>
          <w:lang w:val="en-US" w:eastAsia="zh-CN"/>
        </w:rPr>
        <w:t xml:space="preserve"> already supported.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widowControl/>
              <w:suppressLineNumbers w:val="0"/>
              <w:overflowPunct w:val="0"/>
              <w:autoSpaceDE w:val="0"/>
              <w:autoSpaceDN w:val="0"/>
              <w:adjustRightInd w:val="0"/>
              <w:spacing w:before="120" w:beforeAutospacing="0"/>
              <w:ind w:left="1134" w:right="0" w:hanging="1134"/>
              <w:textAlignment w:val="baseline"/>
              <w:rPr>
                <w:rFonts w:hint="eastAsia" w:ascii="Arial" w:hAnsi="Arial" w:eastAsia="等线"/>
                <w:sz w:val="28"/>
                <w:szCs w:val="20"/>
                <w:lang w:eastAsia="en-GB"/>
              </w:rPr>
            </w:pPr>
            <w:bookmarkStart w:id="4" w:name="_Toc184196382"/>
            <w:r>
              <w:rPr>
                <w:rFonts w:hint="eastAsia" w:ascii="Arial" w:hAnsi="Arial" w:eastAsia="等线"/>
                <w:sz w:val="28"/>
                <w:szCs w:val="20"/>
                <w:lang w:eastAsia="en-GB"/>
              </w:rPr>
              <w:t>6.3.5</w:t>
            </w:r>
            <w:r>
              <w:rPr>
                <w:rFonts w:hint="eastAsia" w:ascii="Arial" w:hAnsi="Arial" w:eastAsia="等线"/>
                <w:sz w:val="28"/>
                <w:szCs w:val="20"/>
                <w:lang w:eastAsia="en-GB"/>
              </w:rPr>
              <w:tab/>
            </w:r>
            <w:r>
              <w:rPr>
                <w:rFonts w:hint="eastAsia" w:ascii="Arial" w:hAnsi="Arial" w:eastAsia="等线"/>
                <w:sz w:val="28"/>
                <w:szCs w:val="20"/>
                <w:lang w:eastAsia="en-GB"/>
              </w:rPr>
              <w:t>A-IoT data transmission</w:t>
            </w:r>
            <w:bookmarkEnd w:id="4"/>
          </w:p>
          <w:p>
            <w:pPr>
              <w:keepNext w:val="0"/>
              <w:keepLines w:val="0"/>
              <w:widowControl/>
              <w:suppressLineNumbers w:val="0"/>
              <w:spacing w:before="0" w:beforeAutospacing="0"/>
              <w:ind w:left="0" w:right="0"/>
              <w:rPr>
                <w:rFonts w:hint="eastAsia" w:eastAsia="等线"/>
                <w:szCs w:val="20"/>
                <w:lang w:eastAsia="zh-CN"/>
              </w:rPr>
            </w:pPr>
            <w:r>
              <w:rPr>
                <w:rFonts w:hint="eastAsia" w:eastAsia="等线"/>
                <w:szCs w:val="20"/>
                <w:lang w:eastAsia="zh-CN"/>
              </w:rPr>
              <w:t xml:space="preserve">According to the protocol stack and functionalities in clause 6.3.2, more detailed data transmission </w:t>
            </w:r>
            <w:r>
              <w:rPr>
                <w:rFonts w:hint="eastAsia"/>
                <w:szCs w:val="20"/>
              </w:rPr>
              <w:t>functionalities are studied in this clause.</w:t>
            </w:r>
          </w:p>
          <w:p>
            <w:pPr>
              <w:keepNext w:val="0"/>
              <w:keepLines w:val="0"/>
              <w:widowControl/>
              <w:suppressLineNumbers w:val="0"/>
              <w:spacing w:before="0" w:beforeAutospacing="0"/>
              <w:ind w:left="0" w:right="0"/>
              <w:rPr>
                <w:rFonts w:hint="eastAsia" w:eastAsia="等线"/>
                <w:szCs w:val="20"/>
                <w:lang w:eastAsia="zh-CN"/>
              </w:rPr>
            </w:pPr>
            <w:r>
              <w:rPr>
                <w:rFonts w:hint="eastAsia" w:eastAsia="等线"/>
                <w:szCs w:val="20"/>
                <w:lang w:eastAsia="zh-CN"/>
              </w:rPr>
              <w:t>The handling of data transmission failure has been studied.</w:t>
            </w:r>
            <w:r>
              <w:rPr>
                <w:rFonts w:hint="eastAsia"/>
                <w:szCs w:val="20"/>
              </w:rPr>
              <w:t xml:space="preserve"> It is understood that the subsequent R2D data transmission after the D2R data transmission does not need to be always sent.</w:t>
            </w:r>
            <w:r>
              <w:rPr>
                <w:rFonts w:hint="eastAsia" w:eastAsia="等线"/>
                <w:szCs w:val="20"/>
                <w:lang w:eastAsia="zh-CN"/>
              </w:rPr>
              <w:t xml:space="preserve"> In case of D2R data transmission failure, the A-IoT device follows the reader </w:t>
            </w:r>
            <w:r>
              <w:rPr>
                <w:rFonts w:hint="eastAsia"/>
                <w:szCs w:val="20"/>
              </w:rPr>
              <w:t xml:space="preserve">subsequent R2D </w:t>
            </w:r>
            <w:r>
              <w:rPr>
                <w:rFonts w:hint="eastAsia" w:eastAsia="等线"/>
                <w:szCs w:val="20"/>
                <w:lang w:eastAsia="zh-CN"/>
              </w:rPr>
              <w:t xml:space="preserve">instruction, if any. </w:t>
            </w:r>
          </w:p>
          <w:p>
            <w:pPr>
              <w:keepNext w:val="0"/>
              <w:keepLines w:val="0"/>
              <w:widowControl/>
              <w:suppressLineNumbers w:val="0"/>
              <w:spacing w:before="0" w:beforeAutospacing="0"/>
              <w:ind w:left="568" w:right="0" w:hanging="284"/>
              <w:rPr>
                <w:rFonts w:hint="eastAsia" w:eastAsia="等线"/>
                <w:szCs w:val="20"/>
                <w:lang w:val="en-US" w:eastAsia="ko-KR"/>
              </w:rPr>
            </w:pPr>
            <w:r>
              <w:rPr>
                <w:rFonts w:hint="eastAsia" w:eastAsia="等线"/>
                <w:szCs w:val="20"/>
                <w:lang w:val="en-US" w:eastAsia="ko-KR"/>
              </w:rPr>
              <w:t>-</w:t>
            </w:r>
            <w:r>
              <w:rPr>
                <w:rFonts w:hint="eastAsia" w:eastAsia="等线"/>
                <w:szCs w:val="20"/>
                <w:lang w:val="en-US" w:eastAsia="ko-KR"/>
              </w:rPr>
              <w:tab/>
            </w:r>
            <w:r>
              <w:rPr>
                <w:rFonts w:hint="eastAsia" w:eastAsia="等线"/>
                <w:szCs w:val="20"/>
                <w:lang w:val="en-US" w:eastAsia="ko-KR"/>
              </w:rPr>
              <w:t xml:space="preserve">For instance, the reader can repeat the R2D upper layer "command" to trigger the A-IoT device to re-send the same D2R upper layer "response" (i.e., the A-IoT device just follows the received R2D to transmit following D2R). </w:t>
            </w:r>
          </w:p>
          <w:p>
            <w:pPr>
              <w:keepNext w:val="0"/>
              <w:keepLines w:val="0"/>
              <w:widowControl/>
              <w:suppressLineNumbers w:val="0"/>
              <w:spacing w:before="0" w:beforeAutospacing="0"/>
              <w:ind w:left="568" w:right="0" w:hanging="284"/>
              <w:rPr>
                <w:rFonts w:hint="eastAsia" w:eastAsia="Malgun Gothic"/>
                <w:szCs w:val="20"/>
                <w:lang w:val="en-US" w:eastAsia="ko-KR"/>
              </w:rPr>
            </w:pPr>
            <w:r>
              <w:rPr>
                <w:rFonts w:hint="eastAsia" w:eastAsia="等线"/>
                <w:szCs w:val="20"/>
                <w:lang w:val="en-US" w:eastAsia="ko-KR"/>
              </w:rPr>
              <w:t>-</w:t>
            </w:r>
            <w:r>
              <w:rPr>
                <w:rFonts w:hint="eastAsia" w:eastAsia="等线"/>
                <w:szCs w:val="20"/>
                <w:lang w:val="en-US" w:eastAsia="ko-KR"/>
              </w:rPr>
              <w:tab/>
            </w:r>
            <w:r>
              <w:rPr>
                <w:rFonts w:hint="eastAsia" w:eastAsia="等线"/>
                <w:szCs w:val="20"/>
                <w:lang w:val="en-US" w:eastAsia="ko-KR"/>
              </w:rPr>
              <w:t xml:space="preserve">For instance, </w:t>
            </w:r>
            <w:r>
              <w:rPr>
                <w:rFonts w:hint="eastAsia" w:eastAsia="等线"/>
                <w:szCs w:val="20"/>
                <w:highlight w:val="yellow"/>
                <w:lang w:val="en-US" w:eastAsia="ko-KR"/>
              </w:rPr>
              <w:t xml:space="preserve">the reader can re-send A-IoT Msg2 to specific device(s) to echo the random ID(s), in case of failure </w:t>
            </w:r>
            <w:r>
              <w:rPr>
                <w:rFonts w:hint="eastAsia" w:eastAsia="等线"/>
                <w:szCs w:val="20"/>
                <w:highlight w:val="yellow"/>
                <w:lang w:val="en-US" w:eastAsia="zh-CN"/>
              </w:rPr>
              <w:t xml:space="preserve">reception </w:t>
            </w:r>
            <w:r>
              <w:rPr>
                <w:rFonts w:hint="eastAsia" w:eastAsia="等线"/>
                <w:szCs w:val="20"/>
                <w:highlight w:val="yellow"/>
                <w:lang w:val="en-US" w:eastAsia="ko-KR"/>
              </w:rPr>
              <w:t>of corresponding D2R data transmission (i.e. "Msg3") after the initial A-IoT Msg2, together with the corresponding D2R resource scheduling.</w:t>
            </w:r>
            <w:r>
              <w:rPr>
                <w:rFonts w:hint="eastAsia" w:eastAsia="等线"/>
                <w:szCs w:val="20"/>
                <w:lang w:val="en-US" w:eastAsia="ko-KR"/>
              </w:rPr>
              <w:t xml:space="preserve"> This can trigger the A-IoT device to re-send the same D2R data transmision (i.e. "Msg3"). If it is supported to include the echoed random IDs for multiple devices, the re-sent A-IoT Msg2 only includes the random IDs of the devices, whose "Msg3" is not successfully received.</w:t>
            </w:r>
          </w:p>
        </w:tc>
      </w:tr>
    </w:tbl>
    <w:p>
      <w:pPr>
        <w:pStyle w:val="19"/>
        <w:ind w:left="1680" w:hanging="1680"/>
        <w:rPr>
          <w:rFonts w:eastAsia="宋体"/>
          <w:lang w:val="en-US" w:eastAsia="zh-CN"/>
        </w:rPr>
      </w:pPr>
      <w:r>
        <w:rPr>
          <w:rFonts w:hint="eastAsia" w:eastAsia="宋体"/>
          <w:lang w:val="en-US" w:eastAsia="zh-CN"/>
        </w:rPr>
        <w:t>On time-domain resource allocation for Msg3 transmission, Case 3 is already supported in order to support retransmission of Msg2.</w:t>
      </w:r>
    </w:p>
    <w:p>
      <w:pPr>
        <w:pStyle w:val="4"/>
        <w:spacing w:after="180"/>
        <w:rPr>
          <w:rFonts w:hint="default" w:cs="Times New Roman"/>
          <w:sz w:val="24"/>
          <w:szCs w:val="28"/>
          <w:lang w:val="en-US" w:eastAsia="zh-CN"/>
        </w:rPr>
      </w:pPr>
      <w:r>
        <w:rPr>
          <w:rFonts w:hint="eastAsia" w:cs="Times New Roman"/>
          <w:sz w:val="24"/>
          <w:lang w:val="en-US" w:eastAsia="zh-CN"/>
        </w:rPr>
        <w:t>Multiplexing of Msg2 and explicit R2D failure/success feedback for Msg3</w:t>
      </w:r>
    </w:p>
    <w:p>
      <w:pPr>
        <w:numPr>
          <w:ilvl w:val="255"/>
          <w:numId w:val="0"/>
        </w:numPr>
        <w:snapToGrid/>
        <w:spacing w:before="100" w:beforeAutospacing="1" w:after="100" w:afterAutospacing="1"/>
        <w:rPr>
          <w:rFonts w:eastAsia="宋体"/>
          <w:lang w:val="en-US" w:eastAsia="zh-CN"/>
        </w:rPr>
      </w:pPr>
      <w:r>
        <w:rPr>
          <w:rFonts w:hint="eastAsia" w:eastAsia="宋体"/>
          <w:lang w:val="en-US" w:eastAsia="zh-CN"/>
        </w:rPr>
        <w:t xml:space="preserve">It was agreed in RAN2 that explicit R2D failure/success indication can be transmitted for either Msg3 </w:t>
      </w:r>
      <w:r>
        <w:rPr>
          <w:rFonts w:eastAsia="宋体"/>
          <w:lang w:val="en-US" w:eastAsia="zh-CN"/>
        </w:rPr>
        <w:t>or</w:t>
      </w:r>
      <w:r>
        <w:rPr>
          <w:rFonts w:hint="eastAsia" w:eastAsia="宋体"/>
          <w:lang w:val="en-US" w:eastAsia="zh-CN"/>
        </w:rPr>
        <w:t xml:space="preserve"> D2R data after Msg3, as captured in </w:t>
      </w:r>
      <w:r>
        <w:rPr>
          <w:szCs w:val="24"/>
          <w:lang w:val="en-US" w:eastAsia="zh-CN"/>
        </w:rPr>
        <w:t>clause 6.3.</w:t>
      </w:r>
      <w:r>
        <w:rPr>
          <w:rFonts w:hint="eastAsia"/>
          <w:szCs w:val="24"/>
          <w:lang w:val="en-US" w:eastAsia="zh-CN"/>
        </w:rPr>
        <w:t>4</w:t>
      </w:r>
      <w:r>
        <w:rPr>
          <w:szCs w:val="24"/>
          <w:lang w:val="en-US" w:eastAsia="zh-CN"/>
        </w:rPr>
        <w:t xml:space="preserve"> of TR 38.769</w:t>
      </w:r>
      <w:r>
        <w:rPr>
          <w:rFonts w:hint="eastAsia" w:eastAsia="宋体"/>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keepLines/>
              <w:widowControl/>
              <w:suppressLineNumbers w:val="0"/>
              <w:overflowPunct w:val="0"/>
              <w:autoSpaceDE w:val="0"/>
              <w:autoSpaceDN w:val="0"/>
              <w:adjustRightInd w:val="0"/>
              <w:spacing w:before="120" w:beforeAutospacing="0" w:after="180"/>
              <w:ind w:left="1134" w:right="0" w:hanging="1134"/>
              <w:textAlignment w:val="baseline"/>
              <w:outlineLvl w:val="2"/>
              <w:rPr>
                <w:rFonts w:hint="eastAsia" w:ascii="Arial" w:hAnsi="Arial" w:eastAsia="等线"/>
                <w:sz w:val="28"/>
                <w:szCs w:val="20"/>
                <w:lang w:eastAsia="en-GB"/>
              </w:rPr>
            </w:pPr>
            <w:bookmarkStart w:id="5" w:name="_Toc184196381"/>
            <w:r>
              <w:rPr>
                <w:rFonts w:hint="eastAsia" w:ascii="Arial" w:hAnsi="Arial" w:eastAsia="等线"/>
                <w:sz w:val="28"/>
                <w:szCs w:val="20"/>
                <w:lang w:eastAsia="en-GB"/>
              </w:rPr>
              <w:t>6.3.4</w:t>
            </w:r>
            <w:r>
              <w:rPr>
                <w:rFonts w:hint="eastAsia" w:ascii="Arial" w:hAnsi="Arial" w:eastAsia="等线"/>
                <w:sz w:val="28"/>
                <w:szCs w:val="20"/>
                <w:lang w:eastAsia="en-GB"/>
              </w:rPr>
              <w:tab/>
            </w:r>
            <w:r>
              <w:rPr>
                <w:rFonts w:hint="eastAsia" w:ascii="Arial" w:hAnsi="Arial" w:eastAsia="等线"/>
                <w:sz w:val="28"/>
                <w:szCs w:val="20"/>
                <w:lang w:eastAsia="en-GB"/>
              </w:rPr>
              <w:t>A-IoT random access procedure</w:t>
            </w:r>
            <w:bookmarkEnd w:id="5"/>
          </w:p>
          <w:p>
            <w:pPr>
              <w:keepNext w:val="0"/>
              <w:keepLines w:val="0"/>
              <w:widowControl/>
              <w:numPr>
                <w:ilvl w:val="255"/>
                <w:numId w:val="0"/>
              </w:numPr>
              <w:suppressLineNumbers w:val="0"/>
              <w:snapToGrid/>
              <w:spacing w:before="0" w:beforeAutospacing="0" w:after="0" w:afterAutospacing="0"/>
              <w:ind w:left="0" w:right="0"/>
              <w:rPr>
                <w:rFonts w:hint="eastAsia" w:eastAsia="宋体"/>
                <w:szCs w:val="24"/>
                <w:lang w:val="en-US" w:eastAsia="zh-CN"/>
              </w:rPr>
            </w:pPr>
            <w:r>
              <w:rPr>
                <w:rFonts w:hint="eastAsia" w:eastAsia="宋体"/>
                <w:szCs w:val="24"/>
                <w:lang w:val="en-US" w:eastAsia="zh-CN"/>
              </w:rPr>
              <w:t>[...]</w:t>
            </w:r>
          </w:p>
          <w:p>
            <w:pPr>
              <w:keepNext w:val="0"/>
              <w:keepLines w:val="0"/>
              <w:widowControl/>
              <w:suppressLineNumbers w:val="0"/>
              <w:spacing w:before="0" w:beforeAutospacing="0"/>
              <w:ind w:left="0" w:right="0"/>
              <w:rPr>
                <w:rFonts w:hint="eastAsia"/>
                <w:szCs w:val="20"/>
              </w:rPr>
            </w:pPr>
            <w:r>
              <w:rPr>
                <w:rFonts w:hint="eastAsia" w:eastAsia="等线"/>
                <w:szCs w:val="20"/>
                <w:lang w:eastAsia="zh-CN"/>
              </w:rPr>
              <w:t>The A-IoT</w:t>
            </w:r>
            <w:r>
              <w:rPr>
                <w:rFonts w:hint="eastAsia"/>
                <w:szCs w:val="20"/>
              </w:rPr>
              <w:t xml:space="preserve"> device is not expected to autonomously re-access. The re-access is always controlled by reader. </w:t>
            </w:r>
            <w:r>
              <w:rPr>
                <w:rFonts w:hint="eastAsia"/>
                <w:szCs w:val="20"/>
                <w:highlight w:val="yellow"/>
              </w:rPr>
              <w:t xml:space="preserve">It is supported for reader to use the optional explicit R2D failure/success feedback indication to </w:t>
            </w:r>
            <w:r>
              <w:rPr>
                <w:rFonts w:hint="eastAsia" w:eastAsia="等线"/>
                <w:szCs w:val="20"/>
                <w:highlight w:val="yellow"/>
                <w:lang w:eastAsia="zh-CN"/>
              </w:rPr>
              <w:t xml:space="preserve">determine </w:t>
            </w:r>
            <w:r>
              <w:rPr>
                <w:rFonts w:hint="eastAsia"/>
                <w:szCs w:val="20"/>
                <w:highlight w:val="yellow"/>
              </w:rPr>
              <w:t>the re-access of device</w:t>
            </w:r>
            <w:r>
              <w:rPr>
                <w:rFonts w:hint="eastAsia"/>
                <w:szCs w:val="20"/>
              </w:rPr>
              <w:t>:</w:t>
            </w:r>
          </w:p>
          <w:p>
            <w:pPr>
              <w:keepNext w:val="0"/>
              <w:keepLines w:val="0"/>
              <w:widowControl/>
              <w:suppressLineNumbers w:val="0"/>
              <w:spacing w:before="0" w:beforeAutospacing="0"/>
              <w:ind w:left="568" w:right="0" w:hanging="284"/>
              <w:rPr>
                <w:rFonts w:hint="eastAsia"/>
                <w:szCs w:val="20"/>
                <w:lang w:val="en-US" w:eastAsia="ko-KR"/>
              </w:rPr>
            </w:pPr>
            <w:r>
              <w:rPr>
                <w:rFonts w:hint="eastAsia"/>
                <w:szCs w:val="20"/>
                <w:lang w:val="en-US" w:eastAsia="ko-KR"/>
              </w:rPr>
              <w:t>-</w:t>
            </w:r>
            <w:r>
              <w:rPr>
                <w:rFonts w:hint="eastAsia"/>
                <w:szCs w:val="20"/>
                <w:lang w:val="en-US" w:eastAsia="ko-KR"/>
              </w:rPr>
              <w:tab/>
            </w:r>
            <w:r>
              <w:rPr>
                <w:rFonts w:hint="eastAsia"/>
                <w:szCs w:val="20"/>
                <w:lang w:val="en-US" w:eastAsia="ko-KR"/>
              </w:rPr>
              <w:t>This indication can be used at least</w:t>
            </w:r>
            <w:r>
              <w:rPr>
                <w:rFonts w:hint="eastAsia" w:eastAsia="等线"/>
                <w:szCs w:val="20"/>
                <w:lang w:val="en-US" w:eastAsia="zh-CN"/>
              </w:rPr>
              <w:t xml:space="preserve"> to determine the re-access for addressing the transmisison failure of the</w:t>
            </w:r>
            <w:r>
              <w:rPr>
                <w:rFonts w:hint="eastAsia"/>
                <w:szCs w:val="20"/>
                <w:lang w:val="en-US" w:eastAsia="ko-KR"/>
              </w:rPr>
              <w:t xml:space="preserve"> first D2R message, which contains the device ID and/or any other upper layer data (i.e. "</w:t>
            </w:r>
            <w:r>
              <w:rPr>
                <w:rFonts w:hint="eastAsia"/>
                <w:szCs w:val="20"/>
                <w:highlight w:val="yellow"/>
                <w:lang w:val="en-US" w:eastAsia="ko-KR"/>
              </w:rPr>
              <w:t>Msg3</w:t>
            </w:r>
            <w:r>
              <w:rPr>
                <w:rFonts w:hint="eastAsia"/>
                <w:szCs w:val="20"/>
                <w:lang w:val="en-US" w:eastAsia="ko-KR"/>
              </w:rPr>
              <w:t>");</w:t>
            </w:r>
          </w:p>
          <w:p>
            <w:pPr>
              <w:keepNext w:val="0"/>
              <w:keepLines w:val="0"/>
              <w:widowControl/>
              <w:suppressLineNumbers w:val="0"/>
              <w:spacing w:before="0" w:beforeAutospacing="0"/>
              <w:ind w:left="568" w:right="0" w:hanging="284"/>
              <w:rPr>
                <w:rFonts w:hint="eastAsia" w:eastAsia="等线"/>
                <w:szCs w:val="20"/>
                <w:lang w:val="en-US" w:eastAsia="zh-CN"/>
              </w:rPr>
            </w:pPr>
            <w:r>
              <w:rPr>
                <w:rFonts w:hint="eastAsia" w:eastAsia="等线"/>
                <w:szCs w:val="20"/>
                <w:lang w:val="en-US" w:eastAsia="zh-CN"/>
              </w:rPr>
              <w:t>-</w:t>
            </w:r>
            <w:r>
              <w:rPr>
                <w:rFonts w:hint="eastAsia" w:eastAsia="等线"/>
                <w:szCs w:val="20"/>
                <w:lang w:val="en-US" w:eastAsia="zh-CN"/>
              </w:rPr>
              <w:tab/>
            </w:r>
            <w:r>
              <w:rPr>
                <w:rFonts w:hint="eastAsia" w:eastAsia="等线"/>
                <w:szCs w:val="20"/>
                <w:lang w:val="en-US" w:eastAsia="zh-CN"/>
              </w:rPr>
              <w:t>This indication can be also used for the following D2R data (as described in clause 6.3.5), to determine the re-access for addressing the transmisison failure.</w:t>
            </w:r>
          </w:p>
          <w:p>
            <w:pPr>
              <w:keepNext w:val="0"/>
              <w:keepLines w:val="0"/>
              <w:widowControl/>
              <w:numPr>
                <w:ilvl w:val="255"/>
                <w:numId w:val="0"/>
              </w:numPr>
              <w:suppressLineNumbers w:val="0"/>
              <w:snapToGrid/>
              <w:spacing w:before="0" w:beforeAutospacing="0" w:after="0" w:afterAutospacing="0"/>
              <w:ind w:left="0" w:right="0"/>
              <w:rPr>
                <w:rFonts w:hint="eastAsia" w:eastAsia="宋体"/>
                <w:szCs w:val="20"/>
                <w:lang w:val="en-US" w:eastAsia="zh-CN"/>
              </w:rPr>
            </w:pPr>
          </w:p>
        </w:tc>
      </w:tr>
    </w:tbl>
    <w:p>
      <w:pPr>
        <w:numPr>
          <w:ilvl w:val="255"/>
          <w:numId w:val="0"/>
        </w:numPr>
        <w:snapToGrid/>
        <w:spacing w:before="100" w:beforeAutospacing="1" w:after="0" w:afterAutospacing="0"/>
        <w:rPr>
          <w:rFonts w:eastAsia="宋体"/>
          <w:lang w:val="en-US" w:eastAsia="zh-CN"/>
        </w:rPr>
      </w:pPr>
      <w:r>
        <w:rPr>
          <w:rFonts w:hint="eastAsia" w:eastAsia="宋体"/>
          <w:lang w:val="en-US" w:eastAsia="zh-CN"/>
        </w:rPr>
        <w:t>It can be seen that for a number of Msg3 transmissions scheduled by a Msg2 transmission,</w:t>
      </w:r>
    </w:p>
    <w:p>
      <w:pPr>
        <w:numPr>
          <w:ilvl w:val="0"/>
          <w:numId w:val="7"/>
        </w:numPr>
        <w:overflowPunct w:val="0"/>
        <w:autoSpaceDE w:val="0"/>
        <w:autoSpaceDN w:val="0"/>
        <w:adjustRightInd w:val="0"/>
        <w:snapToGrid/>
        <w:spacing w:after="120" w:afterAutospacing="0"/>
        <w:ind w:right="-96"/>
        <w:textAlignment w:val="baseline"/>
        <w:rPr>
          <w:rFonts w:eastAsia="宋体"/>
          <w:lang w:val="en-US" w:eastAsia="zh-CN"/>
        </w:rPr>
      </w:pPr>
      <w:r>
        <w:rPr>
          <w:rFonts w:hint="eastAsia" w:eastAsia="宋体"/>
          <w:lang w:val="en-US" w:eastAsia="zh-CN"/>
        </w:rPr>
        <w:t xml:space="preserve">The Msg3 transmissions not </w:t>
      </w:r>
      <w:r>
        <w:rPr>
          <w:rFonts w:eastAsia="宋体"/>
          <w:szCs w:val="24"/>
          <w:lang w:val="en-US" w:eastAsia="zh-CN"/>
        </w:rPr>
        <w:t xml:space="preserve">successfully </w:t>
      </w:r>
      <w:r>
        <w:rPr>
          <w:rFonts w:hint="eastAsia" w:eastAsia="宋体"/>
          <w:lang w:val="en-US" w:eastAsia="zh-CN"/>
        </w:rPr>
        <w:t>received by the Reader may trigger Msg2 retransmissions; and</w:t>
      </w:r>
    </w:p>
    <w:p>
      <w:pPr>
        <w:numPr>
          <w:ilvl w:val="0"/>
          <w:numId w:val="7"/>
        </w:numPr>
        <w:overflowPunct w:val="0"/>
        <w:autoSpaceDE w:val="0"/>
        <w:autoSpaceDN w:val="0"/>
        <w:adjustRightInd w:val="0"/>
        <w:snapToGrid/>
        <w:spacing w:after="120" w:afterAutospacing="0"/>
        <w:ind w:right="-96"/>
        <w:textAlignment w:val="baseline"/>
        <w:rPr>
          <w:rFonts w:eastAsia="宋体"/>
          <w:lang w:val="en-US" w:eastAsia="zh-CN"/>
        </w:rPr>
      </w:pPr>
      <w:r>
        <w:rPr>
          <w:rFonts w:hint="eastAsia" w:eastAsia="宋体"/>
          <w:lang w:val="en-US" w:eastAsia="zh-CN"/>
        </w:rPr>
        <w:t xml:space="preserve">Other Msg3 transmissions, i.e. those successsfully received by the Reader, may trigger </w:t>
      </w:r>
      <w:r>
        <w:rPr>
          <w:rFonts w:eastAsia="宋体"/>
          <w:lang w:val="en-US" w:eastAsia="zh-CN"/>
        </w:rPr>
        <w:t>“</w:t>
      </w:r>
      <w:r>
        <w:rPr>
          <w:rFonts w:hint="eastAsia" w:eastAsia="宋体"/>
          <w:lang w:val="en-US" w:eastAsia="zh-CN"/>
        </w:rPr>
        <w:t>explicit R2D failure/success feedback</w:t>
      </w:r>
      <w:r>
        <w:rPr>
          <w:rFonts w:eastAsia="宋体"/>
          <w:lang w:val="en-US" w:eastAsia="zh-CN"/>
        </w:rPr>
        <w:t>”</w:t>
      </w:r>
      <w:r>
        <w:rPr>
          <w:rFonts w:hint="eastAsia" w:eastAsia="宋体"/>
          <w:lang w:val="en-US" w:eastAsia="zh-CN"/>
        </w:rPr>
        <w:t>.</w:t>
      </w:r>
    </w:p>
    <w:p>
      <w:pPr>
        <w:numPr>
          <w:ilvl w:val="255"/>
          <w:numId w:val="0"/>
        </w:numPr>
        <w:overflowPunct w:val="0"/>
        <w:autoSpaceDE w:val="0"/>
        <w:autoSpaceDN w:val="0"/>
        <w:adjustRightInd w:val="0"/>
        <w:snapToGrid/>
        <w:spacing w:after="120" w:afterAutospacing="0"/>
        <w:ind w:right="-96"/>
        <w:textAlignment w:val="baseline"/>
        <w:rPr>
          <w:rFonts w:eastAsia="宋体"/>
          <w:lang w:val="en-US" w:eastAsia="zh-CN"/>
        </w:rPr>
      </w:pPr>
      <w:r>
        <w:rPr>
          <w:rFonts w:hint="eastAsia" w:eastAsia="宋体"/>
          <w:lang w:val="en-US" w:eastAsia="zh-CN"/>
        </w:rPr>
        <w:t>It seems natural that in order to avoid unnecessary loss in inventory latency it should be supported that signaling of the above two can be multiplexed in a same R2D transmission.</w:t>
      </w:r>
    </w:p>
    <w:p>
      <w:pPr>
        <w:pStyle w:val="19"/>
        <w:ind w:left="1680" w:hanging="1680"/>
        <w:rPr>
          <w:rFonts w:eastAsia="宋体"/>
          <w:lang w:val="en-US" w:eastAsia="zh-CN"/>
        </w:rPr>
      </w:pPr>
      <w:r>
        <w:rPr>
          <w:rFonts w:hint="eastAsia" w:eastAsia="宋体"/>
          <w:lang w:val="en-US" w:eastAsia="zh-CN"/>
        </w:rPr>
        <w:t>It should be supported that the following can be multiplexed in a same R2D transmission:</w:t>
      </w:r>
    </w:p>
    <w:p>
      <w:pPr>
        <w:widowControl w:val="0"/>
        <w:numPr>
          <w:ilvl w:val="3"/>
          <w:numId w:val="10"/>
        </w:numPr>
        <w:snapToGrid/>
        <w:spacing w:after="0" w:afterAutospacing="0"/>
        <w:rPr>
          <w:rFonts w:eastAsia="宋体"/>
          <w:lang w:val="en-US" w:eastAsia="zh-CN"/>
        </w:rPr>
      </w:pPr>
      <w:r>
        <w:rPr>
          <w:rFonts w:hint="eastAsia" w:eastAsia="宋体"/>
          <w:lang w:val="en-US" w:eastAsia="zh-CN"/>
        </w:rPr>
        <w:t>RAR transmissions or retransmissions, and</w:t>
      </w:r>
    </w:p>
    <w:p>
      <w:pPr>
        <w:widowControl w:val="0"/>
        <w:numPr>
          <w:ilvl w:val="3"/>
          <w:numId w:val="10"/>
        </w:numPr>
        <w:snapToGrid/>
        <w:spacing w:after="0" w:afterAutospacing="0"/>
        <w:rPr>
          <w:rFonts w:eastAsia="宋体"/>
          <w:lang w:val="en-US" w:eastAsia="zh-CN"/>
        </w:rPr>
      </w:pPr>
      <w:r>
        <w:rPr>
          <w:rFonts w:hint="eastAsia" w:eastAsia="宋体"/>
          <w:lang w:val="en-US" w:eastAsia="zh-CN"/>
        </w:rPr>
        <w:t>Explicit R2D failure/success feedback for Msg3.</w:t>
      </w:r>
    </w:p>
    <w:p>
      <w:pPr>
        <w:pStyle w:val="3"/>
        <w:spacing w:after="180"/>
        <w:rPr>
          <w:lang w:val="en-US" w:eastAsia="zh-CN"/>
        </w:rPr>
      </w:pPr>
      <w:r>
        <w:rPr>
          <w:rFonts w:hint="eastAsia"/>
          <w:lang w:val="en-US" w:eastAsia="zh-CN"/>
        </w:rPr>
        <w:t>Scheduling information</w:t>
      </w:r>
      <w:bookmarkEnd w:id="3"/>
    </w:p>
    <w:p>
      <w:pPr>
        <w:pStyle w:val="4"/>
        <w:spacing w:after="180"/>
        <w:rPr>
          <w:sz w:val="24"/>
          <w:lang w:val="en-US" w:eastAsia="zh-CN"/>
        </w:rPr>
      </w:pPr>
      <w:r>
        <w:rPr>
          <w:sz w:val="24"/>
          <w:lang w:val="en-US" w:eastAsia="zh-CN"/>
        </w:rPr>
        <w:t>For R2D reception</w:t>
      </w:r>
    </w:p>
    <w:p>
      <w:pPr>
        <w:spacing w:before="180" w:beforeLines="50" w:beforeAutospacing="1" w:after="180" w:afterLines="50"/>
        <w:rPr>
          <w:rFonts w:eastAsia="宋体"/>
          <w:lang w:val="en-US" w:eastAsia="zh-CN"/>
        </w:rPr>
      </w:pPr>
      <w:r>
        <w:rPr>
          <w:rFonts w:hint="eastAsia" w:eastAsia="宋体"/>
          <w:lang w:val="en-US" w:eastAsia="zh-CN"/>
        </w:rPr>
        <w:t>For R2D reception, w</w:t>
      </w:r>
      <w:r>
        <w:rPr>
          <w:rFonts w:eastAsia="宋体"/>
          <w:lang w:val="en-US" w:eastAsia="zh-CN"/>
        </w:rPr>
        <w:t xml:space="preserve">e support the functionality of “early termination” in R2D reception, i.e. by receiving a first part of a PRDCH to determine whether to continue or abort reception of the remaining part of the PRDCH, because for any given device, it is possible that many of the received R2D transmissions (especially those “unicast” R2D transmissions) are not addressed to that device, and it makes no sense for the device to fully receive all these R2D transmissions only to find out that they are not intended for </w:t>
      </w:r>
      <w:r>
        <w:rPr>
          <w:rFonts w:hint="eastAsia" w:eastAsia="宋体"/>
          <w:lang w:val="en-US" w:eastAsia="zh-CN"/>
        </w:rPr>
        <w:t>itself.</w:t>
      </w:r>
      <w:r>
        <w:rPr>
          <w:rFonts w:eastAsia="宋体"/>
          <w:lang w:val="en-US" w:eastAsia="zh-CN"/>
        </w:rPr>
        <w:t xml:space="preserve"> </w:t>
      </w:r>
      <w:r>
        <w:rPr>
          <w:rFonts w:hint="eastAsia" w:eastAsia="宋体"/>
          <w:lang w:val="en-US" w:eastAsia="zh-CN"/>
        </w:rPr>
        <w:t>I</w:t>
      </w:r>
      <w:r>
        <w:rPr>
          <w:rFonts w:eastAsia="宋体"/>
          <w:lang w:val="en-US" w:eastAsia="zh-CN"/>
        </w:rPr>
        <w:t xml:space="preserve">t could be </w:t>
      </w:r>
      <w:r>
        <w:rPr>
          <w:rFonts w:hint="eastAsia" w:eastAsia="宋体"/>
          <w:lang w:val="en-US" w:eastAsia="zh-CN"/>
        </w:rPr>
        <w:t xml:space="preserve">even </w:t>
      </w:r>
      <w:r>
        <w:rPr>
          <w:rFonts w:eastAsia="宋体"/>
          <w:lang w:val="en-US" w:eastAsia="zh-CN"/>
        </w:rPr>
        <w:t>disastrous if those R2D transmissions</w:t>
      </w:r>
      <w:r>
        <w:rPr>
          <w:rFonts w:hint="eastAsia" w:eastAsia="宋体"/>
          <w:lang w:val="en-US" w:eastAsia="zh-CN"/>
        </w:rPr>
        <w:t xml:space="preserve"> (for receiving of which the device has consumed a lot of the stored energy)</w:t>
      </w:r>
      <w:r>
        <w:rPr>
          <w:rFonts w:eastAsia="宋体"/>
          <w:lang w:val="en-US" w:eastAsia="zh-CN"/>
        </w:rPr>
        <w:t xml:space="preserve"> are followed by an R2D transmission </w:t>
      </w:r>
      <w:r>
        <w:rPr>
          <w:rFonts w:hint="eastAsia" w:eastAsia="宋体"/>
          <w:lang w:val="en-US" w:eastAsia="zh-CN"/>
        </w:rPr>
        <w:t xml:space="preserve">which is </w:t>
      </w:r>
      <w:r>
        <w:rPr>
          <w:rFonts w:eastAsia="宋体"/>
          <w:lang w:val="en-US" w:eastAsia="zh-CN"/>
        </w:rPr>
        <w:t>really intended for the device</w:t>
      </w:r>
      <w:r>
        <w:rPr>
          <w:rFonts w:hint="eastAsia" w:eastAsia="宋体"/>
          <w:lang w:val="en-US" w:eastAsia="zh-CN"/>
        </w:rPr>
        <w:t>, in which case the device may not be able to fully receive the last R2D transmission</w:t>
      </w:r>
      <w:r>
        <w:rPr>
          <w:rFonts w:eastAsia="宋体"/>
          <w:lang w:val="en-US" w:eastAsia="zh-CN"/>
        </w:rPr>
        <w:t xml:space="preserve">. We </w:t>
      </w:r>
      <w:r>
        <w:rPr>
          <w:rFonts w:hint="eastAsia" w:eastAsia="宋体"/>
          <w:lang w:val="en-US" w:eastAsia="zh-CN"/>
        </w:rPr>
        <w:t xml:space="preserve">also share the view </w:t>
      </w:r>
      <w:r>
        <w:rPr>
          <w:rFonts w:eastAsia="宋体"/>
          <w:lang w:val="en-US" w:eastAsia="zh-CN"/>
        </w:rPr>
        <w:t xml:space="preserve">that information essential for “early termination” in R2D reception </w:t>
      </w:r>
      <w:r>
        <w:rPr>
          <w:rFonts w:hint="eastAsia" w:eastAsia="宋体"/>
          <w:lang w:val="en-US" w:eastAsia="zh-CN"/>
        </w:rPr>
        <w:t>should be</w:t>
      </w:r>
      <w:r>
        <w:rPr>
          <w:rFonts w:eastAsia="宋体"/>
          <w:lang w:val="en-US" w:eastAsia="zh-CN"/>
        </w:rPr>
        <w:t xml:space="preserve"> put at the front of the PRDCH.</w:t>
      </w:r>
    </w:p>
    <w:p>
      <w:pPr>
        <w:pStyle w:val="19"/>
        <w:ind w:left="1680" w:hanging="1680"/>
        <w:rPr>
          <w:rFonts w:eastAsia="宋体"/>
          <w:lang w:val="en-US" w:eastAsia="zh-CN"/>
        </w:rPr>
      </w:pPr>
      <w:r>
        <w:rPr>
          <w:rFonts w:hint="eastAsia" w:eastAsia="宋体"/>
          <w:lang w:val="en-US" w:eastAsia="zh-CN"/>
        </w:rPr>
        <w:t xml:space="preserve">It is beneficial to support </w:t>
      </w:r>
      <w:r>
        <w:rPr>
          <w:rFonts w:eastAsia="宋体"/>
          <w:lang w:val="en-US" w:eastAsia="zh-CN"/>
        </w:rPr>
        <w:t>“</w:t>
      </w:r>
      <w:r>
        <w:rPr>
          <w:rFonts w:hint="eastAsia" w:eastAsia="宋体"/>
          <w:lang w:val="en-US" w:eastAsia="zh-CN"/>
        </w:rPr>
        <w:t>early termination</w:t>
      </w:r>
      <w:r>
        <w:rPr>
          <w:rFonts w:eastAsia="宋体"/>
          <w:lang w:val="en-US" w:eastAsia="zh-CN"/>
        </w:rPr>
        <w:t>”</w:t>
      </w:r>
      <w:r>
        <w:rPr>
          <w:rFonts w:hint="eastAsia" w:eastAsia="宋体"/>
          <w:lang w:val="en-US" w:eastAsia="zh-CN"/>
        </w:rPr>
        <w:t xml:space="preserve"> in R2D reception at least for saving energy for receiving really intended R2D transmission(s).</w:t>
      </w:r>
    </w:p>
    <w:p>
      <w:pPr>
        <w:spacing w:before="180" w:beforeLines="50" w:beforeAutospacing="1" w:after="180" w:afterLines="50"/>
        <w:rPr>
          <w:rFonts w:hint="default" w:eastAsia="宋体"/>
          <w:lang w:val="en-US" w:eastAsia="zh-CN"/>
        </w:rPr>
      </w:pPr>
      <w:r>
        <w:rPr>
          <w:rFonts w:eastAsia="宋体"/>
          <w:lang w:val="en-US" w:eastAsia="zh-CN"/>
        </w:rPr>
        <w:t xml:space="preserve">Regarding how to determine whether to continue or abort PRDCH reception, </w:t>
      </w:r>
      <w:r>
        <w:rPr>
          <w:rFonts w:hint="eastAsia" w:eastAsia="宋体"/>
          <w:lang w:val="en-US" w:eastAsia="zh-CN"/>
        </w:rPr>
        <w:t>we think at least for a long R2D transmission, a fixed-length first part of the PRDCH can contain e.g. a MAC header which can be used by the MAC layer to determine whether the R2D transmission is intended for the device (or a group of devices including the device). A separate CRC can be attached to the first part of the PRDCH.</w:t>
      </w:r>
    </w:p>
    <w:p>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At least for a long R2D transmission, a device can </w:t>
      </w:r>
      <w:r>
        <w:rPr>
          <w:rFonts w:eastAsia="宋体"/>
          <w:lang w:val="en-US" w:eastAsia="zh-CN"/>
        </w:rPr>
        <w:t>receiv</w:t>
      </w:r>
      <w:r>
        <w:rPr>
          <w:rFonts w:hint="eastAsia" w:eastAsia="宋体"/>
          <w:lang w:val="en-US" w:eastAsia="zh-CN"/>
        </w:rPr>
        <w:t>e</w:t>
      </w:r>
      <w:r>
        <w:rPr>
          <w:rFonts w:eastAsia="宋体"/>
          <w:lang w:val="en-US" w:eastAsia="zh-CN"/>
        </w:rPr>
        <w:t xml:space="preserve"> a first part of </w:t>
      </w:r>
      <w:r>
        <w:rPr>
          <w:rFonts w:hint="eastAsia" w:eastAsia="宋体"/>
          <w:lang w:val="en-US" w:eastAsia="zh-CN"/>
        </w:rPr>
        <w:t xml:space="preserve">a PRDCH in </w:t>
      </w:r>
      <w:r>
        <w:rPr>
          <w:rFonts w:eastAsia="宋体"/>
          <w:lang w:val="en-US" w:eastAsia="zh-CN"/>
        </w:rPr>
        <w:t>a</w:t>
      </w:r>
      <w:r>
        <w:rPr>
          <w:rFonts w:hint="eastAsia" w:eastAsia="宋体"/>
          <w:lang w:val="en-US" w:eastAsia="zh-CN"/>
        </w:rPr>
        <w:t xml:space="preserve">n R2D transmission, and </w:t>
      </w:r>
      <w:r>
        <w:rPr>
          <w:rFonts w:eastAsia="宋体"/>
          <w:lang w:val="en-US" w:eastAsia="zh-CN"/>
        </w:rPr>
        <w:t>determi</w:t>
      </w:r>
      <w:r>
        <w:rPr>
          <w:rFonts w:hint="eastAsia" w:eastAsia="宋体"/>
          <w:lang w:val="en-US" w:eastAsia="zh-CN"/>
        </w:rPr>
        <w:t>ne</w:t>
      </w:r>
      <w:r>
        <w:rPr>
          <w:rFonts w:eastAsia="宋体"/>
          <w:lang w:val="en-US" w:eastAsia="zh-CN"/>
        </w:rPr>
        <w:t xml:space="preserve"> </w:t>
      </w:r>
      <w:r>
        <w:rPr>
          <w:rFonts w:hint="eastAsia" w:eastAsia="宋体"/>
          <w:lang w:val="en-US" w:eastAsia="zh-CN"/>
        </w:rPr>
        <w:t xml:space="preserve">(by the MAC layer) </w:t>
      </w:r>
      <w:r>
        <w:rPr>
          <w:rFonts w:eastAsia="宋体"/>
          <w:lang w:val="en-US" w:eastAsia="zh-CN"/>
        </w:rPr>
        <w:t xml:space="preserve">whether to continue or abort PRDCH reception by information indicated in the first part of the </w:t>
      </w:r>
      <w:r>
        <w:rPr>
          <w:rFonts w:hint="eastAsia" w:eastAsia="宋体"/>
          <w:lang w:val="en-US" w:eastAsia="zh-CN"/>
        </w:rPr>
        <w:t xml:space="preserve">PRDCH, i.e. reception of an R2D transmission not intended for the device can be </w:t>
      </w:r>
      <w:r>
        <w:rPr>
          <w:rFonts w:eastAsia="宋体"/>
          <w:lang w:val="en-US" w:eastAsia="zh-CN"/>
        </w:rPr>
        <w:t>“</w:t>
      </w:r>
      <w:r>
        <w:rPr>
          <w:rFonts w:hint="eastAsia" w:eastAsia="宋体"/>
          <w:lang w:val="en-US" w:eastAsia="zh-CN"/>
        </w:rPr>
        <w:t>early terminated</w:t>
      </w:r>
      <w:r>
        <w:rPr>
          <w:rFonts w:eastAsia="宋体"/>
          <w:lang w:val="en-US" w:eastAsia="zh-CN"/>
        </w:rPr>
        <w:t>”</w:t>
      </w:r>
      <w:r>
        <w:rPr>
          <w:rFonts w:hint="eastAsia" w:eastAsia="宋体"/>
          <w:lang w:val="en-US" w:eastAsia="zh-CN"/>
        </w:rPr>
        <w:t>.</w:t>
      </w:r>
    </w:p>
    <w:p>
      <w:pPr>
        <w:widowControl w:val="0"/>
        <w:numPr>
          <w:ilvl w:val="3"/>
          <w:numId w:val="10"/>
        </w:numPr>
        <w:snapToGrid/>
        <w:spacing w:after="0" w:afterAutospacing="0"/>
        <w:rPr>
          <w:rFonts w:eastAsia="宋体"/>
          <w:lang w:val="en-US" w:eastAsia="zh-CN"/>
        </w:rPr>
      </w:pPr>
      <w:r>
        <w:rPr>
          <w:rFonts w:hint="eastAsia" w:eastAsia="宋体"/>
          <w:lang w:val="en-US" w:eastAsia="zh-CN"/>
        </w:rPr>
        <w:t>A separate CRC is attached to the first part of the PRDCH.</w:t>
      </w:r>
    </w:p>
    <w:p>
      <w:pPr>
        <w:widowControl/>
        <w:numPr>
          <w:ilvl w:val="-1"/>
          <w:numId w:val="0"/>
        </w:numPr>
        <w:snapToGrid/>
        <w:spacing w:before="180" w:beforeLines="50" w:beforeAutospacing="1" w:after="180" w:afterLines="50" w:afterAutospacing="0"/>
        <w:rPr>
          <w:rFonts w:hint="eastAsia" w:eastAsia="宋体"/>
          <w:lang w:val="en-US" w:eastAsia="zh-CN"/>
        </w:rPr>
      </w:pPr>
      <w:r>
        <w:rPr>
          <w:rFonts w:hint="eastAsia" w:eastAsia="宋体"/>
          <w:lang w:val="en-US" w:eastAsia="zh-CN"/>
        </w:rPr>
        <w:t xml:space="preserve">Regarding determination of PRDCH chip duration, now that CAP pattern has been fixed to </w:t>
      </w:r>
      <w:r>
        <w:rPr>
          <w:rFonts w:hint="default" w:eastAsia="宋体"/>
          <w:lang w:val="en-US" w:eastAsia="zh-CN"/>
        </w:rPr>
        <w:t>“</w:t>
      </w:r>
      <w:r>
        <w:rPr>
          <w:rFonts w:hint="eastAsia" w:eastAsia="宋体"/>
          <w:lang w:val="en-US" w:eastAsia="zh-CN"/>
        </w:rPr>
        <w:t>ON, OFF, ON, OFF</w:t>
      </w:r>
      <w:r>
        <w:rPr>
          <w:rFonts w:hint="default" w:eastAsia="宋体"/>
          <w:lang w:val="en-US" w:eastAsia="zh-CN"/>
        </w:rPr>
        <w:t>”</w:t>
      </w:r>
      <w:r>
        <w:rPr>
          <w:rFonts w:hint="eastAsia" w:eastAsia="宋体"/>
          <w:lang w:val="en-US" w:eastAsia="zh-CN"/>
        </w:rPr>
        <w:t>, and that the first PRDCH chip immediately follows the last chip of CAP (i.e. the last chip of CAP and the first chip of PRDCH are in a same OFDM symbol in some cases), we see no room to support different chip durations between CAP and PRDCH.</w:t>
      </w:r>
    </w:p>
    <w:p>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The R2D chip duration for a PRDCH is the same as the clock-acquisition part of the R2D time acquisition signal immediately preceding the PRDCH.</w:t>
      </w:r>
    </w:p>
    <w:p>
      <w:pPr>
        <w:pStyle w:val="2"/>
        <w:spacing w:after="180"/>
        <w:rPr>
          <w:lang w:val="en-US"/>
        </w:rPr>
      </w:pPr>
      <w:r>
        <w:rPr>
          <w:lang w:val="en-US"/>
        </w:rPr>
        <w:t>Conclusion</w:t>
      </w:r>
    </w:p>
    <w:p>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w:t>
      </w:r>
      <w:r>
        <w:rPr>
          <w:rFonts w:hint="eastAsia" w:eastAsia="宋体"/>
          <w:lang w:val="en-US" w:eastAsia="zh-CN"/>
        </w:rPr>
        <w:t xml:space="preserve">a few </w:t>
      </w:r>
      <w:r>
        <w:rPr>
          <w:rFonts w:eastAsia="宋体"/>
          <w:lang w:val="en-US" w:eastAsia="zh-CN"/>
        </w:rPr>
        <w:t>aspects</w:t>
      </w:r>
      <w:r>
        <w:rPr>
          <w:rFonts w:hint="eastAsia" w:eastAsia="宋体"/>
          <w:lang w:val="en-US" w:eastAsia="zh-CN"/>
        </w:rPr>
        <w:t xml:space="preserve"> related to</w:t>
      </w:r>
      <w:r>
        <w:rPr>
          <w:rFonts w:eastAsia="宋体"/>
          <w:lang w:val="en-US" w:eastAsia="zh-CN"/>
        </w:rPr>
        <w:t xml:space="preserve"> </w:t>
      </w:r>
      <w:r>
        <w:rPr>
          <w:rFonts w:hint="eastAsia" w:eastAsia="宋体"/>
          <w:lang w:val="en-US" w:eastAsia="zh-CN"/>
        </w:rPr>
        <w:t>multiplexing/multiple access, scheduling information, and timing relationships in A-IoT</w:t>
      </w:r>
      <w:r>
        <w:rPr>
          <w:rFonts w:eastAsia="宋体"/>
          <w:lang w:val="en-US" w:eastAsia="zh-CN"/>
        </w:rPr>
        <w:t xml:space="preserve">, and make </w:t>
      </w:r>
      <w:r>
        <w:rPr>
          <w:lang w:val="en-US"/>
        </w:rPr>
        <w:t xml:space="preserve">the following </w:t>
      </w:r>
      <w:r>
        <w:rPr>
          <w:rFonts w:hint="eastAsia" w:eastAsia="宋体"/>
          <w:lang w:val="en-US" w:eastAsia="zh-CN"/>
        </w:rPr>
        <w:t xml:space="preserve">observations and </w:t>
      </w:r>
      <w:r>
        <w:rPr>
          <w:lang w:val="en-US"/>
        </w:rPr>
        <w:t>proposals</w:t>
      </w:r>
      <w:r>
        <w:rPr>
          <w:rFonts w:eastAsia="宋体"/>
          <w:lang w:val="en-US" w:eastAsia="zh-CN"/>
        </w:rPr>
        <w:t>.</w:t>
      </w:r>
    </w:p>
    <w:p>
      <w:pPr>
        <w:pStyle w:val="19"/>
        <w:numPr>
          <w:ilvl w:val="0"/>
          <w:numId w:val="11"/>
        </w:numPr>
        <w:ind w:left="1680" w:hanging="1680"/>
        <w:rPr>
          <w:rFonts w:eastAsia="宋体"/>
          <w:lang w:val="en-US" w:eastAsia="zh-CN"/>
        </w:rPr>
      </w:pPr>
      <w:r>
        <w:rPr>
          <w:rFonts w:hint="eastAsia" w:eastAsia="宋体"/>
          <w:lang w:val="en-US" w:eastAsia="zh-CN"/>
        </w:rPr>
        <w:t>On time-domain resource allocation for Msg3 transmission, Case 3 is already supported in order to support retransmission of Msg2.</w:t>
      </w:r>
    </w:p>
    <w:p>
      <w:pPr>
        <w:pStyle w:val="19"/>
        <w:ind w:left="1680" w:hanging="1680"/>
        <w:rPr>
          <w:rFonts w:eastAsia="宋体"/>
          <w:lang w:val="en-US" w:eastAsia="zh-CN"/>
        </w:rPr>
      </w:pPr>
      <w:r>
        <w:rPr>
          <w:rFonts w:hint="eastAsia" w:eastAsia="宋体"/>
          <w:lang w:val="en-US" w:eastAsia="zh-CN"/>
        </w:rPr>
        <w:t>It should be supported that the following can be multiplexed in a same R2D transmission:</w:t>
      </w:r>
    </w:p>
    <w:p>
      <w:pPr>
        <w:widowControl w:val="0"/>
        <w:numPr>
          <w:ilvl w:val="3"/>
          <w:numId w:val="10"/>
        </w:numPr>
        <w:snapToGrid/>
        <w:spacing w:after="0" w:afterAutospacing="0"/>
        <w:rPr>
          <w:rFonts w:eastAsia="宋体"/>
          <w:lang w:val="en-US" w:eastAsia="zh-CN"/>
        </w:rPr>
      </w:pPr>
      <w:r>
        <w:rPr>
          <w:rFonts w:hint="eastAsia" w:eastAsia="宋体"/>
          <w:lang w:val="en-US" w:eastAsia="zh-CN"/>
        </w:rPr>
        <w:t>RAR transmissions or retransmissions, and</w:t>
      </w:r>
    </w:p>
    <w:p>
      <w:pPr>
        <w:widowControl w:val="0"/>
        <w:numPr>
          <w:ilvl w:val="3"/>
          <w:numId w:val="10"/>
        </w:numPr>
        <w:snapToGrid/>
        <w:spacing w:after="0" w:afterAutospacing="0"/>
        <w:rPr>
          <w:rFonts w:eastAsia="宋体"/>
          <w:lang w:val="en-US" w:eastAsia="zh-CN"/>
        </w:rPr>
      </w:pPr>
      <w:r>
        <w:rPr>
          <w:rFonts w:hint="eastAsia" w:eastAsia="宋体"/>
          <w:lang w:val="en-US" w:eastAsia="zh-CN"/>
        </w:rPr>
        <w:t>Explicit R2D failure/success feedback for Msg3.</w:t>
      </w:r>
    </w:p>
    <w:p>
      <w:pPr>
        <w:pStyle w:val="19"/>
        <w:numPr>
          <w:ilvl w:val="0"/>
          <w:numId w:val="11"/>
        </w:numPr>
        <w:ind w:left="1680" w:hanging="1680"/>
        <w:rPr>
          <w:rFonts w:eastAsia="宋体"/>
          <w:lang w:val="en-US" w:eastAsia="zh-CN"/>
        </w:rPr>
      </w:pPr>
      <w:r>
        <w:rPr>
          <w:rFonts w:hint="eastAsia" w:eastAsia="宋体"/>
          <w:lang w:val="en-US" w:eastAsia="zh-CN"/>
        </w:rPr>
        <w:t xml:space="preserve">It is beneficial to support </w:t>
      </w:r>
      <w:r>
        <w:rPr>
          <w:rFonts w:eastAsia="宋体"/>
          <w:lang w:val="en-US" w:eastAsia="zh-CN"/>
        </w:rPr>
        <w:t>“</w:t>
      </w:r>
      <w:r>
        <w:rPr>
          <w:rFonts w:hint="eastAsia" w:eastAsia="宋体"/>
          <w:lang w:val="en-US" w:eastAsia="zh-CN"/>
        </w:rPr>
        <w:t>early termination</w:t>
      </w:r>
      <w:r>
        <w:rPr>
          <w:rFonts w:eastAsia="宋体"/>
          <w:lang w:val="en-US" w:eastAsia="zh-CN"/>
        </w:rPr>
        <w:t>”</w:t>
      </w:r>
      <w:r>
        <w:rPr>
          <w:rFonts w:hint="eastAsia" w:eastAsia="宋体"/>
          <w:lang w:val="en-US" w:eastAsia="zh-CN"/>
        </w:rPr>
        <w:t xml:space="preserve"> in R2D reception at least for saving energy for receiving really intended R2D transmission(s).</w:t>
      </w:r>
    </w:p>
    <w:p>
      <w:pPr>
        <w:widowControl w:val="0"/>
        <w:numPr>
          <w:ilvl w:val="0"/>
          <w:numId w:val="12"/>
        </w:numPr>
        <w:tabs>
          <w:tab w:val="left" w:pos="1418"/>
        </w:tabs>
        <w:snapToGrid/>
        <w:spacing w:before="240" w:after="0" w:afterAutospacing="0"/>
        <w:ind w:left="1440" w:hanging="1440"/>
        <w:rPr>
          <w:rFonts w:eastAsiaTheme="minorEastAsia"/>
          <w:szCs w:val="24"/>
          <w:lang w:val="en-US" w:eastAsia="zh-CN"/>
        </w:rPr>
      </w:pPr>
      <w:r>
        <w:rPr>
          <w:rFonts w:hint="eastAsia" w:eastAsiaTheme="minorEastAsia"/>
          <w:szCs w:val="24"/>
          <w:lang w:val="en-US" w:eastAsia="zh-CN"/>
        </w:rPr>
        <w:t>For FDMA of multiple Msg3 transmissions in response to a PRDCH for Msg2 transmission, support only same data rate for the FDMed Msg3 transmissions.</w:t>
      </w:r>
    </w:p>
    <w:p>
      <w:pPr>
        <w:widowControl w:val="0"/>
        <w:numPr>
          <w:ilvl w:val="0"/>
          <w:numId w:val="12"/>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At least for a long R2D transmission, a device can </w:t>
      </w:r>
      <w:r>
        <w:rPr>
          <w:rFonts w:eastAsia="宋体"/>
          <w:lang w:val="en-US" w:eastAsia="zh-CN"/>
        </w:rPr>
        <w:t>receiv</w:t>
      </w:r>
      <w:r>
        <w:rPr>
          <w:rFonts w:hint="eastAsia" w:eastAsia="宋体"/>
          <w:lang w:val="en-US" w:eastAsia="zh-CN"/>
        </w:rPr>
        <w:t>e</w:t>
      </w:r>
      <w:r>
        <w:rPr>
          <w:rFonts w:eastAsia="宋体"/>
          <w:lang w:val="en-US" w:eastAsia="zh-CN"/>
        </w:rPr>
        <w:t xml:space="preserve"> a first part of </w:t>
      </w:r>
      <w:r>
        <w:rPr>
          <w:rFonts w:hint="eastAsia" w:eastAsia="宋体"/>
          <w:lang w:val="en-US" w:eastAsia="zh-CN"/>
        </w:rPr>
        <w:t xml:space="preserve">a PRDCH in </w:t>
      </w:r>
      <w:r>
        <w:rPr>
          <w:rFonts w:eastAsia="宋体"/>
          <w:lang w:val="en-US" w:eastAsia="zh-CN"/>
        </w:rPr>
        <w:t>a</w:t>
      </w:r>
      <w:r>
        <w:rPr>
          <w:rFonts w:hint="eastAsia" w:eastAsia="宋体"/>
          <w:lang w:val="en-US" w:eastAsia="zh-CN"/>
        </w:rPr>
        <w:t xml:space="preserve">n R2D transmission, and </w:t>
      </w:r>
      <w:r>
        <w:rPr>
          <w:rFonts w:eastAsia="宋体"/>
          <w:lang w:val="en-US" w:eastAsia="zh-CN"/>
        </w:rPr>
        <w:t>determi</w:t>
      </w:r>
      <w:r>
        <w:rPr>
          <w:rFonts w:hint="eastAsia" w:eastAsia="宋体"/>
          <w:lang w:val="en-US" w:eastAsia="zh-CN"/>
        </w:rPr>
        <w:t>ne</w:t>
      </w:r>
      <w:r>
        <w:rPr>
          <w:rFonts w:eastAsia="宋体"/>
          <w:lang w:val="en-US" w:eastAsia="zh-CN"/>
        </w:rPr>
        <w:t xml:space="preserve"> </w:t>
      </w:r>
      <w:r>
        <w:rPr>
          <w:rFonts w:hint="eastAsia" w:eastAsia="宋体"/>
          <w:lang w:val="en-US" w:eastAsia="zh-CN"/>
        </w:rPr>
        <w:t xml:space="preserve">(by the MAC layer) </w:t>
      </w:r>
      <w:r>
        <w:rPr>
          <w:rFonts w:eastAsia="宋体"/>
          <w:lang w:val="en-US" w:eastAsia="zh-CN"/>
        </w:rPr>
        <w:t xml:space="preserve">whether to continue or abort PRDCH reception by information indicated in the first part of the </w:t>
      </w:r>
      <w:r>
        <w:rPr>
          <w:rFonts w:hint="eastAsia" w:eastAsia="宋体"/>
          <w:lang w:val="en-US" w:eastAsia="zh-CN"/>
        </w:rPr>
        <w:t xml:space="preserve">PRDCH, i.e. reception of an R2D transmission not intended for the device can be </w:t>
      </w:r>
      <w:r>
        <w:rPr>
          <w:rFonts w:eastAsia="宋体"/>
          <w:lang w:val="en-US" w:eastAsia="zh-CN"/>
        </w:rPr>
        <w:t>“</w:t>
      </w:r>
      <w:r>
        <w:rPr>
          <w:rFonts w:hint="eastAsia" w:eastAsia="宋体"/>
          <w:lang w:val="en-US" w:eastAsia="zh-CN"/>
        </w:rPr>
        <w:t>early terminated</w:t>
      </w:r>
      <w:r>
        <w:rPr>
          <w:rFonts w:eastAsia="宋体"/>
          <w:lang w:val="en-US" w:eastAsia="zh-CN"/>
        </w:rPr>
        <w:t>”</w:t>
      </w:r>
      <w:r>
        <w:rPr>
          <w:rFonts w:hint="eastAsia" w:eastAsia="宋体"/>
          <w:lang w:val="en-US" w:eastAsia="zh-CN"/>
        </w:rPr>
        <w:t>.</w:t>
      </w:r>
    </w:p>
    <w:p>
      <w:pPr>
        <w:widowControl w:val="0"/>
        <w:numPr>
          <w:ilvl w:val="3"/>
          <w:numId w:val="10"/>
        </w:numPr>
        <w:snapToGrid/>
        <w:spacing w:after="0" w:afterAutospacing="0"/>
        <w:rPr>
          <w:rFonts w:eastAsia="宋体"/>
          <w:lang w:val="en-US" w:eastAsia="zh-CN"/>
        </w:rPr>
      </w:pPr>
      <w:r>
        <w:rPr>
          <w:rFonts w:hint="eastAsia" w:eastAsia="宋体"/>
          <w:lang w:val="en-US" w:eastAsia="zh-CN"/>
        </w:rPr>
        <w:t>A separate CRC is attached to the first part of the PRDCH.</w:t>
      </w:r>
    </w:p>
    <w:p>
      <w:pPr>
        <w:widowControl w:val="0"/>
        <w:numPr>
          <w:ilvl w:val="0"/>
          <w:numId w:val="12"/>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The R2D chip duration for a PRDCH is the same as the clock-acquisition part of the R2D time acquisition signal immediately preceding the PRDCH.</w:t>
      </w:r>
    </w:p>
    <w:p>
      <w:pPr>
        <w:spacing w:after="240" w:afterAutospacing="0"/>
        <w:rPr>
          <w:rFonts w:eastAsia="宋体"/>
          <w:lang w:val="en-US" w:eastAsia="zh-CN"/>
        </w:rPr>
      </w:pPr>
    </w:p>
    <w:p>
      <w:pPr>
        <w:pStyle w:val="2"/>
        <w:spacing w:after="180"/>
        <w:rPr>
          <w:lang w:val="en-US"/>
        </w:rPr>
      </w:pPr>
      <w:r>
        <w:rPr>
          <w:lang w:val="en-US"/>
        </w:rPr>
        <w:t>References</w:t>
      </w:r>
    </w:p>
    <w:p>
      <w:pPr>
        <w:numPr>
          <w:ilvl w:val="0"/>
          <w:numId w:val="4"/>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124764504"/>
      <w:r>
        <w:rPr>
          <w:rFonts w:hint="eastAsia" w:eastAsia="MS Mincho"/>
          <w:lang w:val="en-US" w:eastAsia="en-GB"/>
        </w:rPr>
        <w:t>RP-243326</w:t>
      </w:r>
      <w:r>
        <w:rPr>
          <w:rFonts w:eastAsia="MS Mincho"/>
          <w:lang w:val="en-US" w:eastAsia="en-GB"/>
        </w:rPr>
        <w:t>, “</w:t>
      </w:r>
      <w:r>
        <w:rPr>
          <w:rFonts w:hint="eastAsia" w:eastAsia="MS Mincho"/>
          <w:lang w:val="en-US" w:eastAsia="en-GB"/>
        </w:rPr>
        <w:t>New Work Item: Solutions for Ambient IoT (Internet of Things) in NR</w:t>
      </w:r>
      <w:r>
        <w:rPr>
          <w:rFonts w:eastAsia="MS Mincho"/>
          <w:lang w:val="en-US" w:eastAsia="en-GB"/>
        </w:rPr>
        <w:t xml:space="preserve">”, </w:t>
      </w:r>
      <w:r>
        <w:rPr>
          <w:rFonts w:hint="eastAsia" w:eastAsia="MS Mincho"/>
          <w:lang w:val="en-US" w:eastAsia="en-GB"/>
        </w:rPr>
        <w:t>RAN1 Vice-chair (Huawei)</w:t>
      </w:r>
      <w:r>
        <w:rPr>
          <w:rFonts w:eastAsia="MS Mincho"/>
          <w:lang w:val="en-US" w:eastAsia="en-GB"/>
        </w:rPr>
        <w:t>, RAN#10</w:t>
      </w:r>
      <w:r>
        <w:rPr>
          <w:rFonts w:hint="eastAsia" w:eastAsia="宋体"/>
          <w:lang w:val="en-US" w:eastAsia="zh-CN"/>
        </w:rPr>
        <w:t>6</w:t>
      </w:r>
      <w:r>
        <w:rPr>
          <w:rFonts w:eastAsia="MS Mincho"/>
          <w:lang w:val="en-US" w:eastAsia="en-GB"/>
        </w:rPr>
        <w:t>.</w:t>
      </w:r>
      <w:bookmarkEnd w:id="6"/>
    </w:p>
    <w:p>
      <w:pPr>
        <w:numPr>
          <w:ilvl w:val="0"/>
          <w:numId w:val="4"/>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21925"/>
      <w:r>
        <w:rPr>
          <w:rFonts w:eastAsia="宋体"/>
          <w:lang w:val="en-US" w:eastAsia="zh-CN"/>
        </w:rPr>
        <w:t>TR 38.769</w:t>
      </w:r>
      <w:r>
        <w:rPr>
          <w:rFonts w:hint="eastAsia" w:eastAsia="宋体"/>
          <w:lang w:val="en-US" w:eastAsia="zh-CN"/>
        </w:rPr>
        <w:t xml:space="preserve">, </w:t>
      </w:r>
      <w:r>
        <w:rPr>
          <w:rFonts w:eastAsia="宋体"/>
          <w:lang w:val="en-US" w:eastAsia="zh-CN"/>
        </w:rPr>
        <w:t>“Study on Solutions for Ambient IoT (Internet of Things)”</w:t>
      </w:r>
      <w:r>
        <w:rPr>
          <w:rFonts w:hint="eastAsia" w:eastAsia="宋体"/>
          <w:lang w:val="en-US" w:eastAsia="zh-CN"/>
        </w:rPr>
        <w:t>, v19.0.0.</w:t>
      </w:r>
      <w:bookmarkEnd w:id="7"/>
    </w:p>
    <w:p>
      <w:pPr>
        <w:numPr>
          <w:ilvl w:val="0"/>
          <w:numId w:val="4"/>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8" w:name="_Ref30586"/>
      <w:r>
        <w:rPr>
          <w:rFonts w:hint="eastAsia" w:eastAsia="宋体"/>
          <w:lang w:val="en-US" w:eastAsia="zh-CN"/>
        </w:rPr>
        <w:t>R1-2503104,</w:t>
      </w:r>
      <w:r>
        <w:rPr>
          <w:rFonts w:hint="eastAsia" w:eastAsia="MS Mincho"/>
          <w:lang w:val="en-US" w:eastAsia="en-GB"/>
        </w:rPr>
        <w:t xml:space="preserve"> </w:t>
      </w:r>
      <w:r>
        <w:rPr>
          <w:rFonts w:eastAsia="宋体"/>
          <w:lang w:val="en-US" w:eastAsia="zh-CN"/>
        </w:rPr>
        <w:t>“</w:t>
      </w:r>
      <w:r>
        <w:rPr>
          <w:rFonts w:hint="eastAsia" w:eastAsia="宋体"/>
          <w:lang w:val="en-US" w:eastAsia="zh-CN"/>
        </w:rPr>
        <w:t>FL summary#4 on other aspects for Rel-19 Ambient IoT</w:t>
      </w:r>
      <w:r>
        <w:rPr>
          <w:rFonts w:eastAsia="宋体"/>
          <w:lang w:val="en-US" w:eastAsia="zh-CN"/>
        </w:rPr>
        <w:t>”</w:t>
      </w:r>
      <w:r>
        <w:rPr>
          <w:rFonts w:hint="eastAsia" w:eastAsia="宋体"/>
          <w:lang w:val="en-US" w:eastAsia="zh-CN"/>
        </w:rPr>
        <w:t>, Moderator (vivo), RAN1#120-bis.</w:t>
      </w:r>
      <w:bookmarkEnd w:id="8"/>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b/>
      </w:rPr>
      <w:fldChar w:fldCharType="begin"/>
    </w:r>
    <w:r>
      <w:rPr>
        <w:b/>
      </w:rPr>
      <w:instrText xml:space="preserve">PAGE</w:instrText>
    </w:r>
    <w:r>
      <w:rPr>
        <w:b/>
      </w:rPr>
      <w:fldChar w:fldCharType="separate"/>
    </w:r>
    <w:r>
      <w:rPr>
        <w:b/>
      </w:rPr>
      <w:t>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629609"/>
    <w:multiLevelType w:val="multilevel"/>
    <w:tmpl w:val="CD629609"/>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
    <w:nsid w:val="FFFFFF7E"/>
    <w:multiLevelType w:val="singleLevel"/>
    <w:tmpl w:val="FFFFFF7E"/>
    <w:lvl w:ilvl="0" w:tentative="0">
      <w:start w:val="1"/>
      <w:numFmt w:val="decimal"/>
      <w:pStyle w:val="7"/>
      <w:lvlText w:val="%1."/>
      <w:lvlJc w:val="left"/>
      <w:pPr>
        <w:tabs>
          <w:tab w:val="left" w:pos="926"/>
        </w:tabs>
        <w:ind w:left="926" w:hanging="360"/>
      </w:pPr>
    </w:lvl>
  </w:abstractNum>
  <w:abstractNum w:abstractNumId="2">
    <w:nsid w:val="FFFFFF89"/>
    <w:multiLevelType w:val="singleLevel"/>
    <w:tmpl w:val="FFFFFF89"/>
    <w:lvl w:ilvl="0" w:tentative="0">
      <w:start w:val="1"/>
      <w:numFmt w:val="bullet"/>
      <w:pStyle w:val="6"/>
      <w:lvlText w:val=""/>
      <w:lvlJc w:val="left"/>
      <w:pPr>
        <w:tabs>
          <w:tab w:val="left" w:pos="360"/>
        </w:tabs>
        <w:ind w:left="360" w:hanging="360"/>
      </w:pPr>
      <w:rPr>
        <w:rFonts w:hint="default" w:ascii="Symbol" w:hAnsi="Symbol"/>
      </w:rPr>
    </w:lvl>
  </w:abstractNum>
  <w:abstractNum w:abstractNumId="3">
    <w:nsid w:val="1F250011"/>
    <w:multiLevelType w:val="multilevel"/>
    <w:tmpl w:val="1F250011"/>
    <w:lvl w:ilvl="0" w:tentative="0">
      <w:start w:val="1"/>
      <w:numFmt w:val="decimal"/>
      <w:pStyle w:val="17"/>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4">
    <w:nsid w:val="4A55685D"/>
    <w:multiLevelType w:val="singleLevel"/>
    <w:tmpl w:val="4A55685D"/>
    <w:lvl w:ilvl="0" w:tentative="0">
      <w:start w:val="1"/>
      <w:numFmt w:val="bullet"/>
      <w:pStyle w:val="18"/>
      <w:lvlText w:val=""/>
      <w:lvlJc w:val="left"/>
      <w:pPr>
        <w:tabs>
          <w:tab w:val="left" w:pos="992"/>
        </w:tabs>
        <w:ind w:left="992" w:hanging="425"/>
      </w:pPr>
      <w:rPr>
        <w:rFonts w:hint="default" w:ascii="Symbol" w:hAnsi="Symbol"/>
      </w:rPr>
    </w:lvl>
  </w:abstractNum>
  <w:abstractNum w:abstractNumId="5">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8">
    <w:nsid w:val="72E04451"/>
    <w:multiLevelType w:val="multilevel"/>
    <w:tmpl w:val="72E04451"/>
    <w:lvl w:ilvl="0" w:tentative="0">
      <w:start w:val="1"/>
      <w:numFmt w:val="decimal"/>
      <w:pStyle w:val="19"/>
      <w:lvlText w:val="Observation %1:"/>
      <w:lvlJc w:val="left"/>
      <w:pPr>
        <w:ind w:left="420" w:hanging="420"/>
      </w:pPr>
      <w:rPr>
        <w:rFonts w:hint="default" w:ascii="Times New Roman" w:hAnsi="Times New Roman"/>
        <w:b/>
        <w:i w:val="0"/>
        <w:sz w:val="24"/>
        <w:lang w:val="en-US"/>
      </w:r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5074CB8"/>
    <w:multiLevelType w:val="multilevel"/>
    <w:tmpl w:val="75074CB8"/>
    <w:lvl w:ilvl="0" w:tentative="0">
      <w:start w:val="1"/>
      <w:numFmt w:val="bullet"/>
      <w:lvlText w:val=""/>
      <w:lvlJc w:val="left"/>
      <w:pPr>
        <w:tabs>
          <w:tab w:val="left" w:pos="420"/>
        </w:tabs>
        <w:ind w:left="840" w:hanging="420"/>
      </w:pPr>
      <w:rPr>
        <w:rFonts w:hint="default" w:ascii="Wingdings" w:hAnsi="Wingdings" w:cs="Wingdings"/>
        <w:sz w:val="13"/>
      </w:rPr>
    </w:lvl>
    <w:lvl w:ilvl="1" w:tentative="0">
      <w:start w:val="1"/>
      <w:numFmt w:val="bullet"/>
      <w:lvlText w:val=""/>
      <w:lvlJc w:val="left"/>
      <w:pPr>
        <w:tabs>
          <w:tab w:val="left" w:pos="-420"/>
        </w:tabs>
        <w:ind w:left="1260" w:hanging="420"/>
      </w:pPr>
      <w:rPr>
        <w:rFonts w:hint="default" w:ascii="Wingdings" w:hAnsi="Wingdings"/>
        <w:sz w:val="13"/>
      </w:rPr>
    </w:lvl>
    <w:lvl w:ilvl="2" w:tentative="0">
      <w:start w:val="1"/>
      <w:numFmt w:val="bullet"/>
      <w:lvlText w:val=""/>
      <w:lvlJc w:val="left"/>
      <w:pPr>
        <w:tabs>
          <w:tab w:val="left" w:pos="0"/>
        </w:tabs>
        <w:ind w:left="1680" w:hanging="420"/>
      </w:pPr>
      <w:rPr>
        <w:rFonts w:hint="default" w:ascii="Wingdings" w:hAnsi="Wingdings"/>
        <w:sz w:val="13"/>
      </w:rPr>
    </w:lvl>
    <w:lvl w:ilvl="3" w:tentative="0">
      <w:start w:val="1"/>
      <w:numFmt w:val="bullet"/>
      <w:lvlText w:val=""/>
      <w:lvlJc w:val="left"/>
      <w:pPr>
        <w:tabs>
          <w:tab w:val="left" w:pos="420"/>
        </w:tabs>
        <w:ind w:left="2100" w:hanging="420"/>
      </w:pPr>
      <w:rPr>
        <w:rFonts w:hint="default" w:ascii="Wingdings" w:hAnsi="Wingdings"/>
        <w:sz w:val="15"/>
      </w:rPr>
    </w:lvl>
    <w:lvl w:ilvl="4" w:tentative="0">
      <w:start w:val="1"/>
      <w:numFmt w:val="bullet"/>
      <w:lvlText w:val=""/>
      <w:lvlJc w:val="left"/>
      <w:pPr>
        <w:tabs>
          <w:tab w:val="left" w:pos="840"/>
        </w:tabs>
        <w:ind w:left="2520" w:hanging="420"/>
      </w:pPr>
      <w:rPr>
        <w:rFonts w:hint="default" w:ascii="Wingdings" w:hAnsi="Wingdings"/>
      </w:rPr>
    </w:lvl>
    <w:lvl w:ilvl="5" w:tentative="0">
      <w:start w:val="1"/>
      <w:numFmt w:val="bullet"/>
      <w:lvlText w:val=""/>
      <w:lvlJc w:val="left"/>
      <w:pPr>
        <w:tabs>
          <w:tab w:val="left" w:pos="1260"/>
        </w:tabs>
        <w:ind w:left="2940" w:hanging="420"/>
      </w:pPr>
      <w:rPr>
        <w:rFonts w:hint="default" w:ascii="Wingdings" w:hAnsi="Wingdings"/>
      </w:rPr>
    </w:lvl>
    <w:lvl w:ilvl="6" w:tentative="0">
      <w:start w:val="1"/>
      <w:numFmt w:val="bullet"/>
      <w:lvlText w:val=""/>
      <w:lvlJc w:val="left"/>
      <w:pPr>
        <w:tabs>
          <w:tab w:val="left" w:pos="1680"/>
        </w:tabs>
        <w:ind w:left="3360" w:hanging="420"/>
      </w:pPr>
      <w:rPr>
        <w:rFonts w:hint="default" w:ascii="Wingdings" w:hAnsi="Wingdings"/>
      </w:rPr>
    </w:lvl>
    <w:lvl w:ilvl="7" w:tentative="0">
      <w:start w:val="1"/>
      <w:numFmt w:val="bullet"/>
      <w:lvlText w:val=""/>
      <w:lvlJc w:val="left"/>
      <w:pPr>
        <w:tabs>
          <w:tab w:val="left" w:pos="2100"/>
        </w:tabs>
        <w:ind w:left="3780" w:hanging="420"/>
      </w:pPr>
      <w:rPr>
        <w:rFonts w:hint="default" w:ascii="Wingdings" w:hAnsi="Wingdings"/>
      </w:rPr>
    </w:lvl>
    <w:lvl w:ilvl="8" w:tentative="0">
      <w:start w:val="1"/>
      <w:numFmt w:val="bullet"/>
      <w:lvlText w:val=""/>
      <w:lvlJc w:val="left"/>
      <w:pPr>
        <w:tabs>
          <w:tab w:val="left" w:pos="2520"/>
        </w:tabs>
        <w:ind w:left="4200" w:hanging="420"/>
      </w:pPr>
      <w:rPr>
        <w:rFonts w:hint="default" w:ascii="Wingdings" w:hAnsi="Wingdings"/>
      </w:rPr>
    </w:lvl>
  </w:abstractNum>
  <w:abstractNum w:abstractNumId="10">
    <w:nsid w:val="7D61659D"/>
    <w:multiLevelType w:val="multilevel"/>
    <w:tmpl w:val="7D61659D"/>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3"/>
  </w:num>
  <w:num w:numId="5">
    <w:abstractNumId w:val="4"/>
  </w:num>
  <w:num w:numId="6">
    <w:abstractNumId w:val="8"/>
  </w:num>
  <w:num w:numId="7">
    <w:abstractNumId w:val="5"/>
  </w:num>
  <w:num w:numId="8">
    <w:abstractNumId w:val="0"/>
  </w:num>
  <w:num w:numId="9">
    <w:abstractNumId w:val="6"/>
  </w:num>
  <w:num w:numId="10">
    <w:abstractNumId w:val="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26360"/>
    <w:rsid w:val="00035F6B"/>
    <w:rsid w:val="000674E7"/>
    <w:rsid w:val="00075809"/>
    <w:rsid w:val="000A33B9"/>
    <w:rsid w:val="000C16D6"/>
    <w:rsid w:val="000C753C"/>
    <w:rsid w:val="000D7AC0"/>
    <w:rsid w:val="00117076"/>
    <w:rsid w:val="00131081"/>
    <w:rsid w:val="00137193"/>
    <w:rsid w:val="001516A0"/>
    <w:rsid w:val="001546DE"/>
    <w:rsid w:val="0017082B"/>
    <w:rsid w:val="001724A0"/>
    <w:rsid w:val="001A02A8"/>
    <w:rsid w:val="00207F22"/>
    <w:rsid w:val="002579B3"/>
    <w:rsid w:val="002D233F"/>
    <w:rsid w:val="002E1537"/>
    <w:rsid w:val="002F39B0"/>
    <w:rsid w:val="003053BB"/>
    <w:rsid w:val="00323306"/>
    <w:rsid w:val="0033458C"/>
    <w:rsid w:val="00356619"/>
    <w:rsid w:val="0037359D"/>
    <w:rsid w:val="003D5067"/>
    <w:rsid w:val="003F1BB8"/>
    <w:rsid w:val="003F4108"/>
    <w:rsid w:val="00403CD6"/>
    <w:rsid w:val="004420D9"/>
    <w:rsid w:val="00450704"/>
    <w:rsid w:val="00474E8B"/>
    <w:rsid w:val="004819F4"/>
    <w:rsid w:val="004B399E"/>
    <w:rsid w:val="004D2D0E"/>
    <w:rsid w:val="00523DBE"/>
    <w:rsid w:val="0054112B"/>
    <w:rsid w:val="00567643"/>
    <w:rsid w:val="00571039"/>
    <w:rsid w:val="00582606"/>
    <w:rsid w:val="005B02AD"/>
    <w:rsid w:val="005E6EBB"/>
    <w:rsid w:val="00637B55"/>
    <w:rsid w:val="00641014"/>
    <w:rsid w:val="00645384"/>
    <w:rsid w:val="0068768C"/>
    <w:rsid w:val="006965F9"/>
    <w:rsid w:val="006A1DED"/>
    <w:rsid w:val="006A6636"/>
    <w:rsid w:val="006B06C2"/>
    <w:rsid w:val="0070356C"/>
    <w:rsid w:val="00705F3B"/>
    <w:rsid w:val="007224F2"/>
    <w:rsid w:val="007610F2"/>
    <w:rsid w:val="00763A9F"/>
    <w:rsid w:val="007652D5"/>
    <w:rsid w:val="00772197"/>
    <w:rsid w:val="007A48FC"/>
    <w:rsid w:val="007B42DB"/>
    <w:rsid w:val="007E3696"/>
    <w:rsid w:val="00812B98"/>
    <w:rsid w:val="00826E73"/>
    <w:rsid w:val="00833587"/>
    <w:rsid w:val="008335FC"/>
    <w:rsid w:val="0086280A"/>
    <w:rsid w:val="008A5129"/>
    <w:rsid w:val="008C74ED"/>
    <w:rsid w:val="009172EA"/>
    <w:rsid w:val="009412B9"/>
    <w:rsid w:val="0095592C"/>
    <w:rsid w:val="00965F28"/>
    <w:rsid w:val="0097076F"/>
    <w:rsid w:val="009768A7"/>
    <w:rsid w:val="00993C41"/>
    <w:rsid w:val="009A0AB1"/>
    <w:rsid w:val="00A26B3B"/>
    <w:rsid w:val="00A6466A"/>
    <w:rsid w:val="00A770A4"/>
    <w:rsid w:val="00A7794B"/>
    <w:rsid w:val="00AC1C60"/>
    <w:rsid w:val="00B0227E"/>
    <w:rsid w:val="00B06754"/>
    <w:rsid w:val="00B27957"/>
    <w:rsid w:val="00B95B6E"/>
    <w:rsid w:val="00C3548C"/>
    <w:rsid w:val="00C36B03"/>
    <w:rsid w:val="00C92677"/>
    <w:rsid w:val="00CA1860"/>
    <w:rsid w:val="00D46D22"/>
    <w:rsid w:val="00D4725B"/>
    <w:rsid w:val="00D86437"/>
    <w:rsid w:val="00DD5BB0"/>
    <w:rsid w:val="00DE1E2A"/>
    <w:rsid w:val="00DF2E77"/>
    <w:rsid w:val="00E47191"/>
    <w:rsid w:val="00E551D9"/>
    <w:rsid w:val="00E77D83"/>
    <w:rsid w:val="00EB3DAD"/>
    <w:rsid w:val="00EB7387"/>
    <w:rsid w:val="00F03BEF"/>
    <w:rsid w:val="00F2574F"/>
    <w:rsid w:val="00F302D0"/>
    <w:rsid w:val="00F4229E"/>
    <w:rsid w:val="00F57504"/>
    <w:rsid w:val="00F9165D"/>
    <w:rsid w:val="012A5B80"/>
    <w:rsid w:val="018E1188"/>
    <w:rsid w:val="01AD551E"/>
    <w:rsid w:val="01B23C6A"/>
    <w:rsid w:val="020016E9"/>
    <w:rsid w:val="021F59DE"/>
    <w:rsid w:val="0233386D"/>
    <w:rsid w:val="03434357"/>
    <w:rsid w:val="03560EB6"/>
    <w:rsid w:val="04763A97"/>
    <w:rsid w:val="04ED1679"/>
    <w:rsid w:val="057766B9"/>
    <w:rsid w:val="05AA799C"/>
    <w:rsid w:val="06906778"/>
    <w:rsid w:val="06FB68B7"/>
    <w:rsid w:val="070E6657"/>
    <w:rsid w:val="071212F9"/>
    <w:rsid w:val="0746571A"/>
    <w:rsid w:val="074A4D8B"/>
    <w:rsid w:val="08143350"/>
    <w:rsid w:val="08244886"/>
    <w:rsid w:val="08C252C3"/>
    <w:rsid w:val="08C27377"/>
    <w:rsid w:val="08CA7368"/>
    <w:rsid w:val="08E76A46"/>
    <w:rsid w:val="092771A7"/>
    <w:rsid w:val="09371E95"/>
    <w:rsid w:val="09447918"/>
    <w:rsid w:val="094F3DFC"/>
    <w:rsid w:val="098A1E34"/>
    <w:rsid w:val="09AD482F"/>
    <w:rsid w:val="09FE2E06"/>
    <w:rsid w:val="0AA910D5"/>
    <w:rsid w:val="0AA91491"/>
    <w:rsid w:val="0B0C7351"/>
    <w:rsid w:val="0B36617C"/>
    <w:rsid w:val="0BF31EA4"/>
    <w:rsid w:val="0BF96E42"/>
    <w:rsid w:val="0C3D430D"/>
    <w:rsid w:val="0C690BB1"/>
    <w:rsid w:val="0C727688"/>
    <w:rsid w:val="0DA5373F"/>
    <w:rsid w:val="0DCE397A"/>
    <w:rsid w:val="0E3E5A73"/>
    <w:rsid w:val="0E625C06"/>
    <w:rsid w:val="0E820056"/>
    <w:rsid w:val="0EB9159E"/>
    <w:rsid w:val="0F026AA1"/>
    <w:rsid w:val="0F9827E1"/>
    <w:rsid w:val="0FC34B48"/>
    <w:rsid w:val="10F56C58"/>
    <w:rsid w:val="10FC5772"/>
    <w:rsid w:val="11E54EED"/>
    <w:rsid w:val="120F41BF"/>
    <w:rsid w:val="1220024C"/>
    <w:rsid w:val="12345932"/>
    <w:rsid w:val="129C348E"/>
    <w:rsid w:val="12A926B4"/>
    <w:rsid w:val="131D6B62"/>
    <w:rsid w:val="13A40A8D"/>
    <w:rsid w:val="13D44784"/>
    <w:rsid w:val="13E42DD7"/>
    <w:rsid w:val="14226315"/>
    <w:rsid w:val="14FA0DA8"/>
    <w:rsid w:val="15464EAC"/>
    <w:rsid w:val="155142DE"/>
    <w:rsid w:val="15584B16"/>
    <w:rsid w:val="157306F8"/>
    <w:rsid w:val="1591488A"/>
    <w:rsid w:val="160F5096"/>
    <w:rsid w:val="16457228"/>
    <w:rsid w:val="166D339A"/>
    <w:rsid w:val="166D6AB5"/>
    <w:rsid w:val="16A9014A"/>
    <w:rsid w:val="16CB6878"/>
    <w:rsid w:val="17072BD0"/>
    <w:rsid w:val="179A479E"/>
    <w:rsid w:val="18077F32"/>
    <w:rsid w:val="184E0FA9"/>
    <w:rsid w:val="185C36C6"/>
    <w:rsid w:val="187A1D9E"/>
    <w:rsid w:val="18C63235"/>
    <w:rsid w:val="18FF2114"/>
    <w:rsid w:val="190E2D37"/>
    <w:rsid w:val="191E305A"/>
    <w:rsid w:val="19C239FC"/>
    <w:rsid w:val="1A4109B4"/>
    <w:rsid w:val="1A681259"/>
    <w:rsid w:val="1AC92880"/>
    <w:rsid w:val="1AF71484"/>
    <w:rsid w:val="1B36335B"/>
    <w:rsid w:val="1B7A239B"/>
    <w:rsid w:val="1B951B50"/>
    <w:rsid w:val="1BB00AB5"/>
    <w:rsid w:val="1BF5201E"/>
    <w:rsid w:val="1C316C4B"/>
    <w:rsid w:val="1C521910"/>
    <w:rsid w:val="1C6E4202"/>
    <w:rsid w:val="1C747A0F"/>
    <w:rsid w:val="1C882636"/>
    <w:rsid w:val="1CA76EDA"/>
    <w:rsid w:val="1D2A2269"/>
    <w:rsid w:val="1D3456BE"/>
    <w:rsid w:val="1D507571"/>
    <w:rsid w:val="1E0A112E"/>
    <w:rsid w:val="1EA11A7B"/>
    <w:rsid w:val="1EA86AA8"/>
    <w:rsid w:val="1EFF77AF"/>
    <w:rsid w:val="1F4E2AC1"/>
    <w:rsid w:val="1F931065"/>
    <w:rsid w:val="1FA84328"/>
    <w:rsid w:val="1FE10954"/>
    <w:rsid w:val="1FFF4ECD"/>
    <w:rsid w:val="201F5A46"/>
    <w:rsid w:val="20655EB4"/>
    <w:rsid w:val="206D65AF"/>
    <w:rsid w:val="20763782"/>
    <w:rsid w:val="20A7394C"/>
    <w:rsid w:val="217575A6"/>
    <w:rsid w:val="21830700"/>
    <w:rsid w:val="21856091"/>
    <w:rsid w:val="21A90C9F"/>
    <w:rsid w:val="21B838DE"/>
    <w:rsid w:val="22097CEF"/>
    <w:rsid w:val="22AC5447"/>
    <w:rsid w:val="22D01692"/>
    <w:rsid w:val="230C3F3A"/>
    <w:rsid w:val="2332056D"/>
    <w:rsid w:val="23582CDC"/>
    <w:rsid w:val="23847F75"/>
    <w:rsid w:val="238939C4"/>
    <w:rsid w:val="238E2BA1"/>
    <w:rsid w:val="239216AF"/>
    <w:rsid w:val="23AD3218"/>
    <w:rsid w:val="23CF438F"/>
    <w:rsid w:val="23E46662"/>
    <w:rsid w:val="240E783E"/>
    <w:rsid w:val="243E3BD2"/>
    <w:rsid w:val="247A681A"/>
    <w:rsid w:val="24A51F50"/>
    <w:rsid w:val="24FE7A9C"/>
    <w:rsid w:val="25982986"/>
    <w:rsid w:val="259F752B"/>
    <w:rsid w:val="25C0149C"/>
    <w:rsid w:val="260F3EEA"/>
    <w:rsid w:val="262F63A5"/>
    <w:rsid w:val="263A491A"/>
    <w:rsid w:val="26DC786D"/>
    <w:rsid w:val="26DC7A58"/>
    <w:rsid w:val="26FB6398"/>
    <w:rsid w:val="27225ADA"/>
    <w:rsid w:val="27CD500C"/>
    <w:rsid w:val="281649A3"/>
    <w:rsid w:val="28706D19"/>
    <w:rsid w:val="287E2C63"/>
    <w:rsid w:val="289A78F2"/>
    <w:rsid w:val="28F2772E"/>
    <w:rsid w:val="298E7457"/>
    <w:rsid w:val="2A056724"/>
    <w:rsid w:val="2A0971E3"/>
    <w:rsid w:val="2A1060BE"/>
    <w:rsid w:val="2A557F75"/>
    <w:rsid w:val="2A8A22C9"/>
    <w:rsid w:val="2B4F6CE6"/>
    <w:rsid w:val="2B666D45"/>
    <w:rsid w:val="2B7D7783"/>
    <w:rsid w:val="2BA77E28"/>
    <w:rsid w:val="2BD31A99"/>
    <w:rsid w:val="2BF274DA"/>
    <w:rsid w:val="2C1061FC"/>
    <w:rsid w:val="2C191624"/>
    <w:rsid w:val="2C4209CD"/>
    <w:rsid w:val="2C560B1C"/>
    <w:rsid w:val="2D2E7DF5"/>
    <w:rsid w:val="2D3C541C"/>
    <w:rsid w:val="2D656721"/>
    <w:rsid w:val="2DAF5F6C"/>
    <w:rsid w:val="2DBC6DDA"/>
    <w:rsid w:val="2DBE6880"/>
    <w:rsid w:val="2DDB4C35"/>
    <w:rsid w:val="2E2A554B"/>
    <w:rsid w:val="2E4F41CD"/>
    <w:rsid w:val="2E67662E"/>
    <w:rsid w:val="2E992206"/>
    <w:rsid w:val="2F2D7712"/>
    <w:rsid w:val="2FE70A33"/>
    <w:rsid w:val="30450E91"/>
    <w:rsid w:val="30562C99"/>
    <w:rsid w:val="31210BB1"/>
    <w:rsid w:val="312D57A8"/>
    <w:rsid w:val="315E7D2D"/>
    <w:rsid w:val="31880C30"/>
    <w:rsid w:val="318F66B7"/>
    <w:rsid w:val="32E32527"/>
    <w:rsid w:val="33172A43"/>
    <w:rsid w:val="336A4406"/>
    <w:rsid w:val="33916C07"/>
    <w:rsid w:val="339E473B"/>
    <w:rsid w:val="33B026C0"/>
    <w:rsid w:val="33D339B0"/>
    <w:rsid w:val="3466105C"/>
    <w:rsid w:val="34802092"/>
    <w:rsid w:val="35A60B32"/>
    <w:rsid w:val="35F663A6"/>
    <w:rsid w:val="366425C6"/>
    <w:rsid w:val="3670627F"/>
    <w:rsid w:val="37074D5F"/>
    <w:rsid w:val="37B95A6E"/>
    <w:rsid w:val="37CC2DD8"/>
    <w:rsid w:val="38241434"/>
    <w:rsid w:val="38995E18"/>
    <w:rsid w:val="398B750F"/>
    <w:rsid w:val="39A729A9"/>
    <w:rsid w:val="39D91D43"/>
    <w:rsid w:val="39EB7CEF"/>
    <w:rsid w:val="3A352D91"/>
    <w:rsid w:val="3B0C6BD4"/>
    <w:rsid w:val="3B476D9A"/>
    <w:rsid w:val="3C0135F0"/>
    <w:rsid w:val="3C2A70A1"/>
    <w:rsid w:val="3C6A5B02"/>
    <w:rsid w:val="3CDE1303"/>
    <w:rsid w:val="3D3D0FB6"/>
    <w:rsid w:val="3D4857BF"/>
    <w:rsid w:val="3D9F17DB"/>
    <w:rsid w:val="3DB3624E"/>
    <w:rsid w:val="3E1729ED"/>
    <w:rsid w:val="3E3F7B5C"/>
    <w:rsid w:val="3E9D359D"/>
    <w:rsid w:val="3EFD0EAF"/>
    <w:rsid w:val="3F3746D6"/>
    <w:rsid w:val="3F604F9A"/>
    <w:rsid w:val="3FBC08CA"/>
    <w:rsid w:val="401747B4"/>
    <w:rsid w:val="408B53C4"/>
    <w:rsid w:val="414E1461"/>
    <w:rsid w:val="4151103E"/>
    <w:rsid w:val="415733AE"/>
    <w:rsid w:val="41630D72"/>
    <w:rsid w:val="41B31CF9"/>
    <w:rsid w:val="41DF2AEE"/>
    <w:rsid w:val="42085EA2"/>
    <w:rsid w:val="420E561A"/>
    <w:rsid w:val="421D1C63"/>
    <w:rsid w:val="429C03A0"/>
    <w:rsid w:val="435E7A42"/>
    <w:rsid w:val="442F1049"/>
    <w:rsid w:val="446C43E1"/>
    <w:rsid w:val="448B5670"/>
    <w:rsid w:val="45105096"/>
    <w:rsid w:val="45257562"/>
    <w:rsid w:val="455B2433"/>
    <w:rsid w:val="46576133"/>
    <w:rsid w:val="46737CA9"/>
    <w:rsid w:val="467C5D54"/>
    <w:rsid w:val="46A1688C"/>
    <w:rsid w:val="46CD299F"/>
    <w:rsid w:val="471F573B"/>
    <w:rsid w:val="48125ACE"/>
    <w:rsid w:val="485E2293"/>
    <w:rsid w:val="494769C6"/>
    <w:rsid w:val="49897AB9"/>
    <w:rsid w:val="4992184F"/>
    <w:rsid w:val="49B900C8"/>
    <w:rsid w:val="4A3A4A66"/>
    <w:rsid w:val="4A6C0C97"/>
    <w:rsid w:val="4AA4557D"/>
    <w:rsid w:val="4ADE5710"/>
    <w:rsid w:val="4B026900"/>
    <w:rsid w:val="4B2F47E2"/>
    <w:rsid w:val="4CD945DE"/>
    <w:rsid w:val="4D2717ED"/>
    <w:rsid w:val="4D6B4696"/>
    <w:rsid w:val="4D6D5452"/>
    <w:rsid w:val="4DD227B5"/>
    <w:rsid w:val="4E007704"/>
    <w:rsid w:val="4EBB3F9B"/>
    <w:rsid w:val="4EE8035A"/>
    <w:rsid w:val="4EFA1A7A"/>
    <w:rsid w:val="4F36418A"/>
    <w:rsid w:val="4FA97A3E"/>
    <w:rsid w:val="4FF62D91"/>
    <w:rsid w:val="50010784"/>
    <w:rsid w:val="500A3750"/>
    <w:rsid w:val="502821F7"/>
    <w:rsid w:val="507951F2"/>
    <w:rsid w:val="50DA3B80"/>
    <w:rsid w:val="51200A2D"/>
    <w:rsid w:val="516E572D"/>
    <w:rsid w:val="51FB0B52"/>
    <w:rsid w:val="526C4FB9"/>
    <w:rsid w:val="5380612E"/>
    <w:rsid w:val="54B22CB0"/>
    <w:rsid w:val="5541560A"/>
    <w:rsid w:val="557224CB"/>
    <w:rsid w:val="55E33464"/>
    <w:rsid w:val="562F3EBC"/>
    <w:rsid w:val="56567BDB"/>
    <w:rsid w:val="56E31ADE"/>
    <w:rsid w:val="57B01B5E"/>
    <w:rsid w:val="57E6599F"/>
    <w:rsid w:val="58774269"/>
    <w:rsid w:val="58CF0EC3"/>
    <w:rsid w:val="593F4410"/>
    <w:rsid w:val="59524889"/>
    <w:rsid w:val="59B759D6"/>
    <w:rsid w:val="59CD42F5"/>
    <w:rsid w:val="5A0719EF"/>
    <w:rsid w:val="5A4440A8"/>
    <w:rsid w:val="5AAE2C06"/>
    <w:rsid w:val="5AB02A24"/>
    <w:rsid w:val="5AD05976"/>
    <w:rsid w:val="5BB66216"/>
    <w:rsid w:val="5BC85F49"/>
    <w:rsid w:val="5C3F6B12"/>
    <w:rsid w:val="5C5E00A9"/>
    <w:rsid w:val="5C924F37"/>
    <w:rsid w:val="5CCE20D2"/>
    <w:rsid w:val="5CF7221A"/>
    <w:rsid w:val="5D2418A5"/>
    <w:rsid w:val="5D2B7D3B"/>
    <w:rsid w:val="5DA645CD"/>
    <w:rsid w:val="5E0B714A"/>
    <w:rsid w:val="5EE74938"/>
    <w:rsid w:val="5F230E48"/>
    <w:rsid w:val="5F5F2BB5"/>
    <w:rsid w:val="5FB71C31"/>
    <w:rsid w:val="60066868"/>
    <w:rsid w:val="60A1369C"/>
    <w:rsid w:val="614B3C25"/>
    <w:rsid w:val="618A4A47"/>
    <w:rsid w:val="61D20FDE"/>
    <w:rsid w:val="624A590A"/>
    <w:rsid w:val="62E54C7F"/>
    <w:rsid w:val="631614A5"/>
    <w:rsid w:val="642977BB"/>
    <w:rsid w:val="64C73510"/>
    <w:rsid w:val="64F93617"/>
    <w:rsid w:val="64F958C5"/>
    <w:rsid w:val="65A82571"/>
    <w:rsid w:val="65D511B0"/>
    <w:rsid w:val="663234CF"/>
    <w:rsid w:val="66770C98"/>
    <w:rsid w:val="671866E1"/>
    <w:rsid w:val="671F0C66"/>
    <w:rsid w:val="674278DE"/>
    <w:rsid w:val="676F0B6F"/>
    <w:rsid w:val="67A05FCC"/>
    <w:rsid w:val="681D04F5"/>
    <w:rsid w:val="689D4DEA"/>
    <w:rsid w:val="68C328EB"/>
    <w:rsid w:val="68C5436B"/>
    <w:rsid w:val="68D57857"/>
    <w:rsid w:val="690E58E3"/>
    <w:rsid w:val="69591B58"/>
    <w:rsid w:val="695B21AB"/>
    <w:rsid w:val="699D06A3"/>
    <w:rsid w:val="69A3163D"/>
    <w:rsid w:val="69A92878"/>
    <w:rsid w:val="69B85069"/>
    <w:rsid w:val="69C441F4"/>
    <w:rsid w:val="6A467D2E"/>
    <w:rsid w:val="6AB21941"/>
    <w:rsid w:val="6AC92664"/>
    <w:rsid w:val="6B8813B5"/>
    <w:rsid w:val="6BDB6095"/>
    <w:rsid w:val="6C391AED"/>
    <w:rsid w:val="6C432A11"/>
    <w:rsid w:val="6CDA03F3"/>
    <w:rsid w:val="6D436291"/>
    <w:rsid w:val="6D93510E"/>
    <w:rsid w:val="6DE86C68"/>
    <w:rsid w:val="6E3A3D59"/>
    <w:rsid w:val="6E4A50D6"/>
    <w:rsid w:val="6E572D1F"/>
    <w:rsid w:val="705E076B"/>
    <w:rsid w:val="705F156B"/>
    <w:rsid w:val="70682A5A"/>
    <w:rsid w:val="716234D1"/>
    <w:rsid w:val="721367ED"/>
    <w:rsid w:val="72CB77F1"/>
    <w:rsid w:val="73697BBA"/>
    <w:rsid w:val="73764075"/>
    <w:rsid w:val="73C95B29"/>
    <w:rsid w:val="74217FCD"/>
    <w:rsid w:val="74352EE3"/>
    <w:rsid w:val="74C1265A"/>
    <w:rsid w:val="75245A93"/>
    <w:rsid w:val="756444DF"/>
    <w:rsid w:val="7646256A"/>
    <w:rsid w:val="767E25F0"/>
    <w:rsid w:val="76AA6753"/>
    <w:rsid w:val="76AB46B0"/>
    <w:rsid w:val="76EE2BB4"/>
    <w:rsid w:val="774C41F5"/>
    <w:rsid w:val="775E1E7E"/>
    <w:rsid w:val="7771703D"/>
    <w:rsid w:val="778A5E1B"/>
    <w:rsid w:val="77B47F8F"/>
    <w:rsid w:val="77CD4BBB"/>
    <w:rsid w:val="7880506B"/>
    <w:rsid w:val="78AC5C90"/>
    <w:rsid w:val="793244A0"/>
    <w:rsid w:val="79A67472"/>
    <w:rsid w:val="79CC49FF"/>
    <w:rsid w:val="79E84606"/>
    <w:rsid w:val="7A326F58"/>
    <w:rsid w:val="7A913288"/>
    <w:rsid w:val="7AAC2856"/>
    <w:rsid w:val="7AE511BB"/>
    <w:rsid w:val="7B3B065B"/>
    <w:rsid w:val="7B455BCC"/>
    <w:rsid w:val="7B4C5B3F"/>
    <w:rsid w:val="7B5F552E"/>
    <w:rsid w:val="7BC14128"/>
    <w:rsid w:val="7BE37D07"/>
    <w:rsid w:val="7C351B7C"/>
    <w:rsid w:val="7C6469C2"/>
    <w:rsid w:val="7CCC6766"/>
    <w:rsid w:val="7CE26B65"/>
    <w:rsid w:val="7E700321"/>
    <w:rsid w:val="7EAB7A4E"/>
    <w:rsid w:val="7EFB61FD"/>
    <w:rsid w:val="7F177286"/>
    <w:rsid w:val="7F58525A"/>
    <w:rsid w:val="7F690977"/>
    <w:rsid w:val="7F6F559D"/>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List Bullet"/>
    <w:basedOn w:val="1"/>
    <w:unhideWhenUsed/>
    <w:qFormat/>
    <w:uiPriority w:val="0"/>
    <w:pPr>
      <w:numPr>
        <w:ilvl w:val="0"/>
        <w:numId w:val="2"/>
      </w:numPr>
      <w:snapToGrid/>
      <w:spacing w:after="180" w:afterAutospacing="0" w:line="259" w:lineRule="auto"/>
      <w:contextualSpacing/>
    </w:pPr>
    <w:rPr>
      <w:rFonts w:eastAsia="Batang"/>
      <w:sz w:val="20"/>
      <w:lang w:eastAsia="en-US"/>
    </w:rPr>
  </w:style>
  <w:style w:type="paragraph" w:styleId="7">
    <w:name w:val="List Number 3"/>
    <w:basedOn w:val="1"/>
    <w:qFormat/>
    <w:uiPriority w:val="0"/>
    <w:pPr>
      <w:numPr>
        <w:ilvl w:val="0"/>
        <w:numId w:val="3"/>
      </w:numPr>
      <w:overflowPunct w:val="0"/>
      <w:autoSpaceDE w:val="0"/>
      <w:autoSpaceDN w:val="0"/>
      <w:adjustRightInd w:val="0"/>
      <w:snapToGrid/>
      <w:spacing w:after="180" w:afterAutospacing="0"/>
      <w:contextualSpacing/>
      <w:jc w:val="left"/>
      <w:textAlignment w:val="baseline"/>
    </w:pPr>
    <w:rPr>
      <w:rFonts w:eastAsia="宋体"/>
      <w:sz w:val="20"/>
      <w:lang w:eastAsia="en-GB"/>
    </w:rPr>
  </w:style>
  <w:style w:type="paragraph" w:styleId="8">
    <w:name w:val="Balloon Text"/>
    <w:basedOn w:val="1"/>
    <w:link w:val="20"/>
    <w:qFormat/>
    <w:uiPriority w:val="0"/>
    <w:pPr>
      <w:spacing w:after="0"/>
    </w:pPr>
    <w:rPr>
      <w:sz w:val="18"/>
      <w:szCs w:val="18"/>
    </w:rPr>
  </w:style>
  <w:style w:type="paragraph" w:styleId="9">
    <w:name w:val="footer"/>
    <w:basedOn w:val="1"/>
    <w:qFormat/>
    <w:uiPriority w:val="99"/>
    <w:pPr>
      <w:tabs>
        <w:tab w:val="center" w:pos="4252"/>
        <w:tab w:val="right" w:pos="8504"/>
      </w:tabs>
    </w:pPr>
  </w:style>
  <w:style w:type="paragraph" w:styleId="10">
    <w:name w:val="header"/>
    <w:basedOn w:val="1"/>
    <w:qFormat/>
    <w:uiPriority w:val="99"/>
    <w:pPr>
      <w:widowControl w:val="0"/>
    </w:pPr>
    <w:rPr>
      <w:rFonts w:ascii="Arial" w:hAnsi="Arial" w:eastAsia="MS Mincho"/>
      <w:b/>
      <w:sz w:val="18"/>
    </w:rPr>
  </w:style>
  <w:style w:type="paragraph" w:styleId="11">
    <w:name w:val="List"/>
    <w:basedOn w:val="1"/>
    <w:qFormat/>
    <w:uiPriority w:val="0"/>
    <w:pPr>
      <w:ind w:left="568" w:hanging="284"/>
    </w:p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rFonts w:cs="Times New Roman"/>
      <w:b/>
    </w:rPr>
  </w:style>
  <w:style w:type="character" w:styleId="16">
    <w:name w:val="Hyperlink"/>
    <w:basedOn w:val="14"/>
    <w:qFormat/>
    <w:uiPriority w:val="0"/>
    <w:rPr>
      <w:color w:val="0000FF"/>
      <w:u w:val="single"/>
    </w:rPr>
  </w:style>
  <w:style w:type="paragraph" w:customStyle="1" w:styleId="17">
    <w:name w:val="text intend 2"/>
    <w:basedOn w:val="18"/>
    <w:qFormat/>
    <w:uiPriority w:val="0"/>
    <w:pPr>
      <w:widowControl/>
      <w:numPr>
        <w:numId w:val="4"/>
      </w:numPr>
      <w:tabs>
        <w:tab w:val="left" w:pos="420"/>
      </w:tabs>
      <w:spacing w:after="120"/>
    </w:pPr>
    <w:rPr>
      <w:lang w:val="en-US"/>
    </w:rPr>
  </w:style>
  <w:style w:type="paragraph" w:customStyle="1" w:styleId="18">
    <w:name w:val="text"/>
    <w:basedOn w:val="1"/>
    <w:qFormat/>
    <w:uiPriority w:val="0"/>
    <w:pPr>
      <w:widowControl w:val="0"/>
      <w:numPr>
        <w:ilvl w:val="0"/>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9">
    <w:name w:val="List Paragraph"/>
    <w:basedOn w:val="1"/>
    <w:link w:val="21"/>
    <w:qFormat/>
    <w:uiPriority w:val="34"/>
    <w:pPr>
      <w:numPr>
        <w:ilvl w:val="0"/>
        <w:numId w:val="6"/>
      </w:numPr>
      <w:spacing w:before="240" w:after="0" w:afterAutospacing="0"/>
    </w:pPr>
  </w:style>
  <w:style w:type="character" w:customStyle="1" w:styleId="20">
    <w:name w:val="批注框文本 字符"/>
    <w:basedOn w:val="14"/>
    <w:link w:val="8"/>
    <w:qFormat/>
    <w:uiPriority w:val="0"/>
    <w:rPr>
      <w:rFonts w:eastAsia="MS Gothic"/>
      <w:sz w:val="18"/>
      <w:szCs w:val="18"/>
      <w:lang w:val="en-GB" w:eastAsia="ja-JP"/>
    </w:rPr>
  </w:style>
  <w:style w:type="character" w:customStyle="1" w:styleId="21">
    <w:name w:val="列出段落 字符"/>
    <w:link w:val="19"/>
    <w:qFormat/>
    <w:locked/>
    <w:uiPriority w:val="34"/>
    <w:rPr>
      <w:rFonts w:eastAsia="MS Gothic"/>
      <w:sz w:val="24"/>
      <w:lang w:val="en-GB" w:eastAsia="ja-JP"/>
    </w:rPr>
  </w:style>
  <w:style w:type="paragraph" w:customStyle="1" w:styleId="22">
    <w:name w:val="0 Main text"/>
    <w:basedOn w:val="1"/>
    <w:qFormat/>
    <w:uiPriority w:val="0"/>
    <w:rPr>
      <w:rFonts w:eastAsia="Malgun Gothic"/>
    </w:rPr>
  </w:style>
  <w:style w:type="paragraph" w:customStyle="1" w:styleId="23">
    <w:name w:val="B1"/>
    <w:basedOn w:val="11"/>
    <w:link w:val="26"/>
    <w:qFormat/>
    <w:uiPriority w:val="0"/>
  </w:style>
  <w:style w:type="paragraph" w:customStyle="1" w:styleId="24">
    <w:name w:val="EX"/>
    <w:basedOn w:val="1"/>
    <w:qFormat/>
    <w:uiPriority w:val="0"/>
    <w:pPr>
      <w:keepLines/>
      <w:ind w:left="1702" w:hanging="1418"/>
    </w:pPr>
  </w:style>
  <w:style w:type="character" w:customStyle="1" w:styleId="25">
    <w:name w:val="列出段落 字符1"/>
    <w:qFormat/>
    <w:locked/>
    <w:uiPriority w:val="34"/>
    <w:rPr>
      <w:rFonts w:ascii="Times" w:hAnsi="Times" w:eastAsia="宋体" w:cs="Times"/>
      <w:sz w:val="22"/>
      <w:szCs w:val="24"/>
      <w:lang w:eastAsia="ja-JP"/>
    </w:rPr>
  </w:style>
  <w:style w:type="character" w:customStyle="1" w:styleId="26">
    <w:name w:val="B1 Char1"/>
    <w:link w:val="23"/>
    <w:qFormat/>
    <w:uiPriority w:val="0"/>
    <w:rPr>
      <w:rFonts w:eastAsia="MS Gothic"/>
      <w:sz w:val="24"/>
      <w:lang w:val="en-GB"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ECF2-5579-42F3-B3AD-CBEBAFC55875}">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1583</Words>
  <Characters>8139</Characters>
  <Lines>132</Lines>
  <Paragraphs>37</Paragraphs>
  <TotalTime>1</TotalTime>
  <ScaleCrop>false</ScaleCrop>
  <LinksUpToDate>false</LinksUpToDate>
  <CharactersWithSpaces>9663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LC0509O1</cp:lastModifiedBy>
  <dcterms:modified xsi:type="dcterms:W3CDTF">2025-05-09T02:46:43Z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90637FB759D14FAB9290EE1386340D4E_13</vt:lpwstr>
  </property>
  <property fmtid="{D5CDD505-2E9C-101B-9397-08002B2CF9AE}" pid="4" name="KSOTemplateDocerSaveRecord">
    <vt:lpwstr>eyJoZGlkIjoiNjg5YTE3M2RiMjhjZDUyY2MxZjU4MzFhNTRmNWZiNWEiLCJ1c2VySWQiOiI0NDM1NzkyNzAifQ==</vt:lpwstr>
  </property>
</Properties>
</file>