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7882C" w14:textId="5D571627" w:rsidR="00A0673B" w:rsidRDefault="00BD7507" w:rsidP="00B97E2E">
      <w:pPr>
        <w:tabs>
          <w:tab w:val="center" w:pos="4536"/>
          <w:tab w:val="right" w:pos="8280"/>
          <w:tab w:val="right" w:pos="9781"/>
        </w:tabs>
        <w:ind w:right="-58"/>
        <w:jc w:val="both"/>
        <w:rPr>
          <w:rFonts w:ascii="Arial" w:hAnsi="Arial" w:cs="Arial"/>
          <w:b/>
          <w:bCs/>
          <w:sz w:val="28"/>
        </w:rPr>
      </w:pPr>
      <w:bookmarkStart w:id="0" w:name="_Toc193024528"/>
      <w:r w:rsidRPr="006B4B4A">
        <w:rPr>
          <w:rFonts w:ascii="Arial" w:hAnsi="Arial" w:cs="Arial"/>
          <w:b/>
          <w:bCs/>
          <w:sz w:val="28"/>
        </w:rPr>
        <w:t xml:space="preserve">3GPP TSG RAN WG1 </w:t>
      </w:r>
      <w:r w:rsidR="00FB2DA8" w:rsidRPr="00FB2DA8">
        <w:rPr>
          <w:rFonts w:ascii="Arial" w:hAnsi="Arial" w:cs="Arial"/>
          <w:b/>
          <w:bCs/>
          <w:sz w:val="28"/>
        </w:rPr>
        <w:t>#</w:t>
      </w:r>
      <w:r w:rsidR="00653869" w:rsidRPr="00926390">
        <w:rPr>
          <w:rFonts w:ascii="Arial" w:hAnsi="Arial" w:cs="Arial"/>
          <w:b/>
          <w:bCs/>
          <w:sz w:val="28"/>
        </w:rPr>
        <w:t>12</w:t>
      </w:r>
      <w:r w:rsidR="001815F6" w:rsidRPr="00926390">
        <w:rPr>
          <w:rFonts w:ascii="Arial" w:hAnsi="Arial" w:cs="Arial"/>
          <w:b/>
          <w:bCs/>
          <w:sz w:val="28"/>
        </w:rPr>
        <w:t>1</w:t>
      </w:r>
      <w:r w:rsidR="00B97E2E" w:rsidRPr="00926390">
        <w:rPr>
          <w:rFonts w:ascii="Arial" w:eastAsia="MS Mincho" w:hAnsi="Arial" w:cs="Arial"/>
          <w:b/>
          <w:bCs/>
          <w:sz w:val="28"/>
          <w:lang w:eastAsia="ja-JP"/>
        </w:rPr>
        <w:t xml:space="preserve">                                         </w:t>
      </w:r>
      <w:r w:rsidR="00404402" w:rsidRPr="00926390">
        <w:rPr>
          <w:rFonts w:ascii="Arial" w:eastAsia="MS Mincho" w:hAnsi="Arial" w:cs="Arial"/>
          <w:b/>
          <w:bCs/>
          <w:sz w:val="28"/>
          <w:lang w:eastAsia="ja-JP"/>
        </w:rPr>
        <w:t xml:space="preserve">      </w:t>
      </w:r>
      <w:r w:rsidR="00B97E2E" w:rsidRPr="00926390">
        <w:rPr>
          <w:rFonts w:ascii="Arial" w:eastAsia="MS Mincho" w:hAnsi="Arial" w:cs="Arial"/>
          <w:b/>
          <w:bCs/>
          <w:sz w:val="28"/>
          <w:lang w:eastAsia="ja-JP"/>
        </w:rPr>
        <w:t xml:space="preserve">    </w:t>
      </w:r>
      <w:r w:rsidR="006C03DE" w:rsidRPr="00926390">
        <w:rPr>
          <w:rFonts w:ascii="Arial" w:eastAsia="MS Mincho" w:hAnsi="Arial" w:cs="Arial"/>
          <w:b/>
          <w:bCs/>
          <w:sz w:val="28"/>
          <w:lang w:eastAsia="ja-JP"/>
        </w:rPr>
        <w:t xml:space="preserve">  </w:t>
      </w:r>
      <w:r w:rsidR="006F2901" w:rsidRPr="00926390">
        <w:rPr>
          <w:rFonts w:ascii="Arial" w:eastAsia="MS Mincho" w:hAnsi="Arial" w:cs="Arial"/>
          <w:b/>
          <w:bCs/>
          <w:sz w:val="28"/>
          <w:lang w:eastAsia="ja-JP"/>
        </w:rPr>
        <w:t xml:space="preserve">  </w:t>
      </w:r>
      <w:r w:rsidR="00B66E71" w:rsidRPr="00926390">
        <w:rPr>
          <w:rFonts w:ascii="Arial" w:hAnsi="Arial" w:cs="Arial"/>
          <w:b/>
          <w:bCs/>
          <w:sz w:val="28"/>
        </w:rPr>
        <w:t>R1-250</w:t>
      </w:r>
      <w:r w:rsidR="00926390" w:rsidRPr="00926390">
        <w:rPr>
          <w:rFonts w:ascii="Arial" w:hAnsi="Arial" w:cs="Arial"/>
          <w:b/>
          <w:bCs/>
          <w:sz w:val="28"/>
        </w:rPr>
        <w:t>4275</w:t>
      </w:r>
    </w:p>
    <w:p w14:paraId="6F5A350C" w14:textId="401C446B" w:rsidR="00B97E2E" w:rsidRPr="005104FD" w:rsidRDefault="000E4ADC" w:rsidP="00B97E2E">
      <w:pPr>
        <w:tabs>
          <w:tab w:val="center" w:pos="4536"/>
          <w:tab w:val="right" w:pos="8280"/>
          <w:tab w:val="right" w:pos="9781"/>
        </w:tabs>
        <w:ind w:right="-58"/>
        <w:jc w:val="both"/>
        <w:rPr>
          <w:rFonts w:ascii="Arial" w:eastAsiaTheme="minorEastAsia" w:hAnsi="Arial" w:cs="Arial"/>
          <w:b/>
          <w:bCs/>
          <w:sz w:val="28"/>
          <w:lang w:eastAsia="zh-TW"/>
        </w:rPr>
      </w:pPr>
      <w:r w:rsidRPr="000E4ADC">
        <w:rPr>
          <w:rFonts w:ascii="Arial" w:eastAsia="MS Mincho" w:hAnsi="Arial" w:cs="Arial"/>
          <w:b/>
          <w:bCs/>
          <w:sz w:val="28"/>
          <w:lang w:eastAsia="ja-JP"/>
        </w:rPr>
        <w:t>St Julian’s, Malta, May 19th – 23th, 2025</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39808" behindDoc="0" locked="1" layoutInCell="1" allowOverlap="1" wp14:anchorId="5915BE97" wp14:editId="435FD513">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AD02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0A85751C"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A87FC3" w:rsidRPr="00A87FC3">
        <w:rPr>
          <w:rFonts w:ascii="Arial" w:eastAsia="新細明體" w:hAnsi="Arial"/>
          <w:color w:val="000000"/>
          <w:sz w:val="24"/>
          <w:lang w:eastAsia="zh-TW"/>
        </w:rPr>
        <w:t>9</w:t>
      </w:r>
      <w:r w:rsidR="0089724A" w:rsidRPr="00A87FC3">
        <w:rPr>
          <w:rFonts w:ascii="Arial" w:eastAsia="新細明體" w:hAnsi="Arial"/>
          <w:color w:val="000000"/>
          <w:sz w:val="24"/>
          <w:lang w:eastAsia="zh-TW"/>
        </w:rPr>
        <w:t>.</w:t>
      </w:r>
      <w:r w:rsidR="00A87FC3" w:rsidRPr="00A87FC3">
        <w:rPr>
          <w:rFonts w:ascii="Arial" w:eastAsia="新細明體" w:hAnsi="Arial"/>
          <w:color w:val="000000"/>
          <w:sz w:val="24"/>
          <w:lang w:eastAsia="zh-TW"/>
        </w:rPr>
        <w:t>12</w:t>
      </w:r>
      <w:r w:rsidR="00150EAD" w:rsidRPr="00A87FC3">
        <w:rPr>
          <w:rFonts w:ascii="Arial" w:eastAsia="新細明體" w:hAnsi="Arial"/>
          <w:color w:val="000000"/>
          <w:sz w:val="24"/>
          <w:lang w:eastAsia="zh-TW"/>
        </w:rPr>
        <w:t>.</w:t>
      </w:r>
      <w:r w:rsidR="00A87FC3" w:rsidRPr="00A87FC3">
        <w:rPr>
          <w:rFonts w:ascii="Arial" w:eastAsia="新細明體" w:hAnsi="Arial"/>
          <w:color w:val="000000"/>
          <w:sz w:val="24"/>
          <w:lang w:eastAsia="zh-TW"/>
        </w:rPr>
        <w:t>2</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2F618043"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AD1281">
        <w:rPr>
          <w:rFonts w:ascii="Arial" w:hAnsi="Arial"/>
          <w:sz w:val="24"/>
        </w:rPr>
        <w:t>Low</w:t>
      </w:r>
      <w:r w:rsidR="00CC0F6E">
        <w:rPr>
          <w:rFonts w:asciiTheme="minorEastAsia" w:eastAsiaTheme="minorEastAsia" w:hAnsiTheme="minorEastAsia" w:hint="eastAsia"/>
          <w:sz w:val="24"/>
          <w:lang w:eastAsia="zh-TW"/>
        </w:rPr>
        <w:t xml:space="preserve"> </w:t>
      </w:r>
      <w:r w:rsidR="00AD1281">
        <w:rPr>
          <w:rFonts w:ascii="Arial" w:hAnsi="Arial"/>
          <w:sz w:val="24"/>
        </w:rPr>
        <w:t xml:space="preserve">band </w:t>
      </w:r>
      <w:r w:rsidR="00CC0F6E">
        <w:rPr>
          <w:rFonts w:ascii="Arial" w:hAnsi="Arial"/>
          <w:sz w:val="24"/>
        </w:rPr>
        <w:t>ca</w:t>
      </w:r>
      <w:r w:rsidR="00AD1281">
        <w:rPr>
          <w:rFonts w:ascii="Arial" w:hAnsi="Arial"/>
          <w:sz w:val="24"/>
        </w:rPr>
        <w:t xml:space="preserve">rrier </w:t>
      </w:r>
      <w:r w:rsidR="00CC0F6E">
        <w:rPr>
          <w:rFonts w:ascii="Arial" w:hAnsi="Arial"/>
          <w:sz w:val="24"/>
        </w:rPr>
        <w:t>a</w:t>
      </w:r>
      <w:r w:rsidR="00AD1281">
        <w:rPr>
          <w:rFonts w:ascii="Arial" w:hAnsi="Arial"/>
          <w:sz w:val="24"/>
        </w:rPr>
        <w:t xml:space="preserve">ggregation via </w:t>
      </w:r>
      <w:r w:rsidR="00CC0F6E">
        <w:rPr>
          <w:rFonts w:ascii="Arial" w:hAnsi="Arial"/>
          <w:sz w:val="24"/>
        </w:rPr>
        <w:t>s</w:t>
      </w:r>
      <w:r w:rsidR="00AD1281">
        <w:rPr>
          <w:rFonts w:ascii="Arial" w:hAnsi="Arial"/>
          <w:sz w:val="24"/>
        </w:rPr>
        <w:t>witching</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33F942AB" w14:textId="45BC1692" w:rsidR="00731FA7" w:rsidRDefault="00E517AB" w:rsidP="00A81614">
      <w:r w:rsidRPr="00E517AB">
        <w:t xml:space="preserve">A new WID was introduced in [1] </w:t>
      </w:r>
      <w:r>
        <w:t xml:space="preserve">and modified in </w:t>
      </w:r>
      <w:r w:rsidR="00127845">
        <w:fldChar w:fldCharType="begin"/>
      </w:r>
      <w:r w:rsidR="00127845">
        <w:instrText xml:space="preserve"> REF _Ref193174921 \r \h </w:instrText>
      </w:r>
      <w:r w:rsidR="00127845">
        <w:fldChar w:fldCharType="separate"/>
      </w:r>
      <w:r w:rsidR="003F6D04">
        <w:t>[2]</w:t>
      </w:r>
      <w:r w:rsidR="00127845">
        <w:fldChar w:fldCharType="end"/>
      </w:r>
      <w:r w:rsidR="00127845">
        <w:t xml:space="preserve"> </w:t>
      </w:r>
      <w:r w:rsidRPr="00E517AB">
        <w:t xml:space="preserve">to aggregate low-band carriers via switching, particularly between </w:t>
      </w:r>
      <w:r w:rsidR="00B33735">
        <w:t>Ba</w:t>
      </w:r>
      <w:r w:rsidRPr="00E517AB">
        <w:t xml:space="preserve">nd n5 (FDD) and </w:t>
      </w:r>
      <w:r w:rsidR="00B33735">
        <w:t>B</w:t>
      </w:r>
      <w:r w:rsidRPr="00E517AB">
        <w:t>and n29 (SDL), with the following objectives.</w:t>
      </w:r>
    </w:p>
    <w:tbl>
      <w:tblPr>
        <w:tblStyle w:val="TableGrid"/>
        <w:tblW w:w="0" w:type="auto"/>
        <w:tblLook w:val="04A0" w:firstRow="1" w:lastRow="0" w:firstColumn="1" w:lastColumn="0" w:noHBand="0" w:noVBand="1"/>
      </w:tblPr>
      <w:tblGrid>
        <w:gridCol w:w="9631"/>
      </w:tblGrid>
      <w:tr w:rsidR="00565F11" w:rsidRPr="00565F11" w14:paraId="23D61FFD" w14:textId="77777777" w:rsidTr="00565F11">
        <w:tc>
          <w:tcPr>
            <w:tcW w:w="9631" w:type="dxa"/>
          </w:tcPr>
          <w:p w14:paraId="5567DB43" w14:textId="77777777" w:rsidR="00565F11" w:rsidRPr="00192BEE" w:rsidRDefault="00565F11" w:rsidP="00565F11">
            <w:pPr>
              <w:spacing w:after="0"/>
              <w:rPr>
                <w:rFonts w:ascii="Times New Roman" w:hAnsi="Times New Roman"/>
                <w:bCs/>
              </w:rPr>
            </w:pPr>
            <w:r w:rsidRPr="00192BEE">
              <w:rPr>
                <w:rFonts w:ascii="Times New Roman" w:hAnsi="Times New Roman"/>
                <w:bCs/>
              </w:rPr>
              <w:t>Introduce physical layer procedures and requirements to enable low band carrier aggregation via switching according to the following objectives:</w:t>
            </w:r>
          </w:p>
          <w:p w14:paraId="0C538E02" w14:textId="77777777" w:rsidR="00565F11" w:rsidRPr="00565F11" w:rsidRDefault="00565F11" w:rsidP="00565F11">
            <w:pPr>
              <w:pStyle w:val="B1"/>
              <w:rPr>
                <w:rFonts w:ascii="Times New Roman" w:hAnsi="Times New Roman"/>
                <w:lang w:val="en-US" w:eastAsia="en-GB"/>
              </w:rPr>
            </w:pPr>
            <w:r w:rsidRPr="00192BEE">
              <w:rPr>
                <w:rFonts w:ascii="Times New Roman" w:hAnsi="Times New Roman"/>
                <w:bCs/>
              </w:rPr>
              <w:t>-</w:t>
            </w:r>
            <w:r w:rsidRPr="00192BEE">
              <w:rPr>
                <w:rFonts w:ascii="Times New Roman" w:hAnsi="Times New Roman"/>
                <w:bCs/>
              </w:rPr>
              <w:tab/>
            </w:r>
            <w:r w:rsidRPr="00192BEE">
              <w:rPr>
                <w:rFonts w:ascii="Times New Roman" w:hAnsi="Times New Roman"/>
              </w:rPr>
              <w:t>Specify UE requirements, including at least switching gap (if needed), and corresponding physical layer procedures to allow switching between {case 1, case 2} [RAN4, RAN1]</w:t>
            </w:r>
          </w:p>
          <w:p w14:paraId="7C7B8F15"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Case 1: Tx/Rx on FDD carrier 1 and no Rx on SDL carrier 2</w:t>
            </w:r>
          </w:p>
          <w:p w14:paraId="2B2D06DA"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Case 2: Rx on SDL carrier 2 and no Tx/Rx on FDD carrier 1</w:t>
            </w:r>
          </w:p>
          <w:p w14:paraId="796C9429"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r>
            <w:r w:rsidRPr="00565F11">
              <w:rPr>
                <w:rFonts w:ascii="Times New Roman" w:hAnsi="Times New Roman"/>
                <w:highlight w:val="yellow"/>
              </w:rPr>
              <w:t xml:space="preserve">RAN1 to specify only </w:t>
            </w:r>
            <w:r w:rsidRPr="00BA6CEB">
              <w:rPr>
                <w:rFonts w:ascii="Times New Roman" w:hAnsi="Times New Roman"/>
                <w:b/>
                <w:bCs/>
                <w:highlight w:val="yellow"/>
              </w:rPr>
              <w:t>a semi-static switching pattern based on RRC configuration</w:t>
            </w:r>
            <w:r w:rsidRPr="00565F11">
              <w:rPr>
                <w:rFonts w:ascii="Times New Roman" w:hAnsi="Times New Roman"/>
              </w:rPr>
              <w:t xml:space="preserve">, </w:t>
            </w:r>
            <w:r w:rsidRPr="0079106C">
              <w:rPr>
                <w:rFonts w:ascii="Times New Roman" w:hAnsi="Times New Roman"/>
              </w:rPr>
              <w:t>liaising with RAN2 and RAN4 as necessary</w:t>
            </w:r>
          </w:p>
          <w:p w14:paraId="557CE739"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Specify the switching delay and time mask for carrier switching [RAN4]</w:t>
            </w:r>
          </w:p>
          <w:p w14:paraId="33BF5923" w14:textId="77777777" w:rsidR="00565F11" w:rsidRPr="00565F11" w:rsidRDefault="00565F11" w:rsidP="00565F11">
            <w:pPr>
              <w:pStyle w:val="B1"/>
              <w:rPr>
                <w:rFonts w:ascii="Times New Roman" w:hAnsi="Times New Roman"/>
              </w:rPr>
            </w:pPr>
            <w:r w:rsidRPr="00565F11">
              <w:rPr>
                <w:rFonts w:ascii="Times New Roman" w:hAnsi="Times New Roman"/>
              </w:rPr>
              <w:t>-</w:t>
            </w:r>
            <w:r w:rsidRPr="00565F11">
              <w:rPr>
                <w:rFonts w:ascii="Times New Roman" w:hAnsi="Times New Roman"/>
              </w:rPr>
              <w:tab/>
              <w:t>Specify necessary RRM requirements [RAN4]</w:t>
            </w:r>
          </w:p>
          <w:p w14:paraId="4ECB6EFA" w14:textId="77777777" w:rsidR="00565F11" w:rsidRPr="00565F11" w:rsidRDefault="00565F11" w:rsidP="00565F11">
            <w:pPr>
              <w:pStyle w:val="B1"/>
              <w:rPr>
                <w:rFonts w:ascii="Times New Roman" w:hAnsi="Times New Roman"/>
              </w:rPr>
            </w:pPr>
            <w:r w:rsidRPr="00565F11">
              <w:rPr>
                <w:rFonts w:ascii="Times New Roman" w:hAnsi="Times New Roman"/>
              </w:rPr>
              <w:t>-</w:t>
            </w:r>
            <w:r w:rsidRPr="00565F11">
              <w:rPr>
                <w:rFonts w:ascii="Times New Roman" w:hAnsi="Times New Roman"/>
              </w:rPr>
              <w:tab/>
            </w:r>
            <w:r w:rsidRPr="0079106C">
              <w:rPr>
                <w:rFonts w:ascii="Times New Roman" w:hAnsi="Times New Roman"/>
              </w:rPr>
              <w:t>Define the corresponding UE capabilities [RAN4, RAN2, RAN1]</w:t>
            </w:r>
          </w:p>
          <w:p w14:paraId="6D6D4FCC" w14:textId="77777777" w:rsidR="00565F11" w:rsidRPr="00565F11" w:rsidRDefault="00565F11" w:rsidP="00565F11">
            <w:pPr>
              <w:pStyle w:val="B1"/>
              <w:rPr>
                <w:rFonts w:ascii="Times New Roman" w:hAnsi="Times New Roman"/>
              </w:rPr>
            </w:pPr>
            <w:r w:rsidRPr="00565F11">
              <w:rPr>
                <w:rFonts w:ascii="Times New Roman" w:hAnsi="Times New Roman"/>
              </w:rPr>
              <w:t>-</w:t>
            </w:r>
            <w:r w:rsidRPr="00565F11">
              <w:rPr>
                <w:rFonts w:ascii="Times New Roman" w:hAnsi="Times New Roman"/>
              </w:rPr>
              <w:tab/>
              <w:t>Consider the following deployment constraints:</w:t>
            </w:r>
          </w:p>
          <w:p w14:paraId="159B434B"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The carrier frequency for all cases is &lt;1 GHz</w:t>
            </w:r>
          </w:p>
          <w:p w14:paraId="0071433B"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Co-located and synchronized network deployment for both carriers</w:t>
            </w:r>
          </w:p>
          <w:p w14:paraId="142CDDA4"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Both carriers are in a single TAG</w:t>
            </w:r>
          </w:p>
          <w:p w14:paraId="183FA0B1"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SCS 15KHz on both carriers</w:t>
            </w:r>
          </w:p>
          <w:p w14:paraId="5C04698C" w14:textId="77777777" w:rsidR="00565F11" w:rsidRPr="00565F11" w:rsidRDefault="00565F11" w:rsidP="00565F11">
            <w:pPr>
              <w:pStyle w:val="B1"/>
              <w:rPr>
                <w:rFonts w:ascii="Times New Roman" w:hAnsi="Times New Roman"/>
              </w:rPr>
            </w:pPr>
            <w:r w:rsidRPr="00AD2673">
              <w:rPr>
                <w:rFonts w:ascii="Times New Roman" w:hAnsi="Times New Roman"/>
              </w:rPr>
              <w:t>Note 1: Specify requirements for the feature with the following example band combination: CA_n5A-n29A in this WI, with</w:t>
            </w:r>
            <w:r w:rsidRPr="00565F11">
              <w:rPr>
                <w:rFonts w:ascii="Times New Roman" w:hAnsi="Times New Roman"/>
              </w:rPr>
              <w:t xml:space="preserve"> additional band combinations to be handled via the basket work item approach</w:t>
            </w:r>
          </w:p>
          <w:p w14:paraId="309A204E" w14:textId="2C8E8584" w:rsidR="00565F11" w:rsidRPr="00565F11" w:rsidRDefault="00565F11" w:rsidP="00565F11">
            <w:pPr>
              <w:pStyle w:val="B1"/>
              <w:rPr>
                <w:rFonts w:ascii="Times New Roman" w:hAnsi="Times New Roman"/>
                <w:lang w:val="en-US"/>
              </w:rPr>
            </w:pPr>
            <w:r w:rsidRPr="00565F11">
              <w:rPr>
                <w:rFonts w:ascii="Times New Roman" w:hAnsi="Times New Roman"/>
                <w:highlight w:val="yellow"/>
              </w:rPr>
              <w:t>Note 2: Strive to minimize the RAN1 impact</w:t>
            </w:r>
          </w:p>
        </w:tc>
      </w:tr>
    </w:tbl>
    <w:p w14:paraId="1BF1C7DA" w14:textId="77777777" w:rsidR="001815F6" w:rsidRDefault="001815F6" w:rsidP="00A81614"/>
    <w:p w14:paraId="293CBF38" w14:textId="5435C7DA" w:rsidR="00F61974" w:rsidRDefault="00B677D1" w:rsidP="00F61974">
      <w:r>
        <w:t xml:space="preserve">In this contribution, we first share our high-level views about this work item. </w:t>
      </w:r>
      <w:r w:rsidR="00CE30BA">
        <w:t xml:space="preserve">In Section </w:t>
      </w:r>
      <w:r w:rsidR="00CE30BA">
        <w:fldChar w:fldCharType="begin"/>
      </w:r>
      <w:r w:rsidR="00CE30BA">
        <w:instrText xml:space="preserve"> REF _Ref197745819 \r \h </w:instrText>
      </w:r>
      <w:r w:rsidR="00CE30BA">
        <w:fldChar w:fldCharType="separate"/>
      </w:r>
      <w:r w:rsidR="00CE30BA">
        <w:t>3</w:t>
      </w:r>
      <w:r w:rsidR="00CE30BA">
        <w:fldChar w:fldCharType="end"/>
      </w:r>
      <w:r w:rsidR="00CE30BA">
        <w:t xml:space="preserve">, we analyze impact of switching gap location for FDD-&gt;SDL switches from different consideration aspects. In Section </w:t>
      </w:r>
      <w:r w:rsidR="00CE30BA">
        <w:fldChar w:fldCharType="begin"/>
      </w:r>
      <w:r w:rsidR="00CE30BA">
        <w:instrText xml:space="preserve"> REF _Ref197745938 \r \h </w:instrText>
      </w:r>
      <w:r w:rsidR="00CE30BA">
        <w:fldChar w:fldCharType="separate"/>
      </w:r>
      <w:r w:rsidR="00CE30BA">
        <w:t>4</w:t>
      </w:r>
      <w:r w:rsidR="00CE30BA">
        <w:fldChar w:fldCharType="end"/>
      </w:r>
      <w:r w:rsidR="00CE30BA">
        <w:t xml:space="preserve">, we continue our discussion on switching pattern configuration constraints. In Section </w:t>
      </w:r>
      <w:r w:rsidR="00CE30BA">
        <w:fldChar w:fldCharType="begin"/>
      </w:r>
      <w:r w:rsidR="00CE30BA">
        <w:instrText xml:space="preserve"> REF _Ref197743297 \r \h </w:instrText>
      </w:r>
      <w:r w:rsidR="00CE30BA">
        <w:fldChar w:fldCharType="separate"/>
      </w:r>
      <w:r w:rsidR="00CE30BA">
        <w:t>5</w:t>
      </w:r>
      <w:r w:rsidR="00CE30BA">
        <w:fldChar w:fldCharType="end"/>
      </w:r>
      <w:r w:rsidR="00CE30BA">
        <w:t xml:space="preserve">, we discuss scheduling/HARQ restrictions that gNB shall consider once a switching pattern is configured to UE. In Section </w:t>
      </w:r>
      <w:r w:rsidR="00CE30BA">
        <w:fldChar w:fldCharType="begin"/>
      </w:r>
      <w:r w:rsidR="00CE30BA">
        <w:instrText xml:space="preserve"> REF _Ref197746132 \r \h </w:instrText>
      </w:r>
      <w:r w:rsidR="00CE30BA">
        <w:fldChar w:fldCharType="separate"/>
      </w:r>
      <w:r w:rsidR="00CE30BA">
        <w:t>6</w:t>
      </w:r>
      <w:r w:rsidR="00CE30BA">
        <w:fldChar w:fldCharType="end"/>
      </w:r>
      <w:r w:rsidR="00CE30BA">
        <w:t xml:space="preserve">, we discuss UE’s switching behavior between the two carriers and the exceptional case. Finally, in Section </w:t>
      </w:r>
      <w:r w:rsidR="00CE30BA">
        <w:fldChar w:fldCharType="begin"/>
      </w:r>
      <w:r w:rsidR="00CE30BA">
        <w:instrText xml:space="preserve"> REF _Ref197746211 \r \h </w:instrText>
      </w:r>
      <w:r w:rsidR="00CE30BA">
        <w:fldChar w:fldCharType="separate"/>
      </w:r>
      <w:r w:rsidR="00CE30BA">
        <w:t>7</w:t>
      </w:r>
      <w:r w:rsidR="00CE30BA">
        <w:fldChar w:fldCharType="end"/>
      </w:r>
      <w:r w:rsidR="00CE30BA">
        <w:t xml:space="preserve">, whether to introduce additional UE processing time for identified cases is addressed.   </w:t>
      </w:r>
    </w:p>
    <w:p w14:paraId="3EC780B4" w14:textId="77777777" w:rsidR="00620628" w:rsidRDefault="00620628" w:rsidP="00F61974"/>
    <w:p w14:paraId="01D6726F" w14:textId="77777777" w:rsidR="002C4428" w:rsidRDefault="002C4428" w:rsidP="002C4428"/>
    <w:p w14:paraId="1AF0BC5B" w14:textId="444F4108" w:rsidR="002C4428" w:rsidRDefault="002C4428" w:rsidP="002C4428">
      <w:pPr>
        <w:pStyle w:val="Heading1"/>
      </w:pPr>
      <w:bookmarkStart w:id="1" w:name="_Ref197743026"/>
      <w:r>
        <w:lastRenderedPageBreak/>
        <w:t>High-level principles</w:t>
      </w:r>
      <w:bookmarkEnd w:id="1"/>
    </w:p>
    <w:p w14:paraId="64F67694" w14:textId="4DC35BC5" w:rsidR="00C077AA" w:rsidRDefault="00C077AA" w:rsidP="00C077AA">
      <w:pPr>
        <w:rPr>
          <w:rFonts w:eastAsiaTheme="minorEastAsia"/>
          <w:lang w:eastAsia="zh-TW"/>
        </w:rPr>
      </w:pPr>
      <w:r>
        <w:t xml:space="preserve">Before we get to detailed technical issues, we would like to share our high-level views on this work item. Since RAN1 has only </w:t>
      </w:r>
      <w:r w:rsidR="009B70AE">
        <w:t xml:space="preserve">one meeting with a half TU remaining to </w:t>
      </w:r>
      <w:r>
        <w:t xml:space="preserve">finish this WI, we would like to keep it simple and practical. Moreover, because NR has provided a lot of configuration flexibility to the network since the very beginning, we believe that many identified issues can be resolved by gNB’s implementation and proper configuration without demanding UE to overdesign for the raised and probably corner issues. The WID clearly states that we should strive to minimize the RAN1 impact. Following WID’s guidance, we hence propose the following. </w:t>
      </w:r>
    </w:p>
    <w:p w14:paraId="70EF614D" w14:textId="4DE5B6A1" w:rsidR="00C077AA" w:rsidRDefault="00C077AA" w:rsidP="009B70AE">
      <w:pPr>
        <w:pStyle w:val="Caption"/>
      </w:pPr>
      <w:bookmarkStart w:id="2" w:name="_Ref194066990"/>
      <w:r>
        <w:t xml:space="preserve">Proposal </w:t>
      </w:r>
      <w:fldSimple w:instr=" SEQ Proposal \* ARABIC ">
        <w:r w:rsidR="003F6D04">
          <w:rPr>
            <w:noProof/>
          </w:rPr>
          <w:t>1</w:t>
        </w:r>
      </w:fldSimple>
      <w:r>
        <w:t>: If an issue can be resolved by gNB’s implementation</w:t>
      </w:r>
      <w:r w:rsidR="009B70AE">
        <w:t xml:space="preserve"> and/or proper configuration</w:t>
      </w:r>
      <w:r>
        <w:t>,</w:t>
      </w:r>
      <w:r w:rsidR="009B70AE">
        <w:t xml:space="preserve"> gNB should just do so.</w:t>
      </w:r>
      <w:r>
        <w:t xml:space="preserve"> </w:t>
      </w:r>
      <w:r w:rsidR="009B70AE">
        <w:t>I</w:t>
      </w:r>
      <w:r>
        <w:t xml:space="preserve">ts impact on RAN1 specifications </w:t>
      </w:r>
      <w:r w:rsidR="009B70AE">
        <w:t xml:space="preserve">and UE </w:t>
      </w:r>
      <w:r>
        <w:t>should be minimized.</w:t>
      </w:r>
      <w:bookmarkEnd w:id="2"/>
      <w:r w:rsidR="009B70AE">
        <w:t xml:space="preserve"> </w:t>
      </w:r>
    </w:p>
    <w:p w14:paraId="2A74C72D" w14:textId="77777777" w:rsidR="00C077AA" w:rsidRDefault="00C077AA" w:rsidP="00C077AA">
      <w:r>
        <w:t xml:space="preserve">To accelerate the deployment progress of this feature, we would like to suggest that the proposals should not assume or even demand UE’s support for any optional features such as cross-carrier scheduling and SSB-less operation. As far as we know, both features have not been deployed in field.  </w:t>
      </w:r>
    </w:p>
    <w:p w14:paraId="5D09DB18" w14:textId="1534DF9A" w:rsidR="00C077AA" w:rsidRDefault="00C077AA" w:rsidP="00C077AA">
      <w:pPr>
        <w:pStyle w:val="Caption"/>
      </w:pPr>
      <w:bookmarkStart w:id="3" w:name="_Ref194067003"/>
      <w:r>
        <w:t xml:space="preserve">Proposal </w:t>
      </w:r>
      <w:fldSimple w:instr=" SEQ Proposal \* ARABIC ">
        <w:r w:rsidR="003F6D04">
          <w:rPr>
            <w:noProof/>
          </w:rPr>
          <w:t>2</w:t>
        </w:r>
      </w:fldSimple>
      <w:r>
        <w:t xml:space="preserve">: Optional UE features shall not be assumed or </w:t>
      </w:r>
      <w:r w:rsidR="00D14251">
        <w:t xml:space="preserve">even </w:t>
      </w:r>
      <w:r>
        <w:t>mandated</w:t>
      </w:r>
      <w:r w:rsidR="00D14251">
        <w:t xml:space="preserve"> to support this feature</w:t>
      </w:r>
      <w:r>
        <w:t>, including cross-carrier scheduling, SSB-less SCell operation, etc.</w:t>
      </w:r>
      <w:bookmarkEnd w:id="3"/>
      <w:r>
        <w:t xml:space="preserve"> </w:t>
      </w:r>
    </w:p>
    <w:p w14:paraId="690E6F42" w14:textId="4D918709" w:rsidR="002C4428" w:rsidRDefault="002C4428" w:rsidP="00F61974"/>
    <w:p w14:paraId="1E7091B4" w14:textId="31110D37" w:rsidR="00620628" w:rsidRDefault="00883B89" w:rsidP="00584C71">
      <w:pPr>
        <w:pStyle w:val="Heading1"/>
      </w:pPr>
      <w:bookmarkStart w:id="4" w:name="_Ref197745819"/>
      <w:r>
        <w:t>S</w:t>
      </w:r>
      <w:r w:rsidR="00620628">
        <w:t xml:space="preserve">witching </w:t>
      </w:r>
      <w:r>
        <w:t>gap location</w:t>
      </w:r>
      <w:bookmarkEnd w:id="4"/>
    </w:p>
    <w:p w14:paraId="6CA0A1FA" w14:textId="30277A10" w:rsidR="00620628" w:rsidRPr="002515DB" w:rsidRDefault="002515DB" w:rsidP="00F61974">
      <w:r>
        <w:t xml:space="preserve">Regarding switching gap location, we made the following agreements at RAN1#120bis meeting. </w:t>
      </w:r>
    </w:p>
    <w:tbl>
      <w:tblPr>
        <w:tblStyle w:val="TableGrid"/>
        <w:tblW w:w="0" w:type="auto"/>
        <w:tblLook w:val="04A0" w:firstRow="1" w:lastRow="0" w:firstColumn="1" w:lastColumn="0" w:noHBand="0" w:noVBand="1"/>
      </w:tblPr>
      <w:tblGrid>
        <w:gridCol w:w="9631"/>
      </w:tblGrid>
      <w:tr w:rsidR="0053064D" w:rsidRPr="00272F07" w14:paraId="5BDD420B" w14:textId="77777777" w:rsidTr="0053064D">
        <w:tc>
          <w:tcPr>
            <w:tcW w:w="9631" w:type="dxa"/>
          </w:tcPr>
          <w:p w14:paraId="3F541290" w14:textId="77777777" w:rsidR="0053064D" w:rsidRPr="00272F07" w:rsidRDefault="0053064D" w:rsidP="0053064D">
            <w:pPr>
              <w:rPr>
                <w:rFonts w:ascii="Times New Roman" w:eastAsia="DengXian" w:hAnsi="Times New Roman"/>
                <w:highlight w:val="green"/>
                <w:lang w:eastAsia="zh-CN"/>
              </w:rPr>
            </w:pPr>
            <w:r w:rsidRPr="00272F07">
              <w:rPr>
                <w:rFonts w:ascii="Times New Roman" w:eastAsia="DengXian" w:hAnsi="Times New Roman"/>
                <w:highlight w:val="green"/>
                <w:lang w:eastAsia="zh-CN"/>
              </w:rPr>
              <w:t>Agreement</w:t>
            </w:r>
          </w:p>
          <w:p w14:paraId="17590019" w14:textId="77777777" w:rsidR="0053064D" w:rsidRPr="00272F07" w:rsidRDefault="0053064D" w:rsidP="0053064D">
            <w:pPr>
              <w:rPr>
                <w:rFonts w:ascii="Times New Roman" w:eastAsia="Batang" w:hAnsi="Times New Roman"/>
                <w:color w:val="000000"/>
                <w:lang w:eastAsia="en-US"/>
              </w:rPr>
            </w:pPr>
            <w:r w:rsidRPr="00272F07">
              <w:rPr>
                <w:rFonts w:ascii="Times New Roman" w:hAnsi="Times New Roman"/>
                <w:color w:val="000000"/>
              </w:rPr>
              <w:t xml:space="preserve">For RRC configuration of semi-static switching pattern in Rel-19 low NR band carrier aggregation via switching, regarding the location of the switching gap, </w:t>
            </w:r>
          </w:p>
          <w:p w14:paraId="4C657421" w14:textId="77777777" w:rsidR="0053064D" w:rsidRPr="00272F07" w:rsidRDefault="0053064D" w:rsidP="00920E7D">
            <w:pPr>
              <w:pStyle w:val="BodyText"/>
              <w:numPr>
                <w:ilvl w:val="0"/>
                <w:numId w:val="24"/>
              </w:numPr>
              <w:overflowPunct/>
              <w:autoSpaceDE/>
              <w:autoSpaceDN/>
              <w:adjustRightInd/>
              <w:contextualSpacing/>
              <w:jc w:val="both"/>
              <w:textAlignment w:val="auto"/>
              <w:rPr>
                <w:rFonts w:ascii="Times New Roman" w:hAnsi="Times New Roman"/>
                <w:color w:val="000000"/>
                <w:sz w:val="20"/>
                <w:lang w:eastAsia="zh-CN"/>
              </w:rPr>
            </w:pPr>
            <w:r w:rsidRPr="00272F07">
              <w:rPr>
                <w:rFonts w:ascii="Times New Roman" w:hAnsi="Times New Roman"/>
                <w:color w:val="000000"/>
                <w:sz w:val="20"/>
                <w:lang w:eastAsia="zh-CN"/>
              </w:rPr>
              <w:t>For switching from SDL carrier to FDD carrier, the switching gap is always assumed at the “switch from” carrier, i.e., SDL carrier.</w:t>
            </w:r>
          </w:p>
          <w:p w14:paraId="6B2506E7" w14:textId="77777777" w:rsidR="0053064D" w:rsidRPr="00272F07" w:rsidRDefault="0053064D" w:rsidP="00920E7D">
            <w:pPr>
              <w:pStyle w:val="BodyText"/>
              <w:numPr>
                <w:ilvl w:val="0"/>
                <w:numId w:val="24"/>
              </w:numPr>
              <w:overflowPunct/>
              <w:autoSpaceDE/>
              <w:autoSpaceDN/>
              <w:adjustRightInd/>
              <w:spacing w:after="0"/>
              <w:contextualSpacing/>
              <w:jc w:val="both"/>
              <w:textAlignment w:val="auto"/>
              <w:rPr>
                <w:rFonts w:ascii="Times New Roman" w:hAnsi="Times New Roman"/>
                <w:color w:val="000000"/>
                <w:sz w:val="20"/>
                <w:lang w:eastAsia="zh-CN"/>
              </w:rPr>
            </w:pPr>
            <w:r w:rsidRPr="00272F07">
              <w:rPr>
                <w:rFonts w:ascii="Times New Roman" w:hAnsi="Times New Roman"/>
                <w:color w:val="000000"/>
                <w:sz w:val="20"/>
              </w:rPr>
              <w:t xml:space="preserve">For switching from FDD carrier to SDL carrier, downselect one of the following solutions </w:t>
            </w:r>
          </w:p>
          <w:p w14:paraId="0686C1DC" w14:textId="77777777" w:rsidR="0053064D" w:rsidRPr="00272F07" w:rsidRDefault="0053064D" w:rsidP="00920E7D">
            <w:pPr>
              <w:pStyle w:val="BodyText"/>
              <w:numPr>
                <w:ilvl w:val="1"/>
                <w:numId w:val="24"/>
              </w:numPr>
              <w:overflowPunct/>
              <w:autoSpaceDE/>
              <w:autoSpaceDN/>
              <w:adjustRightInd/>
              <w:spacing w:after="0"/>
              <w:contextualSpacing/>
              <w:jc w:val="both"/>
              <w:textAlignment w:val="auto"/>
              <w:rPr>
                <w:rFonts w:ascii="Times New Roman" w:hAnsi="Times New Roman"/>
                <w:color w:val="000000"/>
                <w:sz w:val="20"/>
                <w:lang w:eastAsia="zh-CN"/>
              </w:rPr>
            </w:pPr>
            <w:r w:rsidRPr="00272F07">
              <w:rPr>
                <w:rFonts w:ascii="Times New Roman" w:hAnsi="Times New Roman"/>
                <w:color w:val="000000"/>
                <w:sz w:val="20"/>
              </w:rPr>
              <w:t>Alt 1: Switching gap is always assumed at the “switch from” carrier, i.e., FDD carrier</w:t>
            </w:r>
          </w:p>
          <w:p w14:paraId="7AC7C4CC" w14:textId="77777777" w:rsidR="0053064D" w:rsidRPr="00272F07" w:rsidRDefault="0053064D" w:rsidP="00920E7D">
            <w:pPr>
              <w:pStyle w:val="BodyText"/>
              <w:numPr>
                <w:ilvl w:val="1"/>
                <w:numId w:val="24"/>
              </w:numPr>
              <w:overflowPunct/>
              <w:autoSpaceDE/>
              <w:autoSpaceDN/>
              <w:adjustRightInd/>
              <w:spacing w:after="0"/>
              <w:contextualSpacing/>
              <w:jc w:val="both"/>
              <w:textAlignment w:val="auto"/>
              <w:rPr>
                <w:rFonts w:ascii="Times New Roman" w:hAnsi="Times New Roman"/>
                <w:color w:val="000000"/>
                <w:sz w:val="20"/>
                <w:lang w:eastAsia="zh-CN"/>
              </w:rPr>
            </w:pPr>
            <w:r w:rsidRPr="00272F07">
              <w:rPr>
                <w:rFonts w:ascii="Times New Roman" w:hAnsi="Times New Roman"/>
                <w:color w:val="000000"/>
                <w:sz w:val="20"/>
              </w:rPr>
              <w:t>Alt 2: NW configures whether the switching gap is at the FDD carrier or SDL carrier</w:t>
            </w:r>
          </w:p>
          <w:p w14:paraId="3B8441CE" w14:textId="0594FFF6" w:rsidR="0053064D" w:rsidRPr="00272F07" w:rsidRDefault="0053064D" w:rsidP="00920E7D">
            <w:pPr>
              <w:pStyle w:val="BodyText"/>
              <w:numPr>
                <w:ilvl w:val="1"/>
                <w:numId w:val="24"/>
              </w:numPr>
              <w:overflowPunct/>
              <w:autoSpaceDE/>
              <w:autoSpaceDN/>
              <w:adjustRightInd/>
              <w:spacing w:after="0"/>
              <w:contextualSpacing/>
              <w:jc w:val="both"/>
              <w:textAlignment w:val="auto"/>
              <w:rPr>
                <w:rFonts w:ascii="Times New Roman" w:hAnsi="Times New Roman"/>
                <w:color w:val="000000"/>
                <w:sz w:val="20"/>
                <w:lang w:eastAsia="zh-CN"/>
              </w:rPr>
            </w:pPr>
            <w:r w:rsidRPr="00272F07">
              <w:rPr>
                <w:rFonts w:ascii="Times New Roman" w:hAnsi="Times New Roman"/>
                <w:color w:val="000000"/>
                <w:sz w:val="20"/>
              </w:rPr>
              <w:t>Alt 3: Switching gap is always assumed at the SDL carrier</w:t>
            </w:r>
          </w:p>
        </w:tc>
      </w:tr>
    </w:tbl>
    <w:p w14:paraId="65878B32" w14:textId="77777777" w:rsidR="00883B89" w:rsidRDefault="00883B89" w:rsidP="00883B89"/>
    <w:p w14:paraId="0CE71F62" w14:textId="60166CD8" w:rsidR="00920E7D" w:rsidRPr="006C05E9" w:rsidRDefault="00A304B6" w:rsidP="00DE5DE6">
      <w:r>
        <w:t>For switching from FDD carrier to SDL carrier, there are three options to be decided at this meeting.</w:t>
      </w:r>
      <w:r w:rsidR="006C05E9">
        <w:t xml:space="preserve"> At RAN1#120bis meeting,</w:t>
      </w:r>
      <w:r>
        <w:t xml:space="preserve"> </w:t>
      </w:r>
      <w:r w:rsidR="006C05E9" w:rsidRPr="006C05E9">
        <w:t>c</w:t>
      </w:r>
      <w:r w:rsidRPr="006C05E9">
        <w:t xml:space="preserve">onsideration points for different alternatives include at least the following: </w:t>
      </w:r>
    </w:p>
    <w:p w14:paraId="580C34A9" w14:textId="1C5731A0" w:rsidR="00A304B6" w:rsidRPr="006C05E9" w:rsidRDefault="00A304B6" w:rsidP="00A304B6">
      <w:pPr>
        <w:pStyle w:val="ListParagraph"/>
        <w:numPr>
          <w:ilvl w:val="0"/>
          <w:numId w:val="30"/>
        </w:numPr>
        <w:ind w:firstLineChars="0"/>
        <w:rPr>
          <w:sz w:val="20"/>
          <w:szCs w:val="20"/>
        </w:rPr>
      </w:pPr>
      <w:r w:rsidRPr="006C05E9">
        <w:rPr>
          <w:sz w:val="20"/>
          <w:szCs w:val="20"/>
        </w:rPr>
        <w:t>PDCCH</w:t>
      </w:r>
      <w:r w:rsidR="006C05E9">
        <w:rPr>
          <w:sz w:val="20"/>
          <w:szCs w:val="20"/>
        </w:rPr>
        <w:t xml:space="preserve"> impact </w:t>
      </w:r>
    </w:p>
    <w:p w14:paraId="41D16490" w14:textId="3B6E2042" w:rsidR="00A304B6" w:rsidRPr="006C05E9" w:rsidRDefault="006C05E9" w:rsidP="00A304B6">
      <w:pPr>
        <w:pStyle w:val="ListParagraph"/>
        <w:numPr>
          <w:ilvl w:val="0"/>
          <w:numId w:val="30"/>
        </w:numPr>
        <w:ind w:firstLineChars="0"/>
        <w:rPr>
          <w:sz w:val="20"/>
          <w:szCs w:val="20"/>
        </w:rPr>
      </w:pPr>
      <w:r>
        <w:rPr>
          <w:sz w:val="20"/>
          <w:szCs w:val="20"/>
        </w:rPr>
        <w:t xml:space="preserve">Impact of </w:t>
      </w:r>
      <w:r w:rsidR="00A304B6" w:rsidRPr="006C05E9">
        <w:rPr>
          <w:sz w:val="20"/>
          <w:szCs w:val="20"/>
        </w:rPr>
        <w:t xml:space="preserve">PUCCH format 1 and format 4 on FDD carrier, especially to legacy UEs </w:t>
      </w:r>
    </w:p>
    <w:p w14:paraId="618F6689" w14:textId="382246AA" w:rsidR="006C05E9" w:rsidRDefault="00A304B6" w:rsidP="001B4373">
      <w:pPr>
        <w:pStyle w:val="ListParagraph"/>
        <w:numPr>
          <w:ilvl w:val="0"/>
          <w:numId w:val="30"/>
        </w:numPr>
        <w:ind w:firstLineChars="0"/>
        <w:rPr>
          <w:sz w:val="20"/>
          <w:szCs w:val="20"/>
        </w:rPr>
      </w:pPr>
      <w:r w:rsidRPr="006C05E9">
        <w:rPr>
          <w:sz w:val="20"/>
          <w:szCs w:val="20"/>
        </w:rPr>
        <w:t>SRS validity for PUSCH scheduling</w:t>
      </w:r>
    </w:p>
    <w:p w14:paraId="3F6E3F16" w14:textId="1B493271" w:rsidR="00EA4E30" w:rsidRPr="00EA4E30" w:rsidRDefault="00EA4E30" w:rsidP="00EA4E30">
      <w:pPr>
        <w:pStyle w:val="ListParagraph"/>
        <w:numPr>
          <w:ilvl w:val="0"/>
          <w:numId w:val="30"/>
        </w:numPr>
        <w:ind w:firstLineChars="0"/>
        <w:rPr>
          <w:sz w:val="20"/>
          <w:szCs w:val="20"/>
        </w:rPr>
      </w:pPr>
      <w:r>
        <w:rPr>
          <w:sz w:val="20"/>
          <w:szCs w:val="20"/>
        </w:rPr>
        <w:t>14-symbol PUSCH</w:t>
      </w:r>
    </w:p>
    <w:p w14:paraId="74129153" w14:textId="51BD27AD" w:rsidR="001B4373" w:rsidRPr="001B4373" w:rsidRDefault="001B4373" w:rsidP="001B4373">
      <w:pPr>
        <w:pStyle w:val="ListParagraph"/>
        <w:numPr>
          <w:ilvl w:val="0"/>
          <w:numId w:val="30"/>
        </w:numPr>
        <w:ind w:firstLineChars="0"/>
        <w:rPr>
          <w:sz w:val="20"/>
          <w:szCs w:val="20"/>
        </w:rPr>
      </w:pPr>
      <w:r>
        <w:rPr>
          <w:sz w:val="20"/>
          <w:szCs w:val="20"/>
        </w:rPr>
        <w:t>CSI-RS</w:t>
      </w:r>
    </w:p>
    <w:p w14:paraId="31BD8B41" w14:textId="77777777" w:rsidR="006C05E9" w:rsidRDefault="006C05E9" w:rsidP="00A304B6"/>
    <w:p w14:paraId="73239774" w14:textId="6BC1853B" w:rsidR="00A304B6" w:rsidRPr="006C05E9" w:rsidRDefault="006C05E9" w:rsidP="00A304B6">
      <w:r w:rsidRPr="006C05E9">
        <w:t xml:space="preserve">Besides the above consideration points, we will also discuss the following aspects: </w:t>
      </w:r>
    </w:p>
    <w:p w14:paraId="618050A8" w14:textId="4D717BBF" w:rsidR="006C05E9" w:rsidRPr="006C05E9" w:rsidRDefault="006C05E9" w:rsidP="006C05E9">
      <w:pPr>
        <w:pStyle w:val="ListParagraph"/>
        <w:numPr>
          <w:ilvl w:val="0"/>
          <w:numId w:val="32"/>
        </w:numPr>
        <w:ind w:firstLineChars="0"/>
        <w:rPr>
          <w:sz w:val="20"/>
          <w:szCs w:val="20"/>
        </w:rPr>
      </w:pPr>
      <w:r w:rsidRPr="006C05E9">
        <w:rPr>
          <w:sz w:val="20"/>
          <w:szCs w:val="20"/>
        </w:rPr>
        <w:t xml:space="preserve">IODT </w:t>
      </w:r>
      <w:r w:rsidR="00A40F76">
        <w:rPr>
          <w:sz w:val="20"/>
          <w:szCs w:val="20"/>
        </w:rPr>
        <w:t xml:space="preserve">feasibility and deployment progress </w:t>
      </w:r>
      <w:r w:rsidRPr="006C05E9">
        <w:rPr>
          <w:sz w:val="20"/>
          <w:szCs w:val="20"/>
        </w:rPr>
        <w:t xml:space="preserve">  </w:t>
      </w:r>
    </w:p>
    <w:p w14:paraId="669720EE" w14:textId="77777777" w:rsidR="00A304B6" w:rsidRDefault="00A304B6" w:rsidP="00A304B6"/>
    <w:p w14:paraId="3D809118" w14:textId="2C5090D8" w:rsidR="00A304B6" w:rsidRPr="006C05E9" w:rsidRDefault="006C05E9" w:rsidP="00DE5DE6">
      <w:pPr>
        <w:rPr>
          <w:b/>
          <w:bCs/>
          <w:u w:val="single"/>
        </w:rPr>
      </w:pPr>
      <w:r w:rsidRPr="006C05E9">
        <w:rPr>
          <w:b/>
          <w:bCs/>
          <w:u w:val="single"/>
        </w:rPr>
        <w:t xml:space="preserve">On PDCCH impact </w:t>
      </w:r>
    </w:p>
    <w:p w14:paraId="13E46253" w14:textId="25EDE947" w:rsidR="006C05E9" w:rsidRDefault="006C05E9" w:rsidP="00DE5DE6">
      <w:r>
        <w:t>I</w:t>
      </w:r>
      <w:r w:rsidR="001358C5">
        <w:t>f the switching gap is located at the switch-</w:t>
      </w:r>
      <w:r>
        <w:t>to</w:t>
      </w:r>
      <w:r w:rsidR="001358C5">
        <w:t xml:space="preserve"> carrier, </w:t>
      </w:r>
      <w:r>
        <w:t xml:space="preserve">the PDCCH region </w:t>
      </w:r>
      <w:r w:rsidR="001358C5">
        <w:t>in the switch-to carrier</w:t>
      </w:r>
      <w:r>
        <w:t xml:space="preserve"> is impacted</w:t>
      </w:r>
      <w:r w:rsidR="001358C5">
        <w:t xml:space="preserve">. </w:t>
      </w:r>
      <w:r>
        <w:t xml:space="preserve">According to 38.331, the maximum duration of any CORESET is 3 symbols. </w:t>
      </w:r>
      <w:r w:rsidR="00A47FAE">
        <w:t xml:space="preserve">Furthermore, according to TR38.822, basic UE capability supports PDCCH monitoring only in the first 3 OFDM symbols. </w:t>
      </w:r>
      <w:r>
        <w:t xml:space="preserve">With 140us switching periods and 10us transient period (See TS38.101-1), at least two, if not three, OFDM symbols cannot be used for PDCCH anymore. </w:t>
      </w:r>
      <w:r w:rsidR="001E6789">
        <w:t xml:space="preserve">The loss of PDCCH symbols cannot be recovered regardless of gNB’s configuration or implementation. </w:t>
      </w:r>
    </w:p>
    <w:p w14:paraId="1882A414" w14:textId="1B50A54C" w:rsidR="00FA3959" w:rsidRDefault="00FA3959" w:rsidP="00FA3959">
      <w:pPr>
        <w:pStyle w:val="Caption"/>
      </w:pPr>
      <w:bookmarkStart w:id="5" w:name="_Ref197744519"/>
      <w:r>
        <w:t xml:space="preserve">Observation </w:t>
      </w:r>
      <w:fldSimple w:instr=" SEQ Observation \* ARABIC ">
        <w:r w:rsidR="003F6D04">
          <w:rPr>
            <w:noProof/>
          </w:rPr>
          <w:t>1</w:t>
        </w:r>
      </w:fldSimple>
      <w:r>
        <w:t>: In NR, CORESET duration can be configured only up to 3 OFDM symbols.</w:t>
      </w:r>
      <w:r w:rsidR="00A47FAE">
        <w:t xml:space="preserve"> And baseline UE capability supports PDCCH monitoring only in the first 3 OFDM symbols.</w:t>
      </w:r>
      <w:bookmarkEnd w:id="5"/>
      <w:r w:rsidR="00A47FAE">
        <w:t xml:space="preserve"> </w:t>
      </w:r>
      <w:r>
        <w:t xml:space="preserve"> </w:t>
      </w:r>
    </w:p>
    <w:p w14:paraId="2729CB4E" w14:textId="4E51DCC5" w:rsidR="001E6789" w:rsidRDefault="001B4373" w:rsidP="001B4373">
      <w:pPr>
        <w:pStyle w:val="Caption"/>
      </w:pPr>
      <w:bookmarkStart w:id="6" w:name="_Ref197744525"/>
      <w:r>
        <w:lastRenderedPageBreak/>
        <w:t xml:space="preserve">Observation </w:t>
      </w:r>
      <w:fldSimple w:instr=" SEQ Observation \* ARABIC ">
        <w:r w:rsidR="003F6D04">
          <w:rPr>
            <w:noProof/>
          </w:rPr>
          <w:t>2</w:t>
        </w:r>
      </w:fldSimple>
      <w:r>
        <w:t>: With 140us switching period and 10us transient period defined in RAN4, at least 2 PDCCH symbols will be jeopardized if switching gap is located at the switch-to carrier.</w:t>
      </w:r>
      <w:bookmarkEnd w:id="6"/>
      <w:r>
        <w:t xml:space="preserve"> </w:t>
      </w:r>
    </w:p>
    <w:p w14:paraId="26510252" w14:textId="308FAF54" w:rsidR="001B4373" w:rsidRDefault="001E6789" w:rsidP="001E6789">
      <w:pPr>
        <w:pStyle w:val="Caption"/>
      </w:pPr>
      <w:bookmarkStart w:id="7" w:name="_Ref197744531"/>
      <w:r>
        <w:t xml:space="preserve">Observation </w:t>
      </w:r>
      <w:fldSimple w:instr=" SEQ Observation \* ARABIC ">
        <w:r w:rsidR="003F6D04">
          <w:rPr>
            <w:noProof/>
          </w:rPr>
          <w:t>3</w:t>
        </w:r>
      </w:fldSimple>
      <w:r>
        <w:t>: If switching gap is located at the “switch-to” carrier, the loss of PDCCH symbols cannot be recovered no matter how hard gNB tries by adjusting its configuration and/or changing its implementation.</w:t>
      </w:r>
      <w:bookmarkEnd w:id="7"/>
      <w:r>
        <w:t xml:space="preserve">  </w:t>
      </w:r>
    </w:p>
    <w:p w14:paraId="5FEA77F0" w14:textId="77777777" w:rsidR="001B4373" w:rsidRPr="001B4373" w:rsidRDefault="001B4373" w:rsidP="001B4373"/>
    <w:p w14:paraId="563DA709" w14:textId="3968C486" w:rsidR="006C05E9" w:rsidRPr="006C05E9" w:rsidRDefault="006C05E9" w:rsidP="00DE5DE6">
      <w:pPr>
        <w:rPr>
          <w:b/>
          <w:bCs/>
          <w:u w:val="single"/>
        </w:rPr>
      </w:pPr>
      <w:r w:rsidRPr="006C05E9">
        <w:rPr>
          <w:b/>
          <w:bCs/>
          <w:u w:val="single"/>
        </w:rPr>
        <w:t>On PUCCH impact</w:t>
      </w:r>
      <w:r w:rsidR="001B4373">
        <w:rPr>
          <w:b/>
          <w:bCs/>
          <w:u w:val="single"/>
        </w:rPr>
        <w:t xml:space="preserve"> to legacy UE</w:t>
      </w:r>
      <w:r w:rsidRPr="006C05E9">
        <w:rPr>
          <w:b/>
          <w:bCs/>
          <w:u w:val="single"/>
        </w:rPr>
        <w:t xml:space="preserve"> </w:t>
      </w:r>
    </w:p>
    <w:p w14:paraId="0B1C46B0" w14:textId="3DA6D0F3" w:rsidR="001B4373" w:rsidRDefault="001B4373" w:rsidP="00DE5DE6">
      <w:r>
        <w:t>For switching from FDD to SDL, proponents for Alt2 and Alt3 argued that if switching gap is located at the FDD carrier, it will impact on PUCCH formats 1 and 4 which support UE multiplexing by applying OCC codes. For example, some statement was claimed as follows</w:t>
      </w:r>
      <w:r w:rsidR="00F63C63">
        <w:t xml:space="preserve"> </w:t>
      </w:r>
      <w:r w:rsidR="00F63C63">
        <w:fldChar w:fldCharType="begin"/>
      </w:r>
      <w:r w:rsidR="00F63C63">
        <w:instrText xml:space="preserve"> REF _Ref197744417 \n \h </w:instrText>
      </w:r>
      <w:r w:rsidR="00F63C63">
        <w:fldChar w:fldCharType="separate"/>
      </w:r>
      <w:r w:rsidR="003F6D04">
        <w:t>[4]</w:t>
      </w:r>
      <w:r w:rsidR="00F63C63">
        <w:fldChar w:fldCharType="end"/>
      </w:r>
      <w:r>
        <w:t xml:space="preserve">: </w:t>
      </w:r>
    </w:p>
    <w:p w14:paraId="3F248415" w14:textId="72327711" w:rsidR="00856868" w:rsidRPr="00DB5FA6" w:rsidRDefault="001B4373" w:rsidP="00856868">
      <w:pPr>
        <w:pStyle w:val="ListParagraph"/>
        <w:numPr>
          <w:ilvl w:val="0"/>
          <w:numId w:val="33"/>
        </w:numPr>
        <w:ind w:firstLineChars="0"/>
        <w:rPr>
          <w:i/>
          <w:iCs/>
          <w:sz w:val="20"/>
          <w:szCs w:val="20"/>
        </w:rPr>
      </w:pPr>
      <w:r w:rsidRPr="00F57F5D">
        <w:rPr>
          <w:i/>
          <w:iCs/>
          <w:sz w:val="20"/>
          <w:szCs w:val="20"/>
        </w:rPr>
        <w:t xml:space="preserve">UCI on PUCCH format 1 and format 4 resource </w:t>
      </w:r>
      <w:r w:rsidRPr="00F57F5D">
        <w:rPr>
          <w:b/>
          <w:bCs/>
          <w:i/>
          <w:iCs/>
          <w:sz w:val="20"/>
          <w:szCs w:val="20"/>
        </w:rPr>
        <w:t>CAN</w:t>
      </w:r>
      <w:r w:rsidRPr="00F57F5D">
        <w:rPr>
          <w:i/>
          <w:iCs/>
          <w:sz w:val="20"/>
          <w:szCs w:val="20"/>
        </w:rPr>
        <w:t xml:space="preserve"> span 14 symbols in a slot and </w:t>
      </w:r>
      <w:r w:rsidRPr="00F57F5D">
        <w:rPr>
          <w:b/>
          <w:bCs/>
          <w:i/>
          <w:iCs/>
          <w:sz w:val="20"/>
          <w:szCs w:val="20"/>
        </w:rPr>
        <w:t>CAN</w:t>
      </w:r>
      <w:r w:rsidRPr="00F57F5D">
        <w:rPr>
          <w:i/>
          <w:iCs/>
          <w:sz w:val="20"/>
          <w:szCs w:val="20"/>
        </w:rPr>
        <w:t xml:space="preserve"> be shared with legacy UEs.</w:t>
      </w:r>
    </w:p>
    <w:p w14:paraId="6A355268" w14:textId="6968B62C" w:rsidR="00856868" w:rsidRDefault="00E652EC" w:rsidP="00E652EC">
      <w:pPr>
        <w:pStyle w:val="Caption"/>
        <w:jc w:val="center"/>
      </w:pPr>
      <w:bookmarkStart w:id="8" w:name="_Ref197701414"/>
      <w:r>
        <w:t xml:space="preserve">Table </w:t>
      </w:r>
      <w:fldSimple w:instr=" SEQ Table \* ARABIC ">
        <w:r w:rsidR="003F6D04">
          <w:rPr>
            <w:noProof/>
          </w:rPr>
          <w:t>1</w:t>
        </w:r>
      </w:fldSimple>
      <w:bookmarkEnd w:id="8"/>
      <w:r>
        <w:t>: Overview of NR PUCCH formats</w:t>
      </w:r>
    </w:p>
    <w:tbl>
      <w:tblPr>
        <w:tblStyle w:val="TableGrid"/>
        <w:tblW w:w="0" w:type="auto"/>
        <w:tblLook w:val="04A0" w:firstRow="1" w:lastRow="0" w:firstColumn="1" w:lastColumn="0" w:noHBand="0" w:noVBand="1"/>
      </w:tblPr>
      <w:tblGrid>
        <w:gridCol w:w="1386"/>
        <w:gridCol w:w="1391"/>
        <w:gridCol w:w="1391"/>
        <w:gridCol w:w="1366"/>
        <w:gridCol w:w="1437"/>
        <w:gridCol w:w="1499"/>
        <w:gridCol w:w="1161"/>
      </w:tblGrid>
      <w:tr w:rsidR="007A3618" w:rsidRPr="005A4232" w14:paraId="40004A40" w14:textId="7F0360A1" w:rsidTr="007A3618">
        <w:tc>
          <w:tcPr>
            <w:tcW w:w="1386" w:type="dxa"/>
          </w:tcPr>
          <w:p w14:paraId="1DD832F9" w14:textId="2C62C757" w:rsidR="007A3618" w:rsidRPr="005A4232" w:rsidRDefault="007A3618" w:rsidP="00856868">
            <w:pPr>
              <w:rPr>
                <w:rFonts w:ascii="Times New Roman" w:hAnsi="Times New Roman"/>
                <w:b/>
                <w:bCs/>
              </w:rPr>
            </w:pPr>
            <w:r w:rsidRPr="005A4232">
              <w:rPr>
                <w:rFonts w:ascii="Times New Roman" w:hAnsi="Times New Roman"/>
                <w:b/>
                <w:bCs/>
              </w:rPr>
              <w:t>NR PUCCH format</w:t>
            </w:r>
          </w:p>
        </w:tc>
        <w:tc>
          <w:tcPr>
            <w:tcW w:w="1391" w:type="dxa"/>
          </w:tcPr>
          <w:p w14:paraId="0A28405E" w14:textId="31CD499E" w:rsidR="007A3618" w:rsidRPr="005A4232" w:rsidRDefault="007A3618" w:rsidP="00856868">
            <w:pPr>
              <w:rPr>
                <w:rFonts w:ascii="Times New Roman" w:hAnsi="Times New Roman"/>
                <w:b/>
                <w:bCs/>
              </w:rPr>
            </w:pPr>
            <w:r w:rsidRPr="005A4232">
              <w:rPr>
                <w:rFonts w:ascii="Times New Roman" w:hAnsi="Times New Roman"/>
                <w:b/>
                <w:bCs/>
              </w:rPr>
              <w:t>UCI purpose</w:t>
            </w:r>
          </w:p>
        </w:tc>
        <w:tc>
          <w:tcPr>
            <w:tcW w:w="1391" w:type="dxa"/>
          </w:tcPr>
          <w:p w14:paraId="453A1BAF" w14:textId="6D9E5B12" w:rsidR="007A3618" w:rsidRPr="005A4232" w:rsidRDefault="007A3618" w:rsidP="00856868">
            <w:pPr>
              <w:rPr>
                <w:rFonts w:ascii="Times New Roman" w:hAnsi="Times New Roman"/>
                <w:b/>
                <w:bCs/>
              </w:rPr>
            </w:pPr>
            <w:r w:rsidRPr="005A4232">
              <w:rPr>
                <w:rFonts w:ascii="Times New Roman" w:hAnsi="Times New Roman"/>
                <w:b/>
                <w:bCs/>
              </w:rPr>
              <w:t>UCI Payload size</w:t>
            </w:r>
          </w:p>
        </w:tc>
        <w:tc>
          <w:tcPr>
            <w:tcW w:w="1366" w:type="dxa"/>
          </w:tcPr>
          <w:p w14:paraId="6144D1A1" w14:textId="503E5408" w:rsidR="007A3618" w:rsidRPr="005A4232" w:rsidRDefault="007A3618" w:rsidP="00856868">
            <w:pPr>
              <w:rPr>
                <w:rFonts w:ascii="Times New Roman" w:hAnsi="Times New Roman"/>
                <w:b/>
                <w:bCs/>
              </w:rPr>
            </w:pPr>
            <w:r w:rsidRPr="005A4232">
              <w:rPr>
                <w:rFonts w:ascii="Times New Roman" w:hAnsi="Times New Roman"/>
                <w:b/>
                <w:bCs/>
              </w:rPr>
              <w:t># of PRB(s)</w:t>
            </w:r>
          </w:p>
        </w:tc>
        <w:tc>
          <w:tcPr>
            <w:tcW w:w="1437" w:type="dxa"/>
          </w:tcPr>
          <w:p w14:paraId="282AEB27" w14:textId="7F83E7F9" w:rsidR="007A3618" w:rsidRPr="005A4232" w:rsidRDefault="007A3618" w:rsidP="00856868">
            <w:pPr>
              <w:rPr>
                <w:rFonts w:ascii="Times New Roman" w:hAnsi="Times New Roman"/>
                <w:b/>
                <w:bCs/>
              </w:rPr>
            </w:pPr>
            <w:r w:rsidRPr="005A4232">
              <w:rPr>
                <w:rFonts w:ascii="Times New Roman" w:hAnsi="Times New Roman"/>
                <w:b/>
                <w:bCs/>
              </w:rPr>
              <w:t># of OFDM symbol(s)</w:t>
            </w:r>
          </w:p>
        </w:tc>
        <w:tc>
          <w:tcPr>
            <w:tcW w:w="1499" w:type="dxa"/>
          </w:tcPr>
          <w:p w14:paraId="118BEC98" w14:textId="422A1D3F" w:rsidR="007A3618" w:rsidRPr="005A4232" w:rsidRDefault="007A3618" w:rsidP="00856868">
            <w:pPr>
              <w:rPr>
                <w:rFonts w:ascii="Times New Roman" w:hAnsi="Times New Roman"/>
                <w:b/>
                <w:bCs/>
              </w:rPr>
            </w:pPr>
            <w:r w:rsidRPr="005A4232">
              <w:rPr>
                <w:rFonts w:ascii="Times New Roman" w:hAnsi="Times New Roman"/>
                <w:b/>
                <w:bCs/>
              </w:rPr>
              <w:t>Code multiplexing</w:t>
            </w:r>
          </w:p>
        </w:tc>
        <w:tc>
          <w:tcPr>
            <w:tcW w:w="1161" w:type="dxa"/>
          </w:tcPr>
          <w:p w14:paraId="3F9EEA4A" w14:textId="1365B95D" w:rsidR="007A3618" w:rsidRPr="005A4232" w:rsidRDefault="00BF05D4" w:rsidP="00856868">
            <w:pPr>
              <w:rPr>
                <w:rFonts w:ascii="Times New Roman" w:hAnsi="Times New Roman"/>
                <w:b/>
                <w:bCs/>
              </w:rPr>
            </w:pPr>
            <w:r w:rsidRPr="005A4232">
              <w:rPr>
                <w:rFonts w:ascii="Times New Roman" w:hAnsi="Times New Roman"/>
                <w:b/>
                <w:bCs/>
              </w:rPr>
              <w:t>Waveform</w:t>
            </w:r>
          </w:p>
        </w:tc>
      </w:tr>
      <w:tr w:rsidR="007A3618" w:rsidRPr="005A4232" w14:paraId="101D3538" w14:textId="4E8EDEA4" w:rsidTr="007A3618">
        <w:tc>
          <w:tcPr>
            <w:tcW w:w="1386" w:type="dxa"/>
          </w:tcPr>
          <w:p w14:paraId="662D5A94" w14:textId="648613C5" w:rsidR="007A3618" w:rsidRPr="005A4232" w:rsidRDefault="007A3618" w:rsidP="00194A53">
            <w:pPr>
              <w:jc w:val="center"/>
              <w:rPr>
                <w:rFonts w:ascii="Times New Roman" w:hAnsi="Times New Roman"/>
                <w:b/>
                <w:bCs/>
              </w:rPr>
            </w:pPr>
            <w:r w:rsidRPr="005A4232">
              <w:rPr>
                <w:rFonts w:ascii="Times New Roman" w:hAnsi="Times New Roman"/>
                <w:b/>
                <w:bCs/>
              </w:rPr>
              <w:t>0</w:t>
            </w:r>
          </w:p>
        </w:tc>
        <w:tc>
          <w:tcPr>
            <w:tcW w:w="1391" w:type="dxa"/>
          </w:tcPr>
          <w:p w14:paraId="74F8DE18" w14:textId="46F53DD7" w:rsidR="007A3618" w:rsidRPr="005A4232" w:rsidRDefault="007A3618" w:rsidP="00856868">
            <w:pPr>
              <w:rPr>
                <w:rFonts w:ascii="Times New Roman" w:hAnsi="Times New Roman"/>
              </w:rPr>
            </w:pPr>
            <w:r w:rsidRPr="005A4232">
              <w:rPr>
                <w:rFonts w:ascii="Times New Roman" w:hAnsi="Times New Roman"/>
              </w:rPr>
              <w:t>SR, HARQ-ACK</w:t>
            </w:r>
          </w:p>
        </w:tc>
        <w:tc>
          <w:tcPr>
            <w:tcW w:w="1391" w:type="dxa"/>
          </w:tcPr>
          <w:p w14:paraId="0A6D2201" w14:textId="24B6CE05" w:rsidR="007A3618" w:rsidRPr="005A4232" w:rsidRDefault="007A3618" w:rsidP="00856868">
            <w:pPr>
              <w:rPr>
                <w:rFonts w:ascii="Times New Roman" w:hAnsi="Times New Roman"/>
              </w:rPr>
            </w:pPr>
            <w:r w:rsidRPr="005A4232">
              <w:rPr>
                <w:rFonts w:ascii="Times New Roman" w:hAnsi="Times New Roman"/>
              </w:rPr>
              <w:t>1 or 2 bits</w:t>
            </w:r>
          </w:p>
        </w:tc>
        <w:tc>
          <w:tcPr>
            <w:tcW w:w="1366" w:type="dxa"/>
          </w:tcPr>
          <w:p w14:paraId="17BE2767" w14:textId="7666D664" w:rsidR="007A3618" w:rsidRPr="005A4232" w:rsidRDefault="007A3618" w:rsidP="00856868">
            <w:pPr>
              <w:rPr>
                <w:rFonts w:ascii="Times New Roman" w:hAnsi="Times New Roman"/>
              </w:rPr>
            </w:pPr>
            <w:r w:rsidRPr="005A4232">
              <w:rPr>
                <w:rFonts w:ascii="Times New Roman" w:hAnsi="Times New Roman"/>
              </w:rPr>
              <w:t>1</w:t>
            </w:r>
          </w:p>
        </w:tc>
        <w:tc>
          <w:tcPr>
            <w:tcW w:w="1437" w:type="dxa"/>
          </w:tcPr>
          <w:p w14:paraId="74FA663E" w14:textId="3297BE35" w:rsidR="007A3618" w:rsidRPr="005A4232" w:rsidRDefault="007A3618" w:rsidP="00856868">
            <w:pPr>
              <w:rPr>
                <w:rFonts w:ascii="Times New Roman" w:hAnsi="Times New Roman"/>
              </w:rPr>
            </w:pPr>
            <w:r w:rsidRPr="005A4232">
              <w:rPr>
                <w:rFonts w:ascii="Times New Roman" w:hAnsi="Times New Roman"/>
              </w:rPr>
              <w:t>1</w:t>
            </w:r>
            <w:r w:rsidR="00194A53" w:rsidRPr="005A4232">
              <w:rPr>
                <w:rFonts w:ascii="Times New Roman" w:hAnsi="Times New Roman"/>
              </w:rPr>
              <w:t xml:space="preserve"> or </w:t>
            </w:r>
            <w:r w:rsidRPr="005A4232">
              <w:rPr>
                <w:rFonts w:ascii="Times New Roman" w:hAnsi="Times New Roman"/>
              </w:rPr>
              <w:t>2 (short)</w:t>
            </w:r>
          </w:p>
        </w:tc>
        <w:tc>
          <w:tcPr>
            <w:tcW w:w="1499" w:type="dxa"/>
          </w:tcPr>
          <w:p w14:paraId="453151D5" w14:textId="75960495" w:rsidR="007A3618" w:rsidRPr="005A4232" w:rsidRDefault="006E26C4" w:rsidP="00856868">
            <w:pPr>
              <w:rPr>
                <w:rFonts w:ascii="Times New Roman" w:hAnsi="Times New Roman"/>
              </w:rPr>
            </w:pPr>
            <w:r w:rsidRPr="005A4232">
              <w:rPr>
                <w:rFonts w:ascii="Times New Roman" w:hAnsi="Times New Roman"/>
              </w:rPr>
              <w:t>12 cyclic shifts</w:t>
            </w:r>
          </w:p>
        </w:tc>
        <w:tc>
          <w:tcPr>
            <w:tcW w:w="1161" w:type="dxa"/>
          </w:tcPr>
          <w:p w14:paraId="5A001789" w14:textId="2E004F22" w:rsidR="007A3618" w:rsidRPr="005A4232" w:rsidRDefault="00657DFE" w:rsidP="00856868">
            <w:pPr>
              <w:rPr>
                <w:rFonts w:ascii="Times New Roman" w:hAnsi="Times New Roman"/>
              </w:rPr>
            </w:pPr>
            <w:r w:rsidRPr="005A4232">
              <w:rPr>
                <w:rFonts w:ascii="Times New Roman" w:hAnsi="Times New Roman"/>
              </w:rPr>
              <w:t>CP-OFDM</w:t>
            </w:r>
          </w:p>
        </w:tc>
      </w:tr>
      <w:tr w:rsidR="007A3618" w:rsidRPr="005A4232" w14:paraId="6B8E02D0" w14:textId="5093DA6E" w:rsidTr="007A3618">
        <w:tc>
          <w:tcPr>
            <w:tcW w:w="1386" w:type="dxa"/>
          </w:tcPr>
          <w:p w14:paraId="4B8F5AD8" w14:textId="06B14B21" w:rsidR="007A3618" w:rsidRPr="005A4232" w:rsidRDefault="007A3618" w:rsidP="00194A53">
            <w:pPr>
              <w:jc w:val="center"/>
              <w:rPr>
                <w:rFonts w:ascii="Times New Roman" w:hAnsi="Times New Roman"/>
                <w:b/>
                <w:bCs/>
              </w:rPr>
            </w:pPr>
            <w:r w:rsidRPr="005A4232">
              <w:rPr>
                <w:rFonts w:ascii="Times New Roman" w:hAnsi="Times New Roman"/>
                <w:b/>
                <w:bCs/>
              </w:rPr>
              <w:t>1</w:t>
            </w:r>
          </w:p>
        </w:tc>
        <w:tc>
          <w:tcPr>
            <w:tcW w:w="1391" w:type="dxa"/>
          </w:tcPr>
          <w:p w14:paraId="559CDE78" w14:textId="2EDA5B93" w:rsidR="007A3618" w:rsidRPr="005A4232" w:rsidRDefault="007A3618" w:rsidP="00856868">
            <w:pPr>
              <w:rPr>
                <w:rFonts w:ascii="Times New Roman" w:hAnsi="Times New Roman"/>
              </w:rPr>
            </w:pPr>
            <w:r w:rsidRPr="005A4232">
              <w:rPr>
                <w:rFonts w:ascii="Times New Roman" w:hAnsi="Times New Roman"/>
              </w:rPr>
              <w:t>SR, HARQ-ACK</w:t>
            </w:r>
          </w:p>
        </w:tc>
        <w:tc>
          <w:tcPr>
            <w:tcW w:w="1391" w:type="dxa"/>
          </w:tcPr>
          <w:p w14:paraId="7E0F7ECD" w14:textId="53B99A80" w:rsidR="007A3618" w:rsidRPr="005A4232" w:rsidRDefault="007A3618" w:rsidP="00856868">
            <w:pPr>
              <w:rPr>
                <w:rFonts w:ascii="Times New Roman" w:hAnsi="Times New Roman"/>
              </w:rPr>
            </w:pPr>
            <w:r w:rsidRPr="005A4232">
              <w:rPr>
                <w:rFonts w:ascii="Times New Roman" w:hAnsi="Times New Roman"/>
              </w:rPr>
              <w:t xml:space="preserve">1 or 2 bits </w:t>
            </w:r>
          </w:p>
        </w:tc>
        <w:tc>
          <w:tcPr>
            <w:tcW w:w="1366" w:type="dxa"/>
          </w:tcPr>
          <w:p w14:paraId="33807D2D" w14:textId="623BB2E3" w:rsidR="007A3618" w:rsidRPr="005A4232" w:rsidRDefault="007A3618" w:rsidP="00856868">
            <w:pPr>
              <w:rPr>
                <w:rFonts w:ascii="Times New Roman" w:hAnsi="Times New Roman"/>
              </w:rPr>
            </w:pPr>
            <w:r w:rsidRPr="005A4232">
              <w:rPr>
                <w:rFonts w:ascii="Times New Roman" w:hAnsi="Times New Roman"/>
              </w:rPr>
              <w:t>1</w:t>
            </w:r>
          </w:p>
        </w:tc>
        <w:tc>
          <w:tcPr>
            <w:tcW w:w="1437" w:type="dxa"/>
          </w:tcPr>
          <w:p w14:paraId="634F072E" w14:textId="4C824066" w:rsidR="007A3618" w:rsidRPr="005A4232" w:rsidRDefault="00194A53" w:rsidP="00856868">
            <w:pPr>
              <w:rPr>
                <w:rFonts w:ascii="Times New Roman" w:hAnsi="Times New Roman"/>
              </w:rPr>
            </w:pPr>
            <w:r w:rsidRPr="005A4232">
              <w:rPr>
                <w:rFonts w:ascii="Times New Roman" w:hAnsi="Times New Roman"/>
              </w:rPr>
              <w:t>4 to 14 (long)</w:t>
            </w:r>
          </w:p>
        </w:tc>
        <w:tc>
          <w:tcPr>
            <w:tcW w:w="1499" w:type="dxa"/>
          </w:tcPr>
          <w:p w14:paraId="69D355C3" w14:textId="26958AC3" w:rsidR="007A3618" w:rsidRPr="005A4232" w:rsidRDefault="006E26C4" w:rsidP="00856868">
            <w:pPr>
              <w:rPr>
                <w:rFonts w:ascii="Times New Roman" w:hAnsi="Times New Roman"/>
              </w:rPr>
            </w:pPr>
            <w:r w:rsidRPr="005A4232">
              <w:rPr>
                <w:rFonts w:ascii="Times New Roman" w:hAnsi="Times New Roman"/>
              </w:rPr>
              <w:t>12 cyclic shift and 1~7 OCC</w:t>
            </w:r>
          </w:p>
        </w:tc>
        <w:tc>
          <w:tcPr>
            <w:tcW w:w="1161" w:type="dxa"/>
          </w:tcPr>
          <w:p w14:paraId="532F8ADF" w14:textId="038AC954" w:rsidR="007A3618" w:rsidRPr="005A4232" w:rsidRDefault="00657DFE" w:rsidP="00856868">
            <w:pPr>
              <w:rPr>
                <w:rFonts w:ascii="Times New Roman" w:hAnsi="Times New Roman"/>
              </w:rPr>
            </w:pPr>
            <w:r w:rsidRPr="005A4232">
              <w:rPr>
                <w:rFonts w:ascii="Times New Roman" w:hAnsi="Times New Roman"/>
              </w:rPr>
              <w:t>CP-OFDM</w:t>
            </w:r>
          </w:p>
        </w:tc>
      </w:tr>
      <w:tr w:rsidR="007A3618" w:rsidRPr="005A4232" w14:paraId="586CB909" w14:textId="61EF6FD7" w:rsidTr="007A3618">
        <w:tc>
          <w:tcPr>
            <w:tcW w:w="1386" w:type="dxa"/>
          </w:tcPr>
          <w:p w14:paraId="420ED1C2" w14:textId="5A9BED4E" w:rsidR="007A3618" w:rsidRPr="005A4232" w:rsidRDefault="007A3618" w:rsidP="00194A53">
            <w:pPr>
              <w:jc w:val="center"/>
              <w:rPr>
                <w:rFonts w:ascii="Times New Roman" w:hAnsi="Times New Roman"/>
                <w:b/>
                <w:bCs/>
              </w:rPr>
            </w:pPr>
            <w:r w:rsidRPr="005A4232">
              <w:rPr>
                <w:rFonts w:ascii="Times New Roman" w:hAnsi="Times New Roman"/>
                <w:b/>
                <w:bCs/>
              </w:rPr>
              <w:t>2</w:t>
            </w:r>
          </w:p>
        </w:tc>
        <w:tc>
          <w:tcPr>
            <w:tcW w:w="1391" w:type="dxa"/>
          </w:tcPr>
          <w:p w14:paraId="4D91E468" w14:textId="2F24C46A" w:rsidR="007A3618" w:rsidRPr="005A4232" w:rsidRDefault="007A3618" w:rsidP="00856868">
            <w:pPr>
              <w:rPr>
                <w:rFonts w:ascii="Times New Roman" w:hAnsi="Times New Roman"/>
              </w:rPr>
            </w:pPr>
            <w:r w:rsidRPr="005A4232">
              <w:rPr>
                <w:rFonts w:ascii="Times New Roman" w:hAnsi="Times New Roman"/>
              </w:rPr>
              <w:t>SR, HARQ-ACK, CSI</w:t>
            </w:r>
          </w:p>
        </w:tc>
        <w:tc>
          <w:tcPr>
            <w:tcW w:w="1391" w:type="dxa"/>
          </w:tcPr>
          <w:p w14:paraId="70F436F4" w14:textId="6430912E" w:rsidR="007A3618" w:rsidRPr="005A4232" w:rsidRDefault="007A3618" w:rsidP="00856868">
            <w:pPr>
              <w:rPr>
                <w:rFonts w:ascii="Times New Roman" w:hAnsi="Times New Roman"/>
              </w:rPr>
            </w:pPr>
            <w:r w:rsidRPr="005A4232">
              <w:rPr>
                <w:rFonts w:ascii="Times New Roman" w:hAnsi="Times New Roman"/>
              </w:rPr>
              <w:t>Moderate</w:t>
            </w:r>
          </w:p>
        </w:tc>
        <w:tc>
          <w:tcPr>
            <w:tcW w:w="1366" w:type="dxa"/>
          </w:tcPr>
          <w:p w14:paraId="63ED324A" w14:textId="526FDA7E" w:rsidR="007A3618" w:rsidRPr="005A4232" w:rsidRDefault="007A3618" w:rsidP="00856868">
            <w:pPr>
              <w:rPr>
                <w:rFonts w:ascii="Times New Roman" w:hAnsi="Times New Roman"/>
              </w:rPr>
            </w:pPr>
            <w:r w:rsidRPr="005A4232">
              <w:rPr>
                <w:rFonts w:ascii="Times New Roman" w:hAnsi="Times New Roman"/>
              </w:rPr>
              <w:t>Up to 16</w:t>
            </w:r>
          </w:p>
        </w:tc>
        <w:tc>
          <w:tcPr>
            <w:tcW w:w="1437" w:type="dxa"/>
          </w:tcPr>
          <w:p w14:paraId="1DAF2045" w14:textId="28568209" w:rsidR="007A3618" w:rsidRPr="005A4232" w:rsidRDefault="007A3618" w:rsidP="00856868">
            <w:pPr>
              <w:rPr>
                <w:rFonts w:ascii="Times New Roman" w:hAnsi="Times New Roman"/>
              </w:rPr>
            </w:pPr>
            <w:r w:rsidRPr="005A4232">
              <w:rPr>
                <w:rFonts w:ascii="Times New Roman" w:hAnsi="Times New Roman"/>
              </w:rPr>
              <w:t>1</w:t>
            </w:r>
            <w:r w:rsidR="00194A53" w:rsidRPr="005A4232">
              <w:rPr>
                <w:rFonts w:ascii="Times New Roman" w:hAnsi="Times New Roman"/>
              </w:rPr>
              <w:t xml:space="preserve"> or </w:t>
            </w:r>
            <w:r w:rsidRPr="005A4232">
              <w:rPr>
                <w:rFonts w:ascii="Times New Roman" w:hAnsi="Times New Roman"/>
              </w:rPr>
              <w:t>2 (short)</w:t>
            </w:r>
          </w:p>
        </w:tc>
        <w:tc>
          <w:tcPr>
            <w:tcW w:w="1499" w:type="dxa"/>
          </w:tcPr>
          <w:p w14:paraId="6275B34F" w14:textId="30CA9691" w:rsidR="007A3618" w:rsidRPr="005A4232" w:rsidRDefault="006E26C4" w:rsidP="00856868">
            <w:pPr>
              <w:rPr>
                <w:rFonts w:ascii="Times New Roman" w:hAnsi="Times New Roman"/>
              </w:rPr>
            </w:pPr>
            <w:r w:rsidRPr="005A4232">
              <w:rPr>
                <w:rFonts w:ascii="Times New Roman" w:hAnsi="Times New Roman"/>
              </w:rPr>
              <w:t>None</w:t>
            </w:r>
          </w:p>
        </w:tc>
        <w:tc>
          <w:tcPr>
            <w:tcW w:w="1161" w:type="dxa"/>
          </w:tcPr>
          <w:p w14:paraId="39A27B59" w14:textId="5BC95CAD" w:rsidR="007A3618" w:rsidRPr="005A4232" w:rsidRDefault="00657DFE" w:rsidP="00856868">
            <w:pPr>
              <w:rPr>
                <w:rFonts w:ascii="Times New Roman" w:hAnsi="Times New Roman"/>
              </w:rPr>
            </w:pPr>
            <w:r w:rsidRPr="005A4232">
              <w:rPr>
                <w:rFonts w:ascii="Times New Roman" w:hAnsi="Times New Roman"/>
              </w:rPr>
              <w:t>CP-OFDM</w:t>
            </w:r>
          </w:p>
        </w:tc>
      </w:tr>
      <w:tr w:rsidR="007A3618" w:rsidRPr="005A4232" w14:paraId="65E03B5C" w14:textId="2962E2EB" w:rsidTr="007A3618">
        <w:tc>
          <w:tcPr>
            <w:tcW w:w="1386" w:type="dxa"/>
          </w:tcPr>
          <w:p w14:paraId="5E037837" w14:textId="2AEBABA5" w:rsidR="007A3618" w:rsidRPr="005A4232" w:rsidRDefault="007A3618" w:rsidP="00194A53">
            <w:pPr>
              <w:jc w:val="center"/>
              <w:rPr>
                <w:rFonts w:ascii="Times New Roman" w:hAnsi="Times New Roman"/>
                <w:b/>
                <w:bCs/>
              </w:rPr>
            </w:pPr>
            <w:r w:rsidRPr="005A4232">
              <w:rPr>
                <w:rFonts w:ascii="Times New Roman" w:hAnsi="Times New Roman"/>
                <w:b/>
                <w:bCs/>
              </w:rPr>
              <w:t>3</w:t>
            </w:r>
          </w:p>
        </w:tc>
        <w:tc>
          <w:tcPr>
            <w:tcW w:w="1391" w:type="dxa"/>
          </w:tcPr>
          <w:p w14:paraId="4627D00A" w14:textId="35333232" w:rsidR="007A3618" w:rsidRPr="005A4232" w:rsidRDefault="007A3618" w:rsidP="00856868">
            <w:pPr>
              <w:rPr>
                <w:rFonts w:ascii="Times New Roman" w:hAnsi="Times New Roman"/>
              </w:rPr>
            </w:pPr>
            <w:r w:rsidRPr="005A4232">
              <w:rPr>
                <w:rFonts w:ascii="Times New Roman" w:hAnsi="Times New Roman"/>
              </w:rPr>
              <w:t>SR, HARQ-ACK, CSI</w:t>
            </w:r>
          </w:p>
        </w:tc>
        <w:tc>
          <w:tcPr>
            <w:tcW w:w="1391" w:type="dxa"/>
          </w:tcPr>
          <w:p w14:paraId="0064E55B" w14:textId="30869D6D" w:rsidR="007A3618" w:rsidRPr="005A4232" w:rsidRDefault="007A3618" w:rsidP="00856868">
            <w:pPr>
              <w:rPr>
                <w:rFonts w:ascii="Times New Roman" w:hAnsi="Times New Roman"/>
              </w:rPr>
            </w:pPr>
            <w:r w:rsidRPr="005A4232">
              <w:rPr>
                <w:rFonts w:ascii="Times New Roman" w:hAnsi="Times New Roman"/>
              </w:rPr>
              <w:t>Moderate to large</w:t>
            </w:r>
          </w:p>
        </w:tc>
        <w:tc>
          <w:tcPr>
            <w:tcW w:w="1366" w:type="dxa"/>
          </w:tcPr>
          <w:p w14:paraId="39BF7FBE" w14:textId="03A5BF98" w:rsidR="007A3618" w:rsidRPr="005A4232" w:rsidRDefault="007A3618" w:rsidP="00856868">
            <w:pPr>
              <w:rPr>
                <w:rFonts w:ascii="Times New Roman" w:hAnsi="Times New Roman"/>
              </w:rPr>
            </w:pPr>
            <w:r w:rsidRPr="005A4232">
              <w:rPr>
                <w:rFonts w:ascii="Times New Roman" w:hAnsi="Times New Roman"/>
              </w:rPr>
              <w:t>Up to 16</w:t>
            </w:r>
          </w:p>
        </w:tc>
        <w:tc>
          <w:tcPr>
            <w:tcW w:w="1437" w:type="dxa"/>
          </w:tcPr>
          <w:p w14:paraId="029471E6" w14:textId="13D2B857" w:rsidR="007A3618" w:rsidRPr="005A4232" w:rsidRDefault="00194A53" w:rsidP="00856868">
            <w:pPr>
              <w:rPr>
                <w:rFonts w:ascii="Times New Roman" w:hAnsi="Times New Roman"/>
              </w:rPr>
            </w:pPr>
            <w:r w:rsidRPr="005A4232">
              <w:rPr>
                <w:rFonts w:ascii="Times New Roman" w:hAnsi="Times New Roman"/>
              </w:rPr>
              <w:t>4 to 14 (long)</w:t>
            </w:r>
          </w:p>
        </w:tc>
        <w:tc>
          <w:tcPr>
            <w:tcW w:w="1499" w:type="dxa"/>
          </w:tcPr>
          <w:p w14:paraId="13E22633" w14:textId="71BB6014" w:rsidR="007A3618" w:rsidRPr="005A4232" w:rsidRDefault="006E26C4" w:rsidP="00856868">
            <w:pPr>
              <w:rPr>
                <w:rFonts w:ascii="Times New Roman" w:hAnsi="Times New Roman"/>
              </w:rPr>
            </w:pPr>
            <w:r w:rsidRPr="005A4232">
              <w:rPr>
                <w:rFonts w:ascii="Times New Roman" w:hAnsi="Times New Roman"/>
              </w:rPr>
              <w:t>None</w:t>
            </w:r>
          </w:p>
        </w:tc>
        <w:tc>
          <w:tcPr>
            <w:tcW w:w="1161" w:type="dxa"/>
          </w:tcPr>
          <w:p w14:paraId="51A82630" w14:textId="54CA7E89" w:rsidR="007A3618" w:rsidRPr="005A4232" w:rsidRDefault="00657DFE" w:rsidP="00856868">
            <w:pPr>
              <w:rPr>
                <w:rFonts w:ascii="Times New Roman" w:hAnsi="Times New Roman"/>
              </w:rPr>
            </w:pPr>
            <w:r w:rsidRPr="005A4232">
              <w:rPr>
                <w:rFonts w:ascii="Times New Roman" w:hAnsi="Times New Roman"/>
              </w:rPr>
              <w:t>DFT-s-OFDM</w:t>
            </w:r>
          </w:p>
        </w:tc>
      </w:tr>
      <w:tr w:rsidR="007A3618" w:rsidRPr="005A4232" w14:paraId="34E38D11" w14:textId="3ACDF0F4" w:rsidTr="007A3618">
        <w:tc>
          <w:tcPr>
            <w:tcW w:w="1386" w:type="dxa"/>
          </w:tcPr>
          <w:p w14:paraId="6652182E" w14:textId="2E249868" w:rsidR="007A3618" w:rsidRPr="005A4232" w:rsidRDefault="007A3618" w:rsidP="00194A53">
            <w:pPr>
              <w:jc w:val="center"/>
              <w:rPr>
                <w:rFonts w:ascii="Times New Roman" w:hAnsi="Times New Roman"/>
                <w:b/>
                <w:bCs/>
              </w:rPr>
            </w:pPr>
            <w:r w:rsidRPr="005A4232">
              <w:rPr>
                <w:rFonts w:ascii="Times New Roman" w:hAnsi="Times New Roman"/>
                <w:b/>
                <w:bCs/>
              </w:rPr>
              <w:t>4</w:t>
            </w:r>
          </w:p>
        </w:tc>
        <w:tc>
          <w:tcPr>
            <w:tcW w:w="1391" w:type="dxa"/>
          </w:tcPr>
          <w:p w14:paraId="76767BCB" w14:textId="1CE03E14" w:rsidR="007A3618" w:rsidRPr="005A4232" w:rsidRDefault="007A3618" w:rsidP="00856868">
            <w:pPr>
              <w:rPr>
                <w:rFonts w:ascii="Times New Roman" w:hAnsi="Times New Roman"/>
              </w:rPr>
            </w:pPr>
            <w:r w:rsidRPr="005A4232">
              <w:rPr>
                <w:rFonts w:ascii="Times New Roman" w:hAnsi="Times New Roman"/>
              </w:rPr>
              <w:t>SR, HARQ-ACK, CSI</w:t>
            </w:r>
          </w:p>
        </w:tc>
        <w:tc>
          <w:tcPr>
            <w:tcW w:w="1391" w:type="dxa"/>
          </w:tcPr>
          <w:p w14:paraId="3A7807D8" w14:textId="1518E070" w:rsidR="007A3618" w:rsidRPr="005A4232" w:rsidRDefault="007A3618" w:rsidP="00856868">
            <w:pPr>
              <w:rPr>
                <w:rFonts w:ascii="Times New Roman" w:hAnsi="Times New Roman"/>
              </w:rPr>
            </w:pPr>
            <w:r w:rsidRPr="005A4232">
              <w:rPr>
                <w:rFonts w:ascii="Times New Roman" w:hAnsi="Times New Roman"/>
              </w:rPr>
              <w:t>Moderate</w:t>
            </w:r>
          </w:p>
        </w:tc>
        <w:tc>
          <w:tcPr>
            <w:tcW w:w="1366" w:type="dxa"/>
          </w:tcPr>
          <w:p w14:paraId="29D1AEEE" w14:textId="08B3D887" w:rsidR="007A3618" w:rsidRPr="005A4232" w:rsidRDefault="007A3618" w:rsidP="00856868">
            <w:pPr>
              <w:rPr>
                <w:rFonts w:ascii="Times New Roman" w:hAnsi="Times New Roman"/>
              </w:rPr>
            </w:pPr>
            <w:r w:rsidRPr="005A4232">
              <w:rPr>
                <w:rFonts w:ascii="Times New Roman" w:hAnsi="Times New Roman"/>
              </w:rPr>
              <w:t>1</w:t>
            </w:r>
          </w:p>
        </w:tc>
        <w:tc>
          <w:tcPr>
            <w:tcW w:w="1437" w:type="dxa"/>
          </w:tcPr>
          <w:p w14:paraId="6C30A28C" w14:textId="7BCCCA25" w:rsidR="007A3618" w:rsidRPr="005A4232" w:rsidRDefault="00194A53" w:rsidP="00856868">
            <w:pPr>
              <w:rPr>
                <w:rFonts w:ascii="Times New Roman" w:hAnsi="Times New Roman"/>
              </w:rPr>
            </w:pPr>
            <w:r w:rsidRPr="005A4232">
              <w:rPr>
                <w:rFonts w:ascii="Times New Roman" w:hAnsi="Times New Roman"/>
              </w:rPr>
              <w:t>4 to 14 (long)</w:t>
            </w:r>
          </w:p>
        </w:tc>
        <w:tc>
          <w:tcPr>
            <w:tcW w:w="1499" w:type="dxa"/>
          </w:tcPr>
          <w:p w14:paraId="20D8B6A5" w14:textId="162D8844" w:rsidR="007A3618" w:rsidRPr="005A4232" w:rsidRDefault="006E26C4" w:rsidP="00856868">
            <w:pPr>
              <w:rPr>
                <w:rFonts w:ascii="Times New Roman" w:hAnsi="Times New Roman"/>
              </w:rPr>
            </w:pPr>
            <w:r w:rsidRPr="005A4232">
              <w:rPr>
                <w:rFonts w:ascii="Times New Roman" w:hAnsi="Times New Roman"/>
              </w:rPr>
              <w:t>2</w:t>
            </w:r>
            <w:r w:rsidR="007A3618" w:rsidRPr="005A4232">
              <w:rPr>
                <w:rFonts w:ascii="Times New Roman" w:hAnsi="Times New Roman"/>
              </w:rPr>
              <w:t xml:space="preserve"> </w:t>
            </w:r>
            <w:r w:rsidRPr="005A4232">
              <w:rPr>
                <w:rFonts w:ascii="Times New Roman" w:hAnsi="Times New Roman"/>
              </w:rPr>
              <w:t>or</w:t>
            </w:r>
            <w:r w:rsidR="007A3618" w:rsidRPr="005A4232">
              <w:rPr>
                <w:rFonts w:ascii="Times New Roman" w:hAnsi="Times New Roman"/>
              </w:rPr>
              <w:t xml:space="preserve"> 4</w:t>
            </w:r>
            <w:r w:rsidRPr="005A4232">
              <w:rPr>
                <w:rFonts w:ascii="Times New Roman" w:hAnsi="Times New Roman"/>
              </w:rPr>
              <w:t xml:space="preserve"> OCCs</w:t>
            </w:r>
          </w:p>
        </w:tc>
        <w:tc>
          <w:tcPr>
            <w:tcW w:w="1161" w:type="dxa"/>
          </w:tcPr>
          <w:p w14:paraId="09A1A19A" w14:textId="0524B34E" w:rsidR="007A3618" w:rsidRPr="005A4232" w:rsidRDefault="00657DFE" w:rsidP="00856868">
            <w:pPr>
              <w:rPr>
                <w:rFonts w:ascii="Times New Roman" w:hAnsi="Times New Roman"/>
              </w:rPr>
            </w:pPr>
            <w:r w:rsidRPr="005A4232">
              <w:rPr>
                <w:rFonts w:ascii="Times New Roman" w:hAnsi="Times New Roman"/>
              </w:rPr>
              <w:t>DFT-s-OFDM</w:t>
            </w:r>
          </w:p>
        </w:tc>
      </w:tr>
    </w:tbl>
    <w:p w14:paraId="35727DA1" w14:textId="77777777" w:rsidR="00856868" w:rsidRDefault="00856868" w:rsidP="00856868"/>
    <w:p w14:paraId="76BAC603" w14:textId="64101BA3" w:rsidR="00ED7DAD" w:rsidRDefault="00ED7DAD" w:rsidP="00856868">
      <w:pPr>
        <w:rPr>
          <w:rFonts w:eastAsiaTheme="minorEastAsia"/>
          <w:lang w:eastAsia="zh-TW"/>
        </w:rPr>
      </w:pPr>
      <w:r>
        <w:t xml:space="preserve">There are 5 PUCCH formats defined for NR as summarized in </w:t>
      </w:r>
      <w:r>
        <w:rPr>
          <w:rFonts w:eastAsiaTheme="minorEastAsia"/>
          <w:lang w:eastAsia="zh-TW"/>
        </w:rPr>
        <w:fldChar w:fldCharType="begin"/>
      </w:r>
      <w:r>
        <w:instrText xml:space="preserve"> REF _Ref197701414 \h </w:instrText>
      </w:r>
      <w:r>
        <w:rPr>
          <w:rFonts w:eastAsiaTheme="minorEastAsia"/>
          <w:lang w:eastAsia="zh-TW"/>
        </w:rPr>
      </w:r>
      <w:r>
        <w:rPr>
          <w:rFonts w:eastAsiaTheme="minorEastAsia"/>
          <w:lang w:eastAsia="zh-TW"/>
        </w:rPr>
        <w:fldChar w:fldCharType="separate"/>
      </w:r>
      <w:r w:rsidR="003F6D04">
        <w:t xml:space="preserve">Table </w:t>
      </w:r>
      <w:r w:rsidR="003F6D04">
        <w:rPr>
          <w:noProof/>
        </w:rPr>
        <w:t>1</w:t>
      </w:r>
      <w:r>
        <w:rPr>
          <w:rFonts w:eastAsiaTheme="minorEastAsia"/>
          <w:lang w:eastAsia="zh-TW"/>
        </w:rPr>
        <w:fldChar w:fldCharType="end"/>
      </w:r>
      <w:r>
        <w:rPr>
          <w:rFonts w:eastAsiaTheme="minorEastAsia"/>
          <w:lang w:eastAsia="zh-TW"/>
        </w:rPr>
        <w:t xml:space="preserve">. For the claimed PUCCH formats 1 and 4 that will impact on legacy UE, we see many alternative solutions to avoid the impact. </w:t>
      </w:r>
    </w:p>
    <w:p w14:paraId="407174F9" w14:textId="448E31B6" w:rsidR="00ED7DAD" w:rsidRPr="00ED7DAD" w:rsidRDefault="00ED7DAD" w:rsidP="00856868">
      <w:pPr>
        <w:rPr>
          <w:rFonts w:eastAsiaTheme="minorEastAsia"/>
          <w:lang w:eastAsia="zh-TW"/>
        </w:rPr>
      </w:pPr>
      <w:r>
        <w:rPr>
          <w:rFonts w:eastAsiaTheme="minorEastAsia"/>
          <w:lang w:eastAsia="zh-TW"/>
        </w:rPr>
        <w:t xml:space="preserve">Firstly, for PUCCH format 1 for transmitting UCI of 1 or 2 bits, PUCCH format 0 can be used as an alternative. Similarly, for PUCCH format 4 for transmitting UCI payloads of moderate sizes, PUCCH formats 2 and 3 can serve as alternative formats.    </w:t>
      </w:r>
    </w:p>
    <w:p w14:paraId="5E002F71" w14:textId="6E181C53" w:rsidR="00ED7DAD" w:rsidRDefault="00ED7DAD" w:rsidP="00ED7DAD">
      <w:pPr>
        <w:pStyle w:val="Caption"/>
      </w:pPr>
      <w:bookmarkStart w:id="9" w:name="_Ref197744537"/>
      <w:r>
        <w:t xml:space="preserve">Observation </w:t>
      </w:r>
      <w:fldSimple w:instr=" SEQ Observation \* ARABIC ">
        <w:r w:rsidR="003F6D04">
          <w:rPr>
            <w:noProof/>
          </w:rPr>
          <w:t>4</w:t>
        </w:r>
      </w:fldSimple>
      <w:r>
        <w:t>: PUCCH format 0 (short, 1~2 symbols) can serve as alternative to PUCCH format 1 for transmitting 1 or 2 UCI bits for SR and HARQ-ACK.</w:t>
      </w:r>
      <w:bookmarkEnd w:id="9"/>
      <w:r>
        <w:t xml:space="preserve"> </w:t>
      </w:r>
    </w:p>
    <w:p w14:paraId="53CB8111" w14:textId="33104733" w:rsidR="00856868" w:rsidRDefault="00ED7DAD" w:rsidP="00ED7DAD">
      <w:pPr>
        <w:pStyle w:val="Caption"/>
      </w:pPr>
      <w:bookmarkStart w:id="10" w:name="_Ref197744548"/>
      <w:r>
        <w:t xml:space="preserve">Observation </w:t>
      </w:r>
      <w:fldSimple w:instr=" SEQ Observation \* ARABIC ">
        <w:r w:rsidR="003F6D04">
          <w:rPr>
            <w:noProof/>
          </w:rPr>
          <w:t>5</w:t>
        </w:r>
      </w:fldSimple>
      <w:r>
        <w:t>: PUCCH formats 2 and 3 can serve as alternative to PUCCH format 4 for moderate UCI payload.</w:t>
      </w:r>
      <w:bookmarkEnd w:id="10"/>
      <w:r>
        <w:t xml:space="preserve">  </w:t>
      </w:r>
    </w:p>
    <w:p w14:paraId="59F79AA9" w14:textId="77777777" w:rsidR="00ED7DAD" w:rsidRDefault="00ED7DAD" w:rsidP="00DE5DE6"/>
    <w:p w14:paraId="3F97CE54" w14:textId="00A6468C" w:rsidR="001B4373" w:rsidRDefault="00ED7DAD" w:rsidP="00DE5DE6">
      <w:r>
        <w:t>Secondly</w:t>
      </w:r>
      <w:r w:rsidR="001B4373">
        <w:t xml:space="preserve">, durations for both NR PUCCH formats 1 and 4 are both configurable from 4 to 14 symbols. Furthermore, according to FG 4-1 “Basic UL Control Channel” in TR38.822, UE is required to support different durations. Note that ALL NR UEs are mandatory to support FG 4-1 without capability signaling. </w:t>
      </w:r>
    </w:p>
    <w:p w14:paraId="2E90DEB5" w14:textId="3C31965B" w:rsidR="001B4373" w:rsidRDefault="001B4373" w:rsidP="00DE5DE6">
      <w:r>
        <w:t>Therefore, if Network decides to multiplex R19 LBCA UEs with legacy UEs on the shared PUCCH resources, network can configure PUCCH formats 1 and 4 with a shorter duration than 14 symbols, legacy UEs should not have any problem to support. If Network decides not to multiplex R19 LBCA UEs with legacy UEs</w:t>
      </w:r>
      <w:r w:rsidR="00364EEE">
        <w:rPr>
          <w:rFonts w:ascii="新細明體" w:eastAsia="新細明體" w:hAnsi="新細明體" w:cs="新細明體"/>
        </w:rPr>
        <w:t xml:space="preserve">, </w:t>
      </w:r>
      <w:r w:rsidR="00364EEE">
        <w:t xml:space="preserve">it can </w:t>
      </w:r>
      <w:r>
        <w:t>allocate dedicated PUCCH resources for R19 LBCA UEs</w:t>
      </w:r>
      <w:r w:rsidR="00364EEE">
        <w:t xml:space="preserve"> without impacting on </w:t>
      </w:r>
      <w:r>
        <w:t>legacy UEs.</w:t>
      </w:r>
      <w:r w:rsidR="00364EEE">
        <w:t xml:space="preserve"> Alternatively, Network does not schedule R19 LBCA UEs with PUCCH formats 1 or 4 in the last slot before a</w:t>
      </w:r>
      <w:r w:rsidR="00DB5FA6">
        <w:t>n</w:t>
      </w:r>
      <w:r w:rsidR="00364EEE">
        <w:t xml:space="preserve"> FDD-&gt;SDL switch.  </w:t>
      </w:r>
      <w:r>
        <w:t xml:space="preserve"> </w:t>
      </w:r>
    </w:p>
    <w:p w14:paraId="500E3330" w14:textId="528CDDA2" w:rsidR="001B4373" w:rsidRDefault="001B4373" w:rsidP="001B4373">
      <w:pPr>
        <w:pStyle w:val="Caption"/>
      </w:pPr>
      <w:bookmarkStart w:id="11" w:name="_Ref197744561"/>
      <w:r>
        <w:t xml:space="preserve">Observation </w:t>
      </w:r>
      <w:fldSimple w:instr=" SEQ Observation \* ARABIC ">
        <w:r w:rsidR="003F6D04">
          <w:rPr>
            <w:noProof/>
          </w:rPr>
          <w:t>6</w:t>
        </w:r>
      </w:fldSimple>
      <w:r>
        <w:t xml:space="preserve">: Durations of both PUCCH formats 1 and 4 are configurable from 4 to 14 symbols, and </w:t>
      </w:r>
      <w:r w:rsidR="006D684F">
        <w:t>all</w:t>
      </w:r>
      <w:r>
        <w:t xml:space="preserve"> NR UEs are </w:t>
      </w:r>
      <w:r w:rsidR="006D684F">
        <w:t>mandatory</w:t>
      </w:r>
      <w:r>
        <w:t xml:space="preserve"> to support different durations without capability signaling according to FG 4-1 in TR38.822.</w:t>
      </w:r>
      <w:bookmarkEnd w:id="11"/>
      <w:r>
        <w:t xml:space="preserve"> </w:t>
      </w:r>
    </w:p>
    <w:p w14:paraId="7FAFB4FA" w14:textId="7CFC5D07" w:rsidR="00856868" w:rsidRDefault="001B4373" w:rsidP="007A3618">
      <w:pPr>
        <w:pStyle w:val="Caption"/>
      </w:pPr>
      <w:bookmarkStart w:id="12" w:name="_Ref197744600"/>
      <w:r>
        <w:t xml:space="preserve">Observation </w:t>
      </w:r>
      <w:fldSimple w:instr=" SEQ Observation \* ARABIC ">
        <w:r w:rsidR="003F6D04">
          <w:rPr>
            <w:noProof/>
          </w:rPr>
          <w:t>7</w:t>
        </w:r>
      </w:fldSimple>
      <w:r>
        <w:t xml:space="preserve">: With </w:t>
      </w:r>
      <w:r w:rsidR="00DB5FA6">
        <w:t xml:space="preserve">gNB’s </w:t>
      </w:r>
      <w:r>
        <w:t xml:space="preserve">proper configuration </w:t>
      </w:r>
      <w:r w:rsidR="00DB5FA6">
        <w:t xml:space="preserve">and implementation, </w:t>
      </w:r>
      <w:r>
        <w:t xml:space="preserve">legacy UEs </w:t>
      </w:r>
      <w:r w:rsidR="00DB5FA6">
        <w:t xml:space="preserve">on the FDD carrier </w:t>
      </w:r>
      <w:r w:rsidR="00E652EC">
        <w:t>will</w:t>
      </w:r>
      <w:r>
        <w:t xml:space="preserve"> not </w:t>
      </w:r>
      <w:r w:rsidR="00E652EC">
        <w:t xml:space="preserve">be </w:t>
      </w:r>
      <w:r>
        <w:t>impacted due to the introduction of R19 LBCA.</w:t>
      </w:r>
      <w:bookmarkEnd w:id="12"/>
      <w:r>
        <w:t xml:space="preserve">   </w:t>
      </w:r>
      <w:r w:rsidR="007A3618">
        <w:t xml:space="preserve">   </w:t>
      </w:r>
    </w:p>
    <w:p w14:paraId="62E8A652" w14:textId="69462449" w:rsidR="00F57F5D" w:rsidRPr="00856868" w:rsidRDefault="00F57F5D" w:rsidP="00F57F5D">
      <w:pPr>
        <w:rPr>
          <w:b/>
          <w:bCs/>
          <w:u w:val="single"/>
        </w:rPr>
      </w:pPr>
      <w:r w:rsidRPr="00856868">
        <w:rPr>
          <w:b/>
          <w:bCs/>
          <w:u w:val="single"/>
        </w:rPr>
        <w:lastRenderedPageBreak/>
        <w:t xml:space="preserve">On </w:t>
      </w:r>
      <w:r w:rsidR="00856868" w:rsidRPr="00856868">
        <w:rPr>
          <w:b/>
          <w:bCs/>
          <w:u w:val="single"/>
        </w:rPr>
        <w:t>SRS</w:t>
      </w:r>
    </w:p>
    <w:p w14:paraId="43F84EC7" w14:textId="598F272D" w:rsidR="00A304B6" w:rsidRDefault="00C353AB" w:rsidP="00DE5DE6">
      <w:r>
        <w:t xml:space="preserve">For periodic SRS, though there are many periods including 1ms supported in 38.331, in field, </w:t>
      </w:r>
      <w:r w:rsidR="00320A07">
        <w:t xml:space="preserve">based on our observation, </w:t>
      </w:r>
      <w:r>
        <w:t xml:space="preserve">typical periods are </w:t>
      </w:r>
      <w:r w:rsidR="00320A07">
        <w:t>4</w:t>
      </w:r>
      <w:r>
        <w:t xml:space="preserve">0ms and </w:t>
      </w:r>
      <w:r w:rsidR="00320A07">
        <w:t>2</w:t>
      </w:r>
      <w:r>
        <w:t xml:space="preserve">0ms. With an SRS period larger than 1ms or a few msecs, network can avoid allocating SRS on the same slot when switching occurs. Since a bitmap based switching pattern has been agreed, we believe it should not be an issue for NW to configure SRS in slots where switching does not occur.   </w:t>
      </w:r>
    </w:p>
    <w:p w14:paraId="424560DC" w14:textId="2AF0F1C8" w:rsidR="00C353AB" w:rsidRDefault="00C353AB" w:rsidP="00C353AB">
      <w:pPr>
        <w:pStyle w:val="Caption"/>
      </w:pPr>
      <w:bookmarkStart w:id="13" w:name="_Ref197744609"/>
      <w:r>
        <w:t xml:space="preserve">Observation </w:t>
      </w:r>
      <w:fldSimple w:instr=" SEQ Observation \* ARABIC ">
        <w:r w:rsidR="003F6D04">
          <w:rPr>
            <w:noProof/>
          </w:rPr>
          <w:t>8</w:t>
        </w:r>
      </w:fldSimple>
      <w:r>
        <w:t>: SRS periods are often much larger than 1msec and NW should be able configure SRS in slots without switching for a bitmap based switching pattern.</w:t>
      </w:r>
      <w:bookmarkEnd w:id="13"/>
      <w:r>
        <w:t xml:space="preserve"> </w:t>
      </w:r>
    </w:p>
    <w:p w14:paraId="08CB0A38" w14:textId="54364D6E" w:rsidR="00C6557D" w:rsidRDefault="00C353AB" w:rsidP="00C353AB">
      <w:pPr>
        <w:pStyle w:val="Caption"/>
      </w:pPr>
      <w:r>
        <w:t xml:space="preserve"> </w:t>
      </w:r>
    </w:p>
    <w:p w14:paraId="42636BDA" w14:textId="55D0FD8C" w:rsidR="00872B87" w:rsidRPr="00872B87" w:rsidRDefault="00872B87" w:rsidP="00872B87">
      <w:pPr>
        <w:rPr>
          <w:b/>
          <w:bCs/>
          <w:u w:val="single"/>
        </w:rPr>
      </w:pPr>
      <w:r w:rsidRPr="00872B87">
        <w:rPr>
          <w:b/>
          <w:bCs/>
          <w:u w:val="single"/>
        </w:rPr>
        <w:t xml:space="preserve">On </w:t>
      </w:r>
      <w:r w:rsidR="00637505">
        <w:rPr>
          <w:b/>
          <w:bCs/>
          <w:u w:val="single"/>
        </w:rPr>
        <w:t xml:space="preserve">14-symbol </w:t>
      </w:r>
      <w:r w:rsidRPr="00872B87">
        <w:rPr>
          <w:b/>
          <w:bCs/>
          <w:u w:val="single"/>
        </w:rPr>
        <w:t>PUSCH</w:t>
      </w:r>
    </w:p>
    <w:p w14:paraId="3E6CC65C" w14:textId="77777777" w:rsidR="00BB1128" w:rsidRDefault="00510057" w:rsidP="00BB1128">
      <w:r>
        <w:t>A proponent for Alt2 mentioned that one reason to locate switching gaps on SDL carrier is that they do not want to change their 14-symbol PUSCH scheduling.</w:t>
      </w:r>
    </w:p>
    <w:p w14:paraId="6CE2AAC7" w14:textId="6E0283B2" w:rsidR="00BB1128" w:rsidRDefault="00BB1128" w:rsidP="00BB1128">
      <w:r>
        <w:t xml:space="preserve">From the aspect of specification support, time domain resource allocation (TDRA) for PUSCH is very flexible and all NR UEs are mandatory to support PUSCH TDRA from 1 to 14 symbols as part of FG 5-1 “Basic scheduling/HARQ operation” without capability signaling as described in TR 38.822. </w:t>
      </w:r>
    </w:p>
    <w:p w14:paraId="641FD80B" w14:textId="0CD8ECC3" w:rsidR="00510057" w:rsidRDefault="00510057" w:rsidP="00872B87">
      <w:r>
        <w:t xml:space="preserve">Regarding </w:t>
      </w:r>
      <w:r w:rsidR="00BB1128">
        <w:t>gNB’s implementation change</w:t>
      </w:r>
      <w:r>
        <w:t xml:space="preserve">, unfortunately, we have to say that to support this </w:t>
      </w:r>
      <w:r w:rsidR="00BB1128">
        <w:t xml:space="preserve">LBCA via switching </w:t>
      </w:r>
      <w:r>
        <w:t>feature, gNB anyway needs to modify their scheduler</w:t>
      </w:r>
      <w:r w:rsidR="00074F2E">
        <w:t xml:space="preserve"> regardless of which alternative is selected</w:t>
      </w:r>
      <w:r>
        <w:t xml:space="preserve">. Furthermore, to our understanding, shortening PUSCH to be less than 14 symbols is not a new issue. This has been supported when UL Tx switching is supported. </w:t>
      </w:r>
    </w:p>
    <w:p w14:paraId="13B6E346" w14:textId="2101DA0E" w:rsidR="00872B87" w:rsidRDefault="00510057" w:rsidP="00510057">
      <w:pPr>
        <w:pStyle w:val="Caption"/>
      </w:pPr>
      <w:bookmarkStart w:id="14" w:name="_Ref197744616"/>
      <w:r>
        <w:t xml:space="preserve">Observation </w:t>
      </w:r>
      <w:fldSimple w:instr=" SEQ Observation \* ARABIC ">
        <w:r w:rsidR="003F6D04">
          <w:rPr>
            <w:noProof/>
          </w:rPr>
          <w:t>9</w:t>
        </w:r>
      </w:fldSimple>
      <w:r>
        <w:t xml:space="preserve">: </w:t>
      </w:r>
      <w:r w:rsidR="00BB1128">
        <w:t>Configuration of PUSCH TDRA is very flexible and ranges from 1 to 14 symbols. This TDRA configuration flexibility has been mandatorily supported by all NR UEs without capability signaling.</w:t>
      </w:r>
      <w:bookmarkEnd w:id="14"/>
      <w:r w:rsidR="00BB1128">
        <w:t xml:space="preserve">   </w:t>
      </w:r>
      <w:r w:rsidR="00E30CD1">
        <w:t xml:space="preserve"> </w:t>
      </w:r>
      <w:r>
        <w:t xml:space="preserve"> </w:t>
      </w:r>
    </w:p>
    <w:p w14:paraId="405007F0" w14:textId="465E6B7A" w:rsidR="00872B87" w:rsidRDefault="00BB1128" w:rsidP="00BB1128">
      <w:pPr>
        <w:pStyle w:val="Caption"/>
      </w:pPr>
      <w:bookmarkStart w:id="15" w:name="_Ref197744623"/>
      <w:r>
        <w:t xml:space="preserve">Observation </w:t>
      </w:r>
      <w:fldSimple w:instr=" SEQ Observation \* ARABIC ">
        <w:r w:rsidR="003F6D04">
          <w:rPr>
            <w:noProof/>
          </w:rPr>
          <w:t>10</w:t>
        </w:r>
      </w:fldSimple>
      <w:r>
        <w:t>: Shortening PUSCH to be less than 14 symbols is nothing new. This has been handled when UL Tx switching is supported.</w:t>
      </w:r>
      <w:bookmarkEnd w:id="15"/>
      <w:r>
        <w:t xml:space="preserve"> </w:t>
      </w:r>
    </w:p>
    <w:p w14:paraId="48405074" w14:textId="77777777" w:rsidR="00320A07" w:rsidRDefault="00320A07" w:rsidP="00BB1128"/>
    <w:p w14:paraId="69F90438" w14:textId="3E7FCF4B" w:rsidR="00BB1128" w:rsidRPr="00320A07" w:rsidRDefault="00320A07" w:rsidP="00BB1128">
      <w:pPr>
        <w:rPr>
          <w:b/>
          <w:bCs/>
          <w:u w:val="single"/>
        </w:rPr>
      </w:pPr>
      <w:r w:rsidRPr="00320A07">
        <w:rPr>
          <w:b/>
          <w:bCs/>
          <w:u w:val="single"/>
        </w:rPr>
        <w:t>On CSI-RS</w:t>
      </w:r>
    </w:p>
    <w:p w14:paraId="27A6A11E" w14:textId="6639E68F" w:rsidR="00320A07" w:rsidRDefault="00F63C63" w:rsidP="00BB1128">
      <w:r>
        <w:t xml:space="preserve">In </w:t>
      </w:r>
      <w:r>
        <w:fldChar w:fldCharType="begin"/>
      </w:r>
      <w:r>
        <w:instrText xml:space="preserve"> REF _Ref197744417 \n \h </w:instrText>
      </w:r>
      <w:r>
        <w:fldChar w:fldCharType="separate"/>
      </w:r>
      <w:r w:rsidR="003F6D04">
        <w:t>[4]</w:t>
      </w:r>
      <w:r>
        <w:fldChar w:fldCharType="end"/>
      </w:r>
      <w:r>
        <w:t>, i</w:t>
      </w:r>
      <w:r w:rsidR="00774EC8">
        <w:t>t is claimed that “i</w:t>
      </w:r>
      <w:r w:rsidR="00774EC8" w:rsidRPr="00774EC8">
        <w:t>n practical network, CSI-RS can be placed at the last two symbols in a slot in order not to overlap with any PDSCH DMRS symbols.</w:t>
      </w:r>
      <w:r w:rsidR="00774EC8">
        <w:t xml:space="preserve">” However, to our understanding, this is a rare configuration in field. Besides, even if CSI-RS is placed at the last two symbols in a slot, CSI-RS is not impacted as long as there is no switching in the slot according to the configured switching pattern.   </w:t>
      </w:r>
    </w:p>
    <w:p w14:paraId="5F26B55D" w14:textId="585677D8" w:rsidR="00774EC8" w:rsidRDefault="00774EC8" w:rsidP="00774EC8">
      <w:pPr>
        <w:pStyle w:val="Caption"/>
      </w:pPr>
      <w:bookmarkStart w:id="16" w:name="_Ref197744630"/>
      <w:r>
        <w:t xml:space="preserve">Observation </w:t>
      </w:r>
      <w:fldSimple w:instr=" SEQ Observation \* ARABIC ">
        <w:r w:rsidR="003F6D04">
          <w:rPr>
            <w:noProof/>
          </w:rPr>
          <w:t>11</w:t>
        </w:r>
      </w:fldSimple>
      <w:r>
        <w:t>: It is not a typical configuration to place CSI-RS in the last two symbols in a slot.</w:t>
      </w:r>
      <w:bookmarkEnd w:id="16"/>
      <w:r>
        <w:t xml:space="preserve"> </w:t>
      </w:r>
    </w:p>
    <w:p w14:paraId="133EF4EA" w14:textId="78440FC0" w:rsidR="00774EC8" w:rsidRDefault="00774EC8" w:rsidP="00774EC8">
      <w:pPr>
        <w:pStyle w:val="Caption"/>
      </w:pPr>
      <w:bookmarkStart w:id="17" w:name="_Ref197744640"/>
      <w:r>
        <w:t xml:space="preserve">Observation </w:t>
      </w:r>
      <w:fldSimple w:instr=" SEQ Observation \* ARABIC ">
        <w:r w:rsidR="003F6D04">
          <w:rPr>
            <w:noProof/>
          </w:rPr>
          <w:t>12</w:t>
        </w:r>
      </w:fldSimple>
      <w:r>
        <w:t>: Even if CSI-RS is placed in the last two symbols in a slot, it will not be impacted if there is no switching in the slot based on the configured switching pattern.</w:t>
      </w:r>
      <w:bookmarkEnd w:id="17"/>
      <w:r>
        <w:t xml:space="preserve"> </w:t>
      </w:r>
    </w:p>
    <w:p w14:paraId="0DEA712C" w14:textId="77777777" w:rsidR="00774EC8" w:rsidRPr="00774EC8" w:rsidRDefault="00774EC8" w:rsidP="00774EC8"/>
    <w:p w14:paraId="270CCF61" w14:textId="4C792D9E" w:rsidR="001358C5" w:rsidRPr="00C6557D" w:rsidRDefault="00C6557D" w:rsidP="006C05E9">
      <w:pPr>
        <w:pStyle w:val="Caption"/>
        <w:rPr>
          <w:u w:val="single"/>
        </w:rPr>
      </w:pPr>
      <w:r w:rsidRPr="00C6557D">
        <w:rPr>
          <w:u w:val="single"/>
        </w:rPr>
        <w:t>On IODT</w:t>
      </w:r>
    </w:p>
    <w:p w14:paraId="6DF1C206" w14:textId="6D20C1F2" w:rsidR="00C6557D" w:rsidRDefault="00364EEE" w:rsidP="00C6557D">
      <w:r>
        <w:t xml:space="preserve">In Alt 2, the switching gap location is configured by the base station. Unless further clarified, it often implies UE vendors </w:t>
      </w:r>
      <w:r w:rsidR="00872B87">
        <w:t>must</w:t>
      </w:r>
      <w:r>
        <w:t xml:space="preserve"> support both “switch-from” and “switch-to” options while infra-vendors can choose either of them to implement. However, if infra-vendors that </w:t>
      </w:r>
      <w:r w:rsidR="00D967D1">
        <w:t>implement</w:t>
      </w:r>
      <w:r>
        <w:t xml:space="preserve"> this feature all decide to choose the same option, then it is impossible for UE vendors to IODT the other option and hence cannot claim this feature has been IODT’ed! Based on the supporting companies checked at last time, we have strong concern with IDOT schedule or even possibility. </w:t>
      </w:r>
    </w:p>
    <w:p w14:paraId="3FC6519C" w14:textId="50170B66" w:rsidR="00222DBC" w:rsidRDefault="00364EEE" w:rsidP="00222DBC">
      <w:pPr>
        <w:pStyle w:val="Caption"/>
      </w:pPr>
      <w:bookmarkStart w:id="18" w:name="_Ref197744650"/>
      <w:r>
        <w:t xml:space="preserve">Observation </w:t>
      </w:r>
      <w:fldSimple w:instr=" SEQ Observation \* ARABIC ">
        <w:r w:rsidR="003F6D04">
          <w:rPr>
            <w:noProof/>
          </w:rPr>
          <w:t>13</w:t>
        </w:r>
      </w:fldSimple>
      <w:r>
        <w:t xml:space="preserve">: </w:t>
      </w:r>
      <w:r w:rsidR="00AE6E27">
        <w:t xml:space="preserve">If Alt 2 </w:t>
      </w:r>
      <w:r w:rsidR="00D478F4">
        <w:t xml:space="preserve">(configurable by NW) </w:t>
      </w:r>
      <w:r w:rsidR="00AE6E27">
        <w:t xml:space="preserve">is supported, </w:t>
      </w:r>
      <w:r w:rsidR="00222DBC">
        <w:t xml:space="preserve">both </w:t>
      </w:r>
      <w:r>
        <w:t xml:space="preserve">IODT </w:t>
      </w:r>
      <w:r w:rsidR="00222DBC">
        <w:t>progress and feature deployment</w:t>
      </w:r>
      <w:r>
        <w:t xml:space="preserve"> will be delayed</w:t>
      </w:r>
      <w:r w:rsidR="00AE6E27">
        <w:t>, if not infeasible</w:t>
      </w:r>
      <w:r>
        <w:t>.</w:t>
      </w:r>
      <w:bookmarkEnd w:id="18"/>
      <w:r>
        <w:t xml:space="preserve"> </w:t>
      </w:r>
    </w:p>
    <w:p w14:paraId="6C1C8F78" w14:textId="083C51D6" w:rsidR="00222DBC" w:rsidRDefault="00222DBC" w:rsidP="00C6557D">
      <w:r>
        <w:t xml:space="preserve">The take-away from the above observations is that with proper gNB’s configuration and implementation, concerns raised by proponents for Alt2 and Alt3 can be addressed. In contrast, concerns raised by proponent for Alt 1, mainly about PDCCH impact, cannot be addressed no matter how gNB strives for proper configuration and implementation changes. In addition, if Alt 2 is supported, IDOT and deployment will be delayed. We hence support Alt 1. </w:t>
      </w:r>
    </w:p>
    <w:p w14:paraId="0166B518" w14:textId="2A5595B7" w:rsidR="00A304B6" w:rsidRPr="00222DBC" w:rsidRDefault="00222DBC" w:rsidP="00222DBC">
      <w:pPr>
        <w:pStyle w:val="Caption"/>
      </w:pPr>
      <w:bookmarkStart w:id="19" w:name="_Ref197744806"/>
      <w:r>
        <w:t xml:space="preserve">Proposal </w:t>
      </w:r>
      <w:fldSimple w:instr=" SEQ Proposal \* ARABIC ">
        <w:r w:rsidR="003F6D04">
          <w:rPr>
            <w:noProof/>
          </w:rPr>
          <w:t>3</w:t>
        </w:r>
      </w:fldSimple>
      <w:r>
        <w:t>: For switching from FDD carrier to SDL carrier, switching gap is always assumed at the “switch from” carrier, i.e., FDD carrier.</w:t>
      </w:r>
      <w:bookmarkEnd w:id="19"/>
      <w:r>
        <w:t xml:space="preserve"> </w:t>
      </w:r>
    </w:p>
    <w:p w14:paraId="55E00E11" w14:textId="77777777" w:rsidR="00A304B6" w:rsidRDefault="00A304B6" w:rsidP="00DE5DE6"/>
    <w:p w14:paraId="1BF3F3C7" w14:textId="09ABCE97" w:rsidR="00883B89" w:rsidRDefault="00062229" w:rsidP="00584C71">
      <w:pPr>
        <w:pStyle w:val="Heading1"/>
      </w:pPr>
      <w:bookmarkStart w:id="20" w:name="_Ref197745938"/>
      <w:r>
        <w:lastRenderedPageBreak/>
        <w:t>P</w:t>
      </w:r>
      <w:r w:rsidR="00686C93">
        <w:t>attern c</w:t>
      </w:r>
      <w:r w:rsidR="00883B89">
        <w:t>onfiguration restrictions</w:t>
      </w:r>
      <w:bookmarkEnd w:id="20"/>
    </w:p>
    <w:p w14:paraId="187BB54D" w14:textId="25923C86" w:rsidR="00E04AD1" w:rsidRDefault="00E04AD1" w:rsidP="00E04AD1">
      <w:pPr>
        <w:rPr>
          <w:lang w:val="en-GB"/>
        </w:rPr>
      </w:pPr>
      <w:r>
        <w:rPr>
          <w:lang w:val="en-GB"/>
        </w:rPr>
        <w:t>At RAN1#120bis meeting, the following agreements were made</w:t>
      </w:r>
      <w:r w:rsidR="006C73BB">
        <w:rPr>
          <w:lang w:val="en-GB"/>
        </w:rPr>
        <w:t xml:space="preserve"> about switching pattern configuration. </w:t>
      </w:r>
      <w:r>
        <w:rPr>
          <w:lang w:val="en-GB"/>
        </w:rPr>
        <w:t xml:space="preserve"> </w:t>
      </w:r>
    </w:p>
    <w:tbl>
      <w:tblPr>
        <w:tblStyle w:val="TableGrid"/>
        <w:tblW w:w="0" w:type="auto"/>
        <w:tblLook w:val="04A0" w:firstRow="1" w:lastRow="0" w:firstColumn="1" w:lastColumn="0" w:noHBand="0" w:noVBand="1"/>
      </w:tblPr>
      <w:tblGrid>
        <w:gridCol w:w="9631"/>
      </w:tblGrid>
      <w:tr w:rsidR="00E04AD1" w:rsidRPr="00C077AA" w14:paraId="549F3329" w14:textId="77777777" w:rsidTr="00E04AD1">
        <w:tc>
          <w:tcPr>
            <w:tcW w:w="9631" w:type="dxa"/>
            <w:tcBorders>
              <w:top w:val="single" w:sz="4" w:space="0" w:color="auto"/>
              <w:left w:val="single" w:sz="4" w:space="0" w:color="auto"/>
              <w:bottom w:val="single" w:sz="4" w:space="0" w:color="auto"/>
              <w:right w:val="single" w:sz="4" w:space="0" w:color="auto"/>
            </w:tcBorders>
            <w:hideMark/>
          </w:tcPr>
          <w:p w14:paraId="3DB5A649" w14:textId="77777777" w:rsidR="008D3D42" w:rsidRPr="00C077AA" w:rsidRDefault="008D3D42" w:rsidP="008D3D42">
            <w:pPr>
              <w:rPr>
                <w:rFonts w:ascii="Times New Roman" w:eastAsia="DengXian" w:hAnsi="Times New Roman"/>
                <w:highlight w:val="green"/>
                <w:lang w:eastAsia="zh-CN"/>
              </w:rPr>
            </w:pPr>
            <w:r w:rsidRPr="00C077AA">
              <w:rPr>
                <w:rFonts w:ascii="Times New Roman" w:eastAsia="DengXian" w:hAnsi="Times New Roman"/>
                <w:highlight w:val="green"/>
                <w:lang w:eastAsia="zh-CN"/>
              </w:rPr>
              <w:t>Agreement</w:t>
            </w:r>
          </w:p>
          <w:p w14:paraId="27E61577" w14:textId="13E62AB5" w:rsidR="008D3D42" w:rsidRPr="00C077AA" w:rsidRDefault="008D3D42">
            <w:pPr>
              <w:rPr>
                <w:rFonts w:ascii="Times New Roman" w:hAnsi="Times New Roman"/>
              </w:rPr>
            </w:pPr>
            <w:r w:rsidRPr="00C077AA">
              <w:rPr>
                <w:rFonts w:ascii="Times New Roman" w:hAnsi="Times New Roman"/>
              </w:rPr>
              <w:t xml:space="preserve">For RRC configuration of semi-static switching pattern in Rel-19 low NR band carrier aggregation via switching, it is not expected that the same slot (1ms) contains both symbol(s) configured as FDD carrier and symbol(s) configured as SDL carrier. </w:t>
            </w:r>
          </w:p>
          <w:p w14:paraId="2203A038" w14:textId="77777777" w:rsidR="00EB234D" w:rsidRPr="00C077AA" w:rsidRDefault="00EB234D" w:rsidP="00EB234D">
            <w:pPr>
              <w:rPr>
                <w:rFonts w:ascii="Times New Roman" w:eastAsia="DengXian" w:hAnsi="Times New Roman"/>
                <w:highlight w:val="green"/>
                <w:lang w:eastAsia="zh-CN"/>
              </w:rPr>
            </w:pPr>
            <w:r w:rsidRPr="00C077AA">
              <w:rPr>
                <w:rFonts w:ascii="Times New Roman" w:eastAsia="DengXian" w:hAnsi="Times New Roman"/>
                <w:highlight w:val="green"/>
                <w:lang w:eastAsia="zh-CN"/>
              </w:rPr>
              <w:t>Agreement</w:t>
            </w:r>
          </w:p>
          <w:p w14:paraId="543FB509" w14:textId="6A21D03E" w:rsidR="00EB234D" w:rsidRPr="00C077AA" w:rsidRDefault="00EB234D" w:rsidP="000C3F77">
            <w:pPr>
              <w:pStyle w:val="BodyText"/>
              <w:rPr>
                <w:rFonts w:ascii="Times New Roman" w:eastAsia="Batang" w:hAnsi="Times New Roman"/>
                <w:sz w:val="20"/>
              </w:rPr>
            </w:pPr>
            <w:r w:rsidRPr="00C077AA">
              <w:rPr>
                <w:rFonts w:ascii="Times New Roman" w:hAnsi="Times New Roman"/>
                <w:sz w:val="20"/>
              </w:rPr>
              <w:t>For RRC configuration of semi-static switching pattern in Rel-19 low NR band carrier aggregation via switching, the time unit (resolution) of the semi-static switching pattern configuration is slot (1ms for 15kHz SCS).</w:t>
            </w:r>
          </w:p>
          <w:p w14:paraId="5CE6FFDF" w14:textId="34226E16" w:rsidR="00E04AD1" w:rsidRPr="00C077AA" w:rsidRDefault="00E04AD1">
            <w:pPr>
              <w:rPr>
                <w:rFonts w:ascii="Times New Roman" w:eastAsia="DengXian" w:hAnsi="Times New Roman"/>
                <w:highlight w:val="green"/>
                <w:lang w:eastAsia="zh-CN"/>
              </w:rPr>
            </w:pPr>
            <w:r w:rsidRPr="00C077AA">
              <w:rPr>
                <w:rFonts w:ascii="Times New Roman" w:eastAsia="DengXian" w:hAnsi="Times New Roman"/>
                <w:highlight w:val="green"/>
                <w:lang w:eastAsia="zh-CN"/>
              </w:rPr>
              <w:t>Agreement</w:t>
            </w:r>
          </w:p>
          <w:p w14:paraId="24F2F0FE" w14:textId="77777777" w:rsidR="00E04AD1" w:rsidRPr="00C077AA" w:rsidRDefault="00E04AD1" w:rsidP="00920E7D">
            <w:pPr>
              <w:pStyle w:val="ListParagraph"/>
              <w:numPr>
                <w:ilvl w:val="0"/>
                <w:numId w:val="23"/>
              </w:numPr>
              <w:ind w:firstLineChars="0"/>
              <w:contextualSpacing/>
              <w:rPr>
                <w:rFonts w:ascii="Times New Roman" w:eastAsia="Batang" w:hAnsi="Times New Roman"/>
                <w:sz w:val="20"/>
                <w:szCs w:val="20"/>
                <w:lang w:eastAsia="x-none"/>
              </w:rPr>
            </w:pPr>
            <w:r w:rsidRPr="00C077AA">
              <w:rPr>
                <w:rFonts w:ascii="Times New Roman" w:hAnsi="Times New Roman"/>
                <w:sz w:val="20"/>
                <w:szCs w:val="20"/>
              </w:rPr>
              <w:t>For RRC configuration of semi-static switching pattern in Rel-19 low NR band carrier aggregation via switching, support bitmap design</w:t>
            </w:r>
          </w:p>
          <w:p w14:paraId="17141818" w14:textId="77777777" w:rsidR="00E04AD1" w:rsidRPr="00C077AA" w:rsidRDefault="00E04AD1" w:rsidP="00920E7D">
            <w:pPr>
              <w:pStyle w:val="ListParagraph"/>
              <w:numPr>
                <w:ilvl w:val="1"/>
                <w:numId w:val="23"/>
              </w:numPr>
              <w:ind w:firstLineChars="0"/>
              <w:contextualSpacing/>
              <w:rPr>
                <w:rFonts w:ascii="Times New Roman" w:hAnsi="Times New Roman"/>
                <w:sz w:val="20"/>
                <w:szCs w:val="20"/>
              </w:rPr>
            </w:pPr>
            <w:r w:rsidRPr="00C077AA">
              <w:rPr>
                <w:rFonts w:ascii="Times New Roman" w:hAnsi="Times New Roman"/>
                <w:sz w:val="20"/>
                <w:szCs w:val="20"/>
              </w:rPr>
              <w:t xml:space="preserve">NW configures a periodicity, denoted as </w:t>
            </w:r>
            <m:oMath>
              <m:r>
                <m:rPr>
                  <m:sty m:val="p"/>
                </m:rPr>
                <w:rPr>
                  <w:rFonts w:ascii="Cambria Math" w:hAnsi="Cambria Math"/>
                  <w:sz w:val="20"/>
                  <w:szCs w:val="20"/>
                </w:rPr>
                <m:t>P</m:t>
              </m:r>
            </m:oMath>
            <w:r w:rsidRPr="00C077AA">
              <w:rPr>
                <w:rFonts w:ascii="Times New Roman" w:hAnsi="Times New Roman"/>
                <w:sz w:val="20"/>
                <w:szCs w:val="20"/>
              </w:rPr>
              <w:t xml:space="preserve"> slots, and a bitmap of P bits. Each bit in the bitmap indicates which carrier is configured for the corresponding slot, ‘0’ indicates FDD carrier 1, and ‘1’ </w:t>
            </w:r>
            <w:r w:rsidRPr="00C077AA">
              <w:rPr>
                <w:rFonts w:ascii="Times New Roman" w:hAnsi="Times New Roman"/>
                <w:color w:val="000000"/>
                <w:sz w:val="20"/>
                <w:szCs w:val="20"/>
              </w:rPr>
              <w:t>indicates SDL carrier 2</w:t>
            </w:r>
          </w:p>
          <w:p w14:paraId="78ECFFB2" w14:textId="77777777" w:rsidR="00E04AD1" w:rsidRPr="00C077AA" w:rsidRDefault="00E04AD1" w:rsidP="00920E7D">
            <w:pPr>
              <w:pStyle w:val="ListParagraph"/>
              <w:numPr>
                <w:ilvl w:val="1"/>
                <w:numId w:val="23"/>
              </w:numPr>
              <w:ind w:firstLineChars="0"/>
              <w:contextualSpacing/>
              <w:rPr>
                <w:rFonts w:ascii="Times New Roman" w:hAnsi="Times New Roman"/>
                <w:color w:val="000000"/>
                <w:sz w:val="20"/>
                <w:szCs w:val="20"/>
              </w:rPr>
            </w:pPr>
            <w:r w:rsidRPr="00C077AA">
              <w:rPr>
                <w:rFonts w:ascii="Times New Roman" w:hAnsi="Times New Roman"/>
                <w:color w:val="000000"/>
                <w:sz w:val="20"/>
                <w:szCs w:val="20"/>
              </w:rPr>
              <w:t>The pattern starts from the beginning of SFN 0 of PCell</w:t>
            </w:r>
          </w:p>
          <w:p w14:paraId="371A4B99" w14:textId="77777777" w:rsidR="00E04AD1" w:rsidRPr="00C077AA" w:rsidRDefault="00E04AD1" w:rsidP="00920E7D">
            <w:pPr>
              <w:pStyle w:val="ListParagraph"/>
              <w:numPr>
                <w:ilvl w:val="0"/>
                <w:numId w:val="23"/>
              </w:numPr>
              <w:ind w:firstLineChars="0"/>
              <w:contextualSpacing/>
              <w:rPr>
                <w:rFonts w:ascii="Times New Roman" w:hAnsi="Times New Roman"/>
                <w:color w:val="000000"/>
                <w:sz w:val="20"/>
                <w:szCs w:val="20"/>
              </w:rPr>
            </w:pPr>
            <w:r w:rsidRPr="00C077AA">
              <w:rPr>
                <w:rFonts w:ascii="Times New Roman" w:hAnsi="Times New Roman"/>
                <w:color w:val="000000"/>
                <w:sz w:val="20"/>
                <w:szCs w:val="20"/>
              </w:rPr>
              <w:t xml:space="preserve">Restriction of maximum X switch(es) within Y slot(s), </w:t>
            </w:r>
          </w:p>
          <w:p w14:paraId="06D2F0D8" w14:textId="77777777" w:rsidR="00E04AD1" w:rsidRPr="00C077AA" w:rsidRDefault="00E04AD1" w:rsidP="00920E7D">
            <w:pPr>
              <w:pStyle w:val="ListParagraph"/>
              <w:numPr>
                <w:ilvl w:val="1"/>
                <w:numId w:val="23"/>
              </w:numPr>
              <w:ind w:firstLineChars="0"/>
              <w:contextualSpacing/>
              <w:rPr>
                <w:rFonts w:ascii="Times New Roman" w:hAnsi="Times New Roman"/>
                <w:color w:val="000000"/>
                <w:sz w:val="20"/>
                <w:szCs w:val="20"/>
              </w:rPr>
            </w:pPr>
            <w:r w:rsidRPr="00C077AA">
              <w:rPr>
                <w:rFonts w:ascii="Times New Roman" w:hAnsi="Times New Roman"/>
                <w:color w:val="000000"/>
                <w:sz w:val="20"/>
                <w:szCs w:val="20"/>
              </w:rPr>
              <w:t xml:space="preserve">FFS: detailed value and relation of X and Y. </w:t>
            </w:r>
          </w:p>
          <w:p w14:paraId="38AAA97E" w14:textId="77777777" w:rsidR="00E04AD1" w:rsidRPr="00C077AA" w:rsidRDefault="00E04AD1" w:rsidP="00920E7D">
            <w:pPr>
              <w:pStyle w:val="ListParagraph"/>
              <w:numPr>
                <w:ilvl w:val="0"/>
                <w:numId w:val="23"/>
              </w:numPr>
              <w:ind w:firstLineChars="0"/>
              <w:contextualSpacing/>
              <w:rPr>
                <w:rFonts w:ascii="Times New Roman" w:hAnsi="Times New Roman"/>
                <w:color w:val="000000"/>
                <w:sz w:val="20"/>
                <w:szCs w:val="20"/>
              </w:rPr>
            </w:pPr>
            <w:r w:rsidRPr="00C077AA">
              <w:rPr>
                <w:rFonts w:ascii="Times New Roman" w:hAnsi="Times New Roman"/>
                <w:color w:val="000000"/>
                <w:sz w:val="20"/>
                <w:szCs w:val="20"/>
              </w:rPr>
              <w:t xml:space="preserve">FFS: other restriction </w:t>
            </w:r>
          </w:p>
          <w:p w14:paraId="0426CE3B" w14:textId="77777777" w:rsidR="000C3F77" w:rsidRPr="00C077AA" w:rsidRDefault="000C3F77" w:rsidP="000C3F77">
            <w:pPr>
              <w:contextualSpacing/>
              <w:rPr>
                <w:rFonts w:ascii="Times New Roman" w:hAnsi="Times New Roman"/>
                <w:color w:val="000000"/>
              </w:rPr>
            </w:pPr>
          </w:p>
          <w:p w14:paraId="29D1A950" w14:textId="77777777" w:rsidR="000C3F77" w:rsidRPr="00C077AA" w:rsidRDefault="000C3F77" w:rsidP="000C3F77">
            <w:pPr>
              <w:rPr>
                <w:rFonts w:ascii="Times New Roman" w:eastAsia="DengXian" w:hAnsi="Times New Roman"/>
                <w:highlight w:val="green"/>
                <w:lang w:eastAsia="zh-CN"/>
              </w:rPr>
            </w:pPr>
            <w:r w:rsidRPr="00C077AA">
              <w:rPr>
                <w:rFonts w:ascii="Times New Roman" w:eastAsia="DengXian" w:hAnsi="Times New Roman"/>
                <w:highlight w:val="green"/>
                <w:lang w:eastAsia="zh-CN"/>
              </w:rPr>
              <w:t>Agreement</w:t>
            </w:r>
          </w:p>
          <w:p w14:paraId="656E5426" w14:textId="615D7F0B" w:rsidR="000C3F77" w:rsidRPr="00C077AA" w:rsidRDefault="000C3F77" w:rsidP="000C3F77">
            <w:pPr>
              <w:rPr>
                <w:rFonts w:ascii="Times New Roman" w:eastAsia="Batang" w:hAnsi="Times New Roman"/>
                <w:lang w:eastAsia="en-US"/>
              </w:rPr>
            </w:pPr>
            <w:r w:rsidRPr="00C077AA">
              <w:rPr>
                <w:rFonts w:ascii="Times New Roman" w:hAnsi="Times New Roman"/>
              </w:rPr>
              <w:t>For RRC configuration of semi-static switching pattern in Rel-19 low NR band carrier aggregation via switching, semi-static switching pattern is periodic with periodicity of P slots (ms), support P= 40 ms</w:t>
            </w:r>
          </w:p>
        </w:tc>
      </w:tr>
    </w:tbl>
    <w:p w14:paraId="0810404C" w14:textId="77777777" w:rsidR="00584C71" w:rsidRDefault="00584C71" w:rsidP="00584C71"/>
    <w:p w14:paraId="727F4D31" w14:textId="72D20A3D" w:rsidR="00584C71" w:rsidRDefault="00584C71" w:rsidP="00584C71">
      <w:pPr>
        <w:pStyle w:val="Heading2"/>
      </w:pPr>
      <w:r>
        <w:t>R</w:t>
      </w:r>
      <w:r w:rsidR="00686C93">
        <w:t>eference signal</w:t>
      </w:r>
      <w:r w:rsidR="00B46BAC">
        <w:t>s</w:t>
      </w:r>
      <w:r w:rsidR="00686C93">
        <w:t xml:space="preserve"> </w:t>
      </w:r>
    </w:p>
    <w:p w14:paraId="7D842F25" w14:textId="71A49E31" w:rsidR="006132CB" w:rsidRDefault="006132CB" w:rsidP="00420513">
      <w:pPr>
        <w:rPr>
          <w:rFonts w:eastAsiaTheme="minorEastAsia"/>
          <w:lang w:eastAsia="zh-TW"/>
        </w:rPr>
      </w:pPr>
      <w:r>
        <w:rPr>
          <w:rFonts w:eastAsiaTheme="minorEastAsia"/>
          <w:lang w:eastAsia="zh-TW"/>
        </w:rPr>
        <w:t xml:space="preserve">Downlink reference signals, especially SSBs, are important for UE to perform time-frequency synchronization and pathloss estimation. Without SSBs, it is problematic to UE not only for measurement but also for demodulation. Therefore, SSB-based SCell operation should be assumed as baseline for this feature. </w:t>
      </w:r>
    </w:p>
    <w:p w14:paraId="5F011A41" w14:textId="69D8BBDE" w:rsidR="006132CB" w:rsidRDefault="009A3F2A" w:rsidP="009A3F2A">
      <w:pPr>
        <w:pStyle w:val="Caption"/>
        <w:rPr>
          <w:rFonts w:eastAsiaTheme="minorEastAsia"/>
          <w:lang w:eastAsia="zh-TW"/>
        </w:rPr>
      </w:pPr>
      <w:bookmarkStart w:id="21" w:name="_Ref197744812"/>
      <w:r>
        <w:t xml:space="preserve">Proposal </w:t>
      </w:r>
      <w:fldSimple w:instr=" SEQ Proposal \* ARABIC ">
        <w:r w:rsidR="003F6D04">
          <w:rPr>
            <w:noProof/>
          </w:rPr>
          <w:t>4</w:t>
        </w:r>
      </w:fldSimple>
      <w:r w:rsidR="006132CB" w:rsidRPr="006132CB">
        <w:rPr>
          <w:rFonts w:eastAsiaTheme="minorEastAsia"/>
          <w:lang w:eastAsia="zh-TW"/>
        </w:rPr>
        <w:t>: SSB-based SCell operations is assumed as baseline for this WI.</w:t>
      </w:r>
      <w:bookmarkEnd w:id="21"/>
      <w:r w:rsidR="006132CB">
        <w:rPr>
          <w:rFonts w:eastAsiaTheme="minorEastAsia"/>
          <w:lang w:eastAsia="zh-TW"/>
        </w:rPr>
        <w:t xml:space="preserve">  </w:t>
      </w:r>
    </w:p>
    <w:p w14:paraId="762B9A6F" w14:textId="77777777" w:rsidR="003C6761" w:rsidRDefault="003C6761" w:rsidP="00420513">
      <w:pPr>
        <w:rPr>
          <w:rFonts w:eastAsiaTheme="minorEastAsia"/>
          <w:lang w:eastAsia="zh-TW"/>
        </w:rPr>
      </w:pPr>
    </w:p>
    <w:p w14:paraId="3CF76C52" w14:textId="78D2C072" w:rsidR="00420513" w:rsidRDefault="003C6761" w:rsidP="00420513">
      <w:pPr>
        <w:rPr>
          <w:rFonts w:eastAsiaTheme="minorEastAsia"/>
          <w:lang w:eastAsia="zh-TW"/>
        </w:rPr>
      </w:pPr>
      <w:r>
        <w:rPr>
          <w:rFonts w:eastAsiaTheme="minorEastAsia"/>
          <w:lang w:eastAsia="zh-TW"/>
        </w:rPr>
        <w:t xml:space="preserve">Regarding the minimum availability requirement for a configured switching pattern, we can start with the RAN4 LS. </w:t>
      </w:r>
      <w:r w:rsidR="00420513">
        <w:rPr>
          <w:rFonts w:eastAsiaTheme="minorEastAsia"/>
          <w:lang w:eastAsia="zh-TW"/>
        </w:rPr>
        <w:t xml:space="preserve">Based on RAN4 LS in </w:t>
      </w:r>
      <w:r w:rsidR="00420513">
        <w:rPr>
          <w:rFonts w:eastAsiaTheme="minorEastAsia"/>
          <w:lang w:eastAsia="zh-TW"/>
        </w:rPr>
        <w:fldChar w:fldCharType="begin"/>
      </w:r>
      <w:r w:rsidR="00420513">
        <w:rPr>
          <w:rFonts w:eastAsiaTheme="minorEastAsia"/>
          <w:lang w:eastAsia="zh-TW"/>
        </w:rPr>
        <w:instrText xml:space="preserve"> REF _Ref193184329 \r \h </w:instrText>
      </w:r>
      <w:r w:rsidR="00420513">
        <w:rPr>
          <w:rFonts w:eastAsiaTheme="minorEastAsia"/>
          <w:lang w:eastAsia="zh-TW"/>
        </w:rPr>
      </w:r>
      <w:r w:rsidR="00420513">
        <w:rPr>
          <w:rFonts w:eastAsiaTheme="minorEastAsia"/>
          <w:lang w:eastAsia="zh-TW"/>
        </w:rPr>
        <w:fldChar w:fldCharType="separate"/>
      </w:r>
      <w:r w:rsidR="003F6D04">
        <w:rPr>
          <w:rFonts w:eastAsiaTheme="minorEastAsia"/>
          <w:lang w:eastAsia="zh-TW"/>
        </w:rPr>
        <w:t>[3]</w:t>
      </w:r>
      <w:r w:rsidR="00420513">
        <w:rPr>
          <w:rFonts w:eastAsiaTheme="minorEastAsia"/>
          <w:lang w:eastAsia="zh-TW"/>
        </w:rPr>
        <w:fldChar w:fldCharType="end"/>
      </w:r>
      <w:r w:rsidR="00420513">
        <w:rPr>
          <w:rFonts w:eastAsiaTheme="minorEastAsia"/>
          <w:lang w:eastAsia="zh-TW"/>
        </w:rPr>
        <w:t>, SSB should be “available” to UE at least every 160ms to fulfill UL transmit timing requirements. Considering switching patterns, the availability of SSB here means when UE stays in the PCell carrier according to its configured switching pattern, it should be able to measure SSB at least once every 160ms.</w:t>
      </w:r>
    </w:p>
    <w:tbl>
      <w:tblPr>
        <w:tblStyle w:val="TableGrid"/>
        <w:tblW w:w="0" w:type="auto"/>
        <w:tblLook w:val="04A0" w:firstRow="1" w:lastRow="0" w:firstColumn="1" w:lastColumn="0" w:noHBand="0" w:noVBand="1"/>
      </w:tblPr>
      <w:tblGrid>
        <w:gridCol w:w="9631"/>
      </w:tblGrid>
      <w:tr w:rsidR="00420513" w:rsidRPr="00503147" w14:paraId="6A989482" w14:textId="77777777" w:rsidTr="00420513">
        <w:tc>
          <w:tcPr>
            <w:tcW w:w="9631" w:type="dxa"/>
            <w:tcBorders>
              <w:top w:val="single" w:sz="4" w:space="0" w:color="auto"/>
              <w:left w:val="single" w:sz="4" w:space="0" w:color="auto"/>
              <w:bottom w:val="single" w:sz="4" w:space="0" w:color="auto"/>
              <w:right w:val="single" w:sz="4" w:space="0" w:color="auto"/>
            </w:tcBorders>
            <w:hideMark/>
          </w:tcPr>
          <w:p w14:paraId="7B035AD4" w14:textId="77777777" w:rsidR="00420513" w:rsidRPr="00503147" w:rsidRDefault="00420513">
            <w:pPr>
              <w:rPr>
                <w:rFonts w:ascii="Times New Roman" w:hAnsi="Times New Roman"/>
              </w:rPr>
            </w:pPr>
            <w:r w:rsidRPr="00503147">
              <w:rPr>
                <w:rFonts w:ascii="Times New Roman" w:hAnsi="Times New Roman"/>
              </w:rPr>
              <w:t>RAN4 discussed the impact of LB CA via switching on RAN4 RRM requirements and would like to share the following information to RAN1.</w:t>
            </w:r>
          </w:p>
          <w:p w14:paraId="4AC07D70" w14:textId="77777777" w:rsidR="00420513" w:rsidRPr="00503147" w:rsidRDefault="00420513" w:rsidP="00920E7D">
            <w:pPr>
              <w:pStyle w:val="ListParagraph"/>
              <w:numPr>
                <w:ilvl w:val="0"/>
                <w:numId w:val="25"/>
              </w:numPr>
              <w:overflowPunct w:val="0"/>
              <w:autoSpaceDE w:val="0"/>
              <w:autoSpaceDN w:val="0"/>
              <w:adjustRightInd w:val="0"/>
              <w:spacing w:after="180"/>
              <w:ind w:firstLineChars="0"/>
              <w:contextualSpacing/>
              <w:rPr>
                <w:rFonts w:ascii="Times New Roman" w:hAnsi="Times New Roman"/>
                <w:sz w:val="20"/>
                <w:szCs w:val="20"/>
              </w:rPr>
            </w:pPr>
            <w:r w:rsidRPr="00503147">
              <w:rPr>
                <w:rFonts w:ascii="Times New Roman" w:hAnsi="Times New Roman"/>
                <w:sz w:val="20"/>
                <w:szCs w:val="20"/>
              </w:rPr>
              <w:t>In TS38.133, UL transmit timing requirements are applicable provided that at least one SSB is available at the UE during the last 160 ms.</w:t>
            </w:r>
          </w:p>
          <w:p w14:paraId="5599066E" w14:textId="77777777" w:rsidR="00420513" w:rsidRPr="00503147" w:rsidRDefault="00420513" w:rsidP="00920E7D">
            <w:pPr>
              <w:pStyle w:val="ListParagraph"/>
              <w:numPr>
                <w:ilvl w:val="0"/>
                <w:numId w:val="25"/>
              </w:numPr>
              <w:overflowPunct w:val="0"/>
              <w:autoSpaceDE w:val="0"/>
              <w:autoSpaceDN w:val="0"/>
              <w:adjustRightInd w:val="0"/>
              <w:ind w:firstLineChars="0"/>
              <w:contextualSpacing/>
              <w:rPr>
                <w:rFonts w:ascii="Times New Roman" w:hAnsi="Times New Roman"/>
                <w:sz w:val="20"/>
                <w:szCs w:val="20"/>
              </w:rPr>
            </w:pPr>
            <w:r w:rsidRPr="00503147">
              <w:rPr>
                <w:rFonts w:ascii="Times New Roman" w:hAnsi="Times New Roman"/>
                <w:sz w:val="20"/>
                <w:szCs w:val="20"/>
              </w:rPr>
              <w:t>The required availability of SSB on PCell and/or SCell for RRM requirements is still under discussion in RAN4. RAN1 does not need to wait for RAN4 discussion.</w:t>
            </w:r>
          </w:p>
        </w:tc>
      </w:tr>
    </w:tbl>
    <w:p w14:paraId="7A86244D" w14:textId="77777777" w:rsidR="00420513" w:rsidRDefault="00420513" w:rsidP="00420513">
      <w:pPr>
        <w:rPr>
          <w:rFonts w:eastAsiaTheme="minorEastAsia"/>
          <w:lang w:eastAsia="zh-TW"/>
        </w:rPr>
      </w:pPr>
    </w:p>
    <w:p w14:paraId="3CE76E48" w14:textId="3CC04B81" w:rsidR="00420513" w:rsidRPr="00420513" w:rsidRDefault="003C6761" w:rsidP="003C6761">
      <w:pPr>
        <w:pStyle w:val="Caption"/>
      </w:pPr>
      <w:bookmarkStart w:id="22" w:name="_Ref197744665"/>
      <w:r>
        <w:t xml:space="preserve">Observation </w:t>
      </w:r>
      <w:fldSimple w:instr=" SEQ Observation \* ARABIC ">
        <w:r w:rsidR="003F6D04">
          <w:rPr>
            <w:noProof/>
          </w:rPr>
          <w:t>14</w:t>
        </w:r>
      </w:fldSimple>
      <w:r>
        <w:t>: Per RAN4 LS, SSB should be available at least every 160ms for UE to fulfill UL transmit timing requirements.</w:t>
      </w:r>
      <w:bookmarkEnd w:id="22"/>
      <w:r>
        <w:t xml:space="preserve"> </w:t>
      </w:r>
    </w:p>
    <w:p w14:paraId="12577D3D" w14:textId="77777777" w:rsidR="002F2DE4" w:rsidRDefault="002F2DE4" w:rsidP="002F2DE4"/>
    <w:p w14:paraId="72123236" w14:textId="3ABFD67B" w:rsidR="002F2DE4" w:rsidRPr="002F2DE4" w:rsidRDefault="00FB0E1D" w:rsidP="002F2DE4">
      <w:r>
        <w:lastRenderedPageBreak/>
        <w:t>However, the less often UE can measure an SSB on a carrier, the longer the RRM requirement for this WI would be. When the SSB transmission occasions on both carriers are aligned (i.e. without a time offset), gNB can guarantee the RS availability on both carriers as frequent as twice of the RS periodicity simply by alternating the switching pattern. When the SSB transmission occasions on both carriers are not aligned (i.e. with a time offset), gNB can guarantee the RS availability on both carriers to UE as frequent as the RS periodicity.</w:t>
      </w:r>
    </w:p>
    <w:p w14:paraId="546F7706" w14:textId="05B36F65" w:rsidR="00584C71" w:rsidRDefault="00392ABA" w:rsidP="00392ABA">
      <w:pPr>
        <w:pStyle w:val="Caption"/>
      </w:pPr>
      <w:bookmarkStart w:id="23" w:name="_Ref197744818"/>
      <w:r>
        <w:t xml:space="preserve">Proposal </w:t>
      </w:r>
      <w:fldSimple w:instr=" SEQ Proposal \* ARABIC ">
        <w:r w:rsidR="003F6D04">
          <w:rPr>
            <w:noProof/>
          </w:rPr>
          <w:t>5</w:t>
        </w:r>
      </w:fldSimple>
      <w:r>
        <w:t>: For a</w:t>
      </w:r>
      <w:r w:rsidR="00131AA6">
        <w:t>n RRC-configured</w:t>
      </w:r>
      <w:r>
        <w:t xml:space="preserve"> semi-static switching pattern</w:t>
      </w:r>
      <w:r w:rsidR="00E55ACF">
        <w:t xml:space="preserve">, </w:t>
      </w:r>
      <w:r>
        <w:t>gNB shall guarantee SSB availab</w:t>
      </w:r>
      <w:r w:rsidR="00131AA6">
        <w:t>ility</w:t>
      </w:r>
      <w:r>
        <w:t xml:space="preserve"> on both carriers</w:t>
      </w:r>
      <w:r w:rsidR="00131AA6">
        <w:t xml:space="preserve"> at least once every X1 and X2 msec on the FDD carrier and SDL carrier, respectively, </w:t>
      </w:r>
      <w:r>
        <w:t>with X</w:t>
      </w:r>
      <w:r w:rsidR="00131AA6">
        <w:t>1</w:t>
      </w:r>
      <w:r>
        <w:t xml:space="preserve"> &lt;=min(160, 2*SSB period on the </w:t>
      </w:r>
      <w:r w:rsidR="00131AA6">
        <w:t>FDD carrier</w:t>
      </w:r>
      <w:r>
        <w:t>)</w:t>
      </w:r>
      <w:r w:rsidR="00131AA6">
        <w:t xml:space="preserve"> and X2&lt;=min(160, 2*SSB period on the SDL carrier).</w:t>
      </w:r>
      <w:bookmarkEnd w:id="23"/>
      <w:r w:rsidR="00131AA6">
        <w:t xml:space="preserve"> </w:t>
      </w:r>
      <w:r>
        <w:t xml:space="preserve"> </w:t>
      </w:r>
    </w:p>
    <w:p w14:paraId="23753F7C" w14:textId="77777777" w:rsidR="00392ABA" w:rsidRPr="00392ABA" w:rsidRDefault="00392ABA" w:rsidP="00392ABA"/>
    <w:p w14:paraId="6EC76264" w14:textId="22738CA6" w:rsidR="00584C71" w:rsidRDefault="00686C93" w:rsidP="00584C71">
      <w:pPr>
        <w:pStyle w:val="Heading2"/>
      </w:pPr>
      <w:r>
        <w:t>N</w:t>
      </w:r>
      <w:r w:rsidR="00584C71">
        <w:t>umber of switches</w:t>
      </w:r>
    </w:p>
    <w:tbl>
      <w:tblPr>
        <w:tblStyle w:val="TableGrid"/>
        <w:tblW w:w="0" w:type="auto"/>
        <w:tblLook w:val="04A0" w:firstRow="1" w:lastRow="0" w:firstColumn="1" w:lastColumn="0" w:noHBand="0" w:noVBand="1"/>
      </w:tblPr>
      <w:tblGrid>
        <w:gridCol w:w="9631"/>
      </w:tblGrid>
      <w:tr w:rsidR="00F57DDC" w:rsidRPr="00F57DDC" w14:paraId="7453A547" w14:textId="77777777" w:rsidTr="00F57DDC">
        <w:tc>
          <w:tcPr>
            <w:tcW w:w="9631" w:type="dxa"/>
          </w:tcPr>
          <w:p w14:paraId="3182977B" w14:textId="77777777" w:rsidR="00F57DDC" w:rsidRPr="00F57DDC" w:rsidRDefault="00F57DDC" w:rsidP="00F57DDC">
            <w:pPr>
              <w:rPr>
                <w:rFonts w:ascii="Times New Roman" w:eastAsia="DengXian" w:hAnsi="Times New Roman"/>
                <w:highlight w:val="green"/>
                <w:lang w:eastAsia="zh-CN"/>
              </w:rPr>
            </w:pPr>
            <w:r w:rsidRPr="00F57DDC">
              <w:rPr>
                <w:rFonts w:ascii="Times New Roman" w:eastAsia="DengXian" w:hAnsi="Times New Roman"/>
                <w:highlight w:val="green"/>
                <w:lang w:eastAsia="zh-CN"/>
              </w:rPr>
              <w:t>Agreement</w:t>
            </w:r>
          </w:p>
          <w:p w14:paraId="79FA2624" w14:textId="77777777" w:rsidR="00F57DDC" w:rsidRPr="00F57DDC" w:rsidRDefault="00F57DDC" w:rsidP="00F57DDC">
            <w:pPr>
              <w:pStyle w:val="ListParagraph"/>
              <w:numPr>
                <w:ilvl w:val="0"/>
                <w:numId w:val="35"/>
              </w:numPr>
              <w:ind w:firstLineChars="0"/>
              <w:contextualSpacing/>
              <w:rPr>
                <w:rFonts w:eastAsia="Batang"/>
                <w:sz w:val="20"/>
                <w:szCs w:val="20"/>
                <w:lang w:eastAsia="x-none"/>
              </w:rPr>
            </w:pPr>
            <w:r w:rsidRPr="00F57DDC">
              <w:rPr>
                <w:sz w:val="20"/>
                <w:szCs w:val="20"/>
              </w:rPr>
              <w:t>For RRC configuration of semi-static switching pattern in Rel-19 low NR band carrier aggregation via switching, support bitmap design</w:t>
            </w:r>
          </w:p>
          <w:p w14:paraId="0C9638D4" w14:textId="77777777" w:rsidR="00F57DDC" w:rsidRPr="00F57DDC" w:rsidRDefault="00F57DDC" w:rsidP="00F57DDC">
            <w:pPr>
              <w:pStyle w:val="ListParagraph"/>
              <w:numPr>
                <w:ilvl w:val="1"/>
                <w:numId w:val="35"/>
              </w:numPr>
              <w:ind w:firstLineChars="0"/>
              <w:contextualSpacing/>
              <w:rPr>
                <w:rFonts w:ascii="Times New Roman" w:hAnsi="Times New Roman"/>
                <w:sz w:val="20"/>
                <w:szCs w:val="20"/>
              </w:rPr>
            </w:pPr>
            <w:r w:rsidRPr="00F57DDC">
              <w:rPr>
                <w:rFonts w:ascii="Times New Roman" w:hAnsi="Times New Roman"/>
                <w:sz w:val="20"/>
                <w:szCs w:val="20"/>
              </w:rPr>
              <w:t xml:space="preserve">NW configures a periodicity, denoted as </w:t>
            </w:r>
            <m:oMath>
              <m:r>
                <m:rPr>
                  <m:sty m:val="p"/>
                </m:rPr>
                <w:rPr>
                  <w:rFonts w:ascii="Cambria Math" w:hAnsi="Cambria Math"/>
                  <w:sz w:val="20"/>
                  <w:szCs w:val="20"/>
                </w:rPr>
                <m:t>P</m:t>
              </m:r>
            </m:oMath>
            <w:r w:rsidRPr="00F57DDC">
              <w:rPr>
                <w:rFonts w:ascii="Times New Roman" w:hAnsi="Times New Roman"/>
                <w:sz w:val="20"/>
                <w:szCs w:val="20"/>
              </w:rPr>
              <w:t xml:space="preserve"> slots, and a bitmap of P bits. Each bit in the bitmap indicates which carrier is configured for the corresponding slot, ‘0’ indicates FDD carrier 1, and ‘1’ </w:t>
            </w:r>
            <w:r w:rsidRPr="00F57DDC">
              <w:rPr>
                <w:rFonts w:ascii="Times New Roman" w:hAnsi="Times New Roman"/>
                <w:color w:val="000000"/>
                <w:sz w:val="20"/>
                <w:szCs w:val="20"/>
              </w:rPr>
              <w:t>indicates SDL carrier 2</w:t>
            </w:r>
          </w:p>
          <w:p w14:paraId="7A0ED954" w14:textId="77777777" w:rsidR="00F57DDC" w:rsidRPr="00F57DDC" w:rsidRDefault="00F57DDC" w:rsidP="00F57DDC">
            <w:pPr>
              <w:pStyle w:val="ListParagraph"/>
              <w:numPr>
                <w:ilvl w:val="1"/>
                <w:numId w:val="35"/>
              </w:numPr>
              <w:ind w:firstLineChars="0"/>
              <w:contextualSpacing/>
              <w:rPr>
                <w:rFonts w:ascii="Times New Roman" w:hAnsi="Times New Roman"/>
                <w:color w:val="000000"/>
                <w:sz w:val="20"/>
                <w:szCs w:val="20"/>
              </w:rPr>
            </w:pPr>
            <w:r w:rsidRPr="00F57DDC">
              <w:rPr>
                <w:rFonts w:ascii="Times New Roman" w:hAnsi="Times New Roman"/>
                <w:color w:val="000000"/>
                <w:sz w:val="20"/>
                <w:szCs w:val="20"/>
              </w:rPr>
              <w:t>The pattern starts from the beginning of SFN 0 of PCell</w:t>
            </w:r>
          </w:p>
          <w:p w14:paraId="26B47430" w14:textId="77777777" w:rsidR="00F57DDC" w:rsidRPr="00F57DDC" w:rsidRDefault="00F57DDC" w:rsidP="00F57DDC">
            <w:pPr>
              <w:pStyle w:val="ListParagraph"/>
              <w:numPr>
                <w:ilvl w:val="0"/>
                <w:numId w:val="35"/>
              </w:numPr>
              <w:ind w:firstLineChars="0"/>
              <w:contextualSpacing/>
              <w:rPr>
                <w:rFonts w:ascii="Times New Roman" w:hAnsi="Times New Roman"/>
                <w:color w:val="000000"/>
                <w:sz w:val="20"/>
                <w:szCs w:val="20"/>
                <w:highlight w:val="yellow"/>
              </w:rPr>
            </w:pPr>
            <w:r w:rsidRPr="00F57DDC">
              <w:rPr>
                <w:rFonts w:ascii="Times New Roman" w:hAnsi="Times New Roman"/>
                <w:color w:val="000000"/>
                <w:sz w:val="20"/>
                <w:szCs w:val="20"/>
                <w:highlight w:val="yellow"/>
              </w:rPr>
              <w:t xml:space="preserve">Restriction of maximum X switch(es) within Y slot(s), </w:t>
            </w:r>
          </w:p>
          <w:p w14:paraId="73DA14E6" w14:textId="77777777" w:rsidR="00F57DDC" w:rsidRPr="00F57DDC" w:rsidRDefault="00F57DDC" w:rsidP="00F57DDC">
            <w:pPr>
              <w:pStyle w:val="ListParagraph"/>
              <w:numPr>
                <w:ilvl w:val="1"/>
                <w:numId w:val="35"/>
              </w:numPr>
              <w:ind w:firstLineChars="0"/>
              <w:contextualSpacing/>
              <w:rPr>
                <w:rFonts w:ascii="Times New Roman" w:hAnsi="Times New Roman"/>
                <w:color w:val="000000"/>
                <w:sz w:val="20"/>
                <w:szCs w:val="20"/>
                <w:highlight w:val="yellow"/>
              </w:rPr>
            </w:pPr>
            <w:r w:rsidRPr="00F57DDC">
              <w:rPr>
                <w:rFonts w:ascii="Times New Roman" w:hAnsi="Times New Roman"/>
                <w:color w:val="000000"/>
                <w:sz w:val="20"/>
                <w:szCs w:val="20"/>
                <w:highlight w:val="yellow"/>
              </w:rPr>
              <w:t xml:space="preserve">FFS: detailed value and relation of X and Y. </w:t>
            </w:r>
          </w:p>
          <w:p w14:paraId="0831AA01" w14:textId="682BFA35" w:rsidR="00F57DDC" w:rsidRPr="00F57DDC" w:rsidRDefault="00F57DDC" w:rsidP="00584C71">
            <w:pPr>
              <w:pStyle w:val="ListParagraph"/>
              <w:numPr>
                <w:ilvl w:val="0"/>
                <w:numId w:val="35"/>
              </w:numPr>
              <w:ind w:firstLineChars="0"/>
              <w:contextualSpacing/>
              <w:rPr>
                <w:rFonts w:ascii="Times New Roman" w:hAnsi="Times New Roman"/>
                <w:color w:val="000000"/>
                <w:sz w:val="20"/>
                <w:szCs w:val="20"/>
              </w:rPr>
            </w:pPr>
            <w:r w:rsidRPr="00F57DDC">
              <w:rPr>
                <w:rFonts w:ascii="Times New Roman" w:hAnsi="Times New Roman"/>
                <w:color w:val="000000"/>
                <w:sz w:val="20"/>
                <w:szCs w:val="20"/>
              </w:rPr>
              <w:t xml:space="preserve">FFS: other restriction </w:t>
            </w:r>
          </w:p>
        </w:tc>
      </w:tr>
    </w:tbl>
    <w:p w14:paraId="6832A55D" w14:textId="77777777" w:rsidR="00584C71" w:rsidRPr="00584C71" w:rsidRDefault="00584C71" w:rsidP="00584C71"/>
    <w:p w14:paraId="20DD814B" w14:textId="03C13286" w:rsidR="00F57DDC" w:rsidRDefault="00F57DDC" w:rsidP="00BD457F">
      <w:r>
        <w:t xml:space="preserve">Regarding the restriction on the maximum X switch(es) within Y slot(s), we think at least two sets of (X, Y) should be supported. </w:t>
      </w:r>
    </w:p>
    <w:p w14:paraId="53EBEFF9" w14:textId="6D52598D" w:rsidR="003959E3" w:rsidRDefault="00F57DDC" w:rsidP="008D11F3">
      <w:r>
        <w:t xml:space="preserve">The first set of (X, Y) is to restrict </w:t>
      </w:r>
      <w:r w:rsidR="00BD457F">
        <w:t xml:space="preserve">the maximum </w:t>
      </w:r>
      <w:r w:rsidR="008E079E">
        <w:t xml:space="preserve">number of switches within a switching pattern period, i.e. </w:t>
      </w:r>
      <w:r>
        <w:t>Y=</w:t>
      </w:r>
      <w:r w:rsidR="008E079E">
        <w:t>40 slots.</w:t>
      </w:r>
      <w:r>
        <w:t xml:space="preserve"> </w:t>
      </w:r>
      <w:r w:rsidR="008E079E">
        <w:t xml:space="preserve">With this restriction, people, especially UE vendors, have a better understanding about </w:t>
      </w:r>
      <w:r>
        <w:t xml:space="preserve">the maximum switching frequency statistically in a </w:t>
      </w:r>
      <w:r w:rsidR="008E079E">
        <w:t>long</w:t>
      </w:r>
      <w:r>
        <w:t xml:space="preserve"> term. Estimates of the average number of slots after each switch can be also derived and utilized for exploiting UE power saving. In this regard, we think a switch every 5msec in average provides a good tradeoff between flexibility and switching overhead. Therefore, our proposed first set of (X, Y) is (8, 40). </w:t>
      </w:r>
      <w:r w:rsidR="008E079E">
        <w:t xml:space="preserve"> </w:t>
      </w:r>
      <w:r w:rsidR="008E079E">
        <w:rPr>
          <w:rFonts w:asciiTheme="minorEastAsia" w:eastAsiaTheme="minorEastAsia" w:hAnsiTheme="minorEastAsia" w:hint="eastAsia"/>
          <w:lang w:eastAsia="zh-TW"/>
        </w:rPr>
        <w:t xml:space="preserve"> </w:t>
      </w:r>
      <w:r w:rsidR="008E079E">
        <w:t xml:space="preserve"> </w:t>
      </w:r>
      <w:r w:rsidR="00BD457F">
        <w:t xml:space="preserve"> </w:t>
      </w:r>
    </w:p>
    <w:p w14:paraId="6DDEF9A1" w14:textId="4526DCA1" w:rsidR="00F57DDC" w:rsidRDefault="00F57DDC" w:rsidP="008D11F3">
      <w:r>
        <w:t xml:space="preserve">A second set of (X, Y) = (1, 1) is proposed to limit the maximum number of switch(es) within one slot. </w:t>
      </w:r>
    </w:p>
    <w:p w14:paraId="38B6A2B6" w14:textId="25369B0C" w:rsidR="00C27648" w:rsidRDefault="00C27648" w:rsidP="008D11F3">
      <w:r>
        <w:t xml:space="preserve">On the maximum switches within one slot, different companies have different understanding about the following agreement. </w:t>
      </w:r>
    </w:p>
    <w:tbl>
      <w:tblPr>
        <w:tblStyle w:val="TableGrid"/>
        <w:tblW w:w="0" w:type="auto"/>
        <w:tblLook w:val="04A0" w:firstRow="1" w:lastRow="0" w:firstColumn="1" w:lastColumn="0" w:noHBand="0" w:noVBand="1"/>
      </w:tblPr>
      <w:tblGrid>
        <w:gridCol w:w="9631"/>
      </w:tblGrid>
      <w:tr w:rsidR="00DA3095" w:rsidRPr="00FA7486" w14:paraId="524D139B" w14:textId="77777777" w:rsidTr="00DA3095">
        <w:tc>
          <w:tcPr>
            <w:tcW w:w="9631" w:type="dxa"/>
          </w:tcPr>
          <w:p w14:paraId="6F3843BE" w14:textId="77777777" w:rsidR="00FA7486" w:rsidRPr="00FA7486" w:rsidRDefault="00FA7486" w:rsidP="00FA7486">
            <w:pPr>
              <w:rPr>
                <w:rFonts w:ascii="Times New Roman" w:eastAsia="DengXian" w:hAnsi="Times New Roman"/>
                <w:highlight w:val="green"/>
                <w:lang w:eastAsia="zh-CN"/>
              </w:rPr>
            </w:pPr>
            <w:r w:rsidRPr="00FA7486">
              <w:rPr>
                <w:rFonts w:ascii="Times New Roman" w:eastAsia="DengXian" w:hAnsi="Times New Roman"/>
                <w:highlight w:val="green"/>
                <w:lang w:eastAsia="zh-CN"/>
              </w:rPr>
              <w:t>Agreement</w:t>
            </w:r>
          </w:p>
          <w:p w14:paraId="5D2E3FA9" w14:textId="1D4F0E08" w:rsidR="00DA3095" w:rsidRPr="00FA7486" w:rsidRDefault="00FA7486" w:rsidP="008D11F3">
            <w:pPr>
              <w:rPr>
                <w:rFonts w:ascii="Times New Roman" w:eastAsia="Batang" w:hAnsi="Times New Roman"/>
                <w:lang w:val="en-GB" w:eastAsia="en-US"/>
              </w:rPr>
            </w:pPr>
            <w:r w:rsidRPr="00FA7486">
              <w:rPr>
                <w:rFonts w:ascii="Times New Roman" w:hAnsi="Times New Roman"/>
              </w:rPr>
              <w:t xml:space="preserve">For RRC configuration of semi-static switching pattern in Rel-19 low NR band carrier aggregation via switching, it is not expected that the same slot (1ms) contains both symbol(s) configured as FDD carrier and symbol(s) configured as SDL carrier. </w:t>
            </w:r>
          </w:p>
        </w:tc>
      </w:tr>
    </w:tbl>
    <w:p w14:paraId="214BC7FC" w14:textId="77777777" w:rsidR="00FA7486" w:rsidRDefault="00FA7486" w:rsidP="00C27648"/>
    <w:p w14:paraId="194259D6" w14:textId="755D8F35" w:rsidR="00BD457F" w:rsidRDefault="00C27648" w:rsidP="00C27648">
      <w:r>
        <w:t>Some companies think that at most one switch is allowed within a slot due to the above agreement, while others think two switches are possible within a same slot if we allow switching gaps to be located at the switch-to carrier for FDD</w:t>
      </w:r>
      <w:r>
        <w:sym w:font="Wingdings" w:char="F0E0"/>
      </w:r>
      <w:r>
        <w:t xml:space="preserve">SDL switches. </w:t>
      </w:r>
    </w:p>
    <w:p w14:paraId="7C2E83F0" w14:textId="1DFDA1D2" w:rsidR="00C27648" w:rsidRDefault="00BD457F" w:rsidP="00C27648">
      <w:r>
        <w:t xml:space="preserve">To avoid any potential ambiguity, we hence propose that UE is not expected to perform more than one switch within a slot, i.e., </w:t>
      </w:r>
      <w:r w:rsidR="00F57DDC">
        <w:t>(</w:t>
      </w:r>
      <w:r>
        <w:t>X, Y</w:t>
      </w:r>
      <w:r w:rsidR="00F57DDC">
        <w:t>)</w:t>
      </w:r>
      <w:r>
        <w:t>=</w:t>
      </w:r>
      <w:r w:rsidR="00F57DDC">
        <w:t>(</w:t>
      </w:r>
      <w:r>
        <w:t>1, 1</w:t>
      </w:r>
      <w:r w:rsidR="00F57DDC">
        <w:t>)</w:t>
      </w:r>
      <w:r>
        <w:t xml:space="preserve">. </w:t>
      </w:r>
      <w:r w:rsidR="00C27648">
        <w:t xml:space="preserve"> </w:t>
      </w:r>
    </w:p>
    <w:p w14:paraId="5B666BEC" w14:textId="59FBD235" w:rsidR="003959E3" w:rsidRDefault="003959E3" w:rsidP="008D11F3">
      <w:r>
        <w:t xml:space="preserve">Even if </w:t>
      </w:r>
      <w:r w:rsidR="000A583E">
        <w:t xml:space="preserve">it is agreed </w:t>
      </w:r>
      <w:r>
        <w:t xml:space="preserve">that the switching gap can locate at the switch-to carrier (i.e. SDL) for an FDD-&gt;SDL switch, we do not see the necessity that UE is required to perform another switch (SDL-&gt;FDD) in the same slot. Hence, we do not support </w:t>
      </w:r>
      <w:r w:rsidR="00516BA3">
        <w:t>(</w:t>
      </w:r>
      <w:r>
        <w:t>X, Y</w:t>
      </w:r>
      <w:r w:rsidR="00516BA3">
        <w:t>)</w:t>
      </w:r>
      <w:r>
        <w:t>=</w:t>
      </w:r>
      <w:r w:rsidR="00516BA3">
        <w:t>(</w:t>
      </w:r>
      <w:r>
        <w:t>2, 1</w:t>
      </w:r>
      <w:r w:rsidR="00516BA3">
        <w:t>)</w:t>
      </w:r>
      <w:r>
        <w:t xml:space="preserve">. Instead, within a slot, UE is expected to perform </w:t>
      </w:r>
      <w:r w:rsidRPr="003959E3">
        <w:rPr>
          <w:i/>
          <w:iCs/>
        </w:rPr>
        <w:t>at most</w:t>
      </w:r>
      <w:r>
        <w:t xml:space="preserve"> one switch. </w:t>
      </w:r>
    </w:p>
    <w:p w14:paraId="20942C3C" w14:textId="43FEB001" w:rsidR="00FE6B21" w:rsidRDefault="00586D60" w:rsidP="00586D60">
      <w:pPr>
        <w:pStyle w:val="Caption"/>
      </w:pPr>
      <w:bookmarkStart w:id="24" w:name="_Ref197744823"/>
      <w:r>
        <w:t xml:space="preserve">Proposal </w:t>
      </w:r>
      <w:fldSimple w:instr=" SEQ Proposal \* ARABIC ">
        <w:r w:rsidR="003F6D04">
          <w:rPr>
            <w:noProof/>
          </w:rPr>
          <w:t>6</w:t>
        </w:r>
      </w:fldSimple>
      <w:r>
        <w:t>: In a</w:t>
      </w:r>
      <w:r w:rsidR="00784B31">
        <w:t>n RRC-configured</w:t>
      </w:r>
      <w:r>
        <w:t xml:space="preserve"> semi-static switching pattern, the maximum number of switch(es) is X within Y slot(s) with </w:t>
      </w:r>
      <w:r w:rsidR="001C3254">
        <w:t>(</w:t>
      </w:r>
      <w:r>
        <w:t>X, Y</w:t>
      </w:r>
      <w:r w:rsidR="001C3254">
        <w:t>)</w:t>
      </w:r>
      <w:r>
        <w:t xml:space="preserve"> = </w:t>
      </w:r>
      <w:r w:rsidR="001C3254">
        <w:t>(8, 40) and (1, 1)</w:t>
      </w:r>
      <w:r>
        <w:t>.</w:t>
      </w:r>
      <w:bookmarkEnd w:id="24"/>
      <w:r>
        <w:t xml:space="preserve">  </w:t>
      </w:r>
    </w:p>
    <w:p w14:paraId="71EF78A3" w14:textId="77777777" w:rsidR="00FE6B21" w:rsidRPr="00FE6B21" w:rsidRDefault="00FE6B21" w:rsidP="008D11F3"/>
    <w:p w14:paraId="771C0AD8" w14:textId="247E2F71" w:rsidR="00FE6B21" w:rsidRPr="00420513" w:rsidRDefault="00FE6B21" w:rsidP="008D11F3">
      <w:pPr>
        <w:pStyle w:val="Heading2"/>
      </w:pPr>
      <w:r>
        <w:lastRenderedPageBreak/>
        <w:t>Other restrictions</w:t>
      </w:r>
    </w:p>
    <w:p w14:paraId="7F48A4A9" w14:textId="76EECBE4" w:rsidR="00A83E46" w:rsidRDefault="00166D4D" w:rsidP="00584C71">
      <w:r>
        <w:t xml:space="preserve">Some other restriction on switching pattern configuration were proposed. One example is that the maximum number of consecutive slots configured on SDL should be </w:t>
      </w:r>
      <w:r w:rsidR="009E56A8">
        <w:t>limited</w:t>
      </w:r>
      <w:r>
        <w:t xml:space="preserve"> so that the K1 values (UE processing time for HARQ-ACK response to PDSCH) and HARQ process numbers do not exceed the maximum numbers of UE’s capability. </w:t>
      </w:r>
      <w:r w:rsidR="009E56A8">
        <w:t>Note that t</w:t>
      </w:r>
      <w:r w:rsidR="0054336A">
        <w:t xml:space="preserve">he number of consecutive DL slots is not necessarily equivalent to the number of PDSCHs. Since the fundamental concern is about HARQ processing, we think it is more straightforward to agree on some scheduling restrictions for gNB to apply. </w:t>
      </w:r>
      <w:r>
        <w:t xml:space="preserve">About this aspect, we </w:t>
      </w:r>
      <w:r w:rsidRPr="00A04718">
        <w:t>think our</w:t>
      </w:r>
      <w:r w:rsidR="00A04718" w:rsidRPr="00A04718">
        <w:t xml:space="preserve"> </w:t>
      </w:r>
      <w:r w:rsidR="00A04718" w:rsidRPr="00A04718">
        <w:fldChar w:fldCharType="begin"/>
      </w:r>
      <w:r w:rsidR="00A04718" w:rsidRPr="00A04718">
        <w:instrText xml:space="preserve"> REF _Ref197743264 \h </w:instrText>
      </w:r>
      <w:r w:rsidR="00A04718">
        <w:instrText xml:space="preserve"> \* MERGEFORMAT </w:instrText>
      </w:r>
      <w:r w:rsidR="00A04718" w:rsidRPr="00A04718">
        <w:fldChar w:fldCharType="separate"/>
      </w:r>
      <w:r w:rsidR="003F6D04">
        <w:t xml:space="preserve">Proposal </w:t>
      </w:r>
      <w:r w:rsidR="003F6D04">
        <w:rPr>
          <w:noProof/>
        </w:rPr>
        <w:t>10</w:t>
      </w:r>
      <w:r w:rsidR="00A04718" w:rsidRPr="00A04718">
        <w:fldChar w:fldCharType="end"/>
      </w:r>
      <w:r w:rsidRPr="00A04718">
        <w:t xml:space="preserve"> in Section </w:t>
      </w:r>
      <w:r w:rsidR="00A04718" w:rsidRPr="00A04718">
        <w:fldChar w:fldCharType="begin"/>
      </w:r>
      <w:r w:rsidR="00A04718" w:rsidRPr="00A04718">
        <w:instrText xml:space="preserve"> REF _Ref197743297 \r \h </w:instrText>
      </w:r>
      <w:r w:rsidR="00A04718">
        <w:instrText xml:space="preserve"> \* MERGEFORMAT </w:instrText>
      </w:r>
      <w:r w:rsidR="00A04718" w:rsidRPr="00A04718">
        <w:fldChar w:fldCharType="separate"/>
      </w:r>
      <w:r w:rsidR="003F6D04">
        <w:t>5</w:t>
      </w:r>
      <w:r w:rsidR="00A04718" w:rsidRPr="00A04718">
        <w:fldChar w:fldCharType="end"/>
      </w:r>
      <w:r w:rsidRPr="00A04718">
        <w:t xml:space="preserve"> (Scheduling</w:t>
      </w:r>
      <w:r w:rsidR="00A04718" w:rsidRPr="00A04718">
        <w:t>/HARQ</w:t>
      </w:r>
      <w:r w:rsidRPr="00A04718">
        <w:t xml:space="preserve"> restrictions) can</w:t>
      </w:r>
      <w:r>
        <w:t xml:space="preserve"> serve an alternative solution which is more generic. </w:t>
      </w:r>
    </w:p>
    <w:p w14:paraId="0A427A2D" w14:textId="77777777" w:rsidR="00A83E46" w:rsidRDefault="00A83E46" w:rsidP="00584C71"/>
    <w:p w14:paraId="7C41A1BF" w14:textId="6F3DC9C0" w:rsidR="00186DF4" w:rsidRDefault="00186DF4" w:rsidP="00186DF4">
      <w:pPr>
        <w:pStyle w:val="Heading1"/>
      </w:pPr>
      <w:bookmarkStart w:id="25" w:name="_Ref197743297"/>
      <w:r>
        <w:t>Scheduling</w:t>
      </w:r>
      <w:r w:rsidR="00A22A1B">
        <w:t>/HARQ</w:t>
      </w:r>
      <w:r>
        <w:t xml:space="preserve"> restrictions</w:t>
      </w:r>
      <w:bookmarkEnd w:id="25"/>
    </w:p>
    <w:p w14:paraId="513639C0" w14:textId="1CBE545D" w:rsidR="00A22A1B" w:rsidRDefault="00966C45" w:rsidP="00A22A1B">
      <w:r>
        <w:t xml:space="preserve">Following our high-level principles in Section </w:t>
      </w:r>
      <w:r>
        <w:fldChar w:fldCharType="begin"/>
      </w:r>
      <w:r>
        <w:instrText xml:space="preserve"> REF _Ref197743026 \r \h </w:instrText>
      </w:r>
      <w:r>
        <w:fldChar w:fldCharType="separate"/>
      </w:r>
      <w:r w:rsidR="003F6D04">
        <w:t>2</w:t>
      </w:r>
      <w:r>
        <w:fldChar w:fldCharType="end"/>
      </w:r>
      <w:r>
        <w:t xml:space="preserve">, a basic scheduling/HARQ assumption we have is: </w:t>
      </w:r>
    </w:p>
    <w:p w14:paraId="2B6224C3" w14:textId="189BA1B3" w:rsidR="00A22A1B" w:rsidRDefault="00966C45" w:rsidP="00966C45">
      <w:pPr>
        <w:pStyle w:val="Caption"/>
      </w:pPr>
      <w:bookmarkStart w:id="26" w:name="_Ref197744829"/>
      <w:r>
        <w:t xml:space="preserve">Proposal </w:t>
      </w:r>
      <w:fldSimple w:instr=" SEQ Proposal \* ARABIC ">
        <w:r w:rsidR="003F6D04">
          <w:rPr>
            <w:noProof/>
          </w:rPr>
          <w:t>7</w:t>
        </w:r>
      </w:fldSimple>
      <w:r>
        <w:t xml:space="preserve">: </w:t>
      </w:r>
      <w:r w:rsidR="00A22A1B">
        <w:t>Self-scheduling is assumed as baseline for this WI.</w:t>
      </w:r>
      <w:bookmarkEnd w:id="26"/>
    </w:p>
    <w:p w14:paraId="36FC87F3" w14:textId="77777777" w:rsidR="00A22A1B" w:rsidRDefault="00A22A1B" w:rsidP="00A22A1B">
      <w:pPr>
        <w:rPr>
          <w:rFonts w:eastAsiaTheme="minorEastAsia"/>
          <w:lang w:eastAsia="zh-TW"/>
        </w:rPr>
      </w:pPr>
    </w:p>
    <w:p w14:paraId="5D5121B7" w14:textId="096D08F0" w:rsidR="00A22A1B" w:rsidRDefault="00A22A1B" w:rsidP="00A22A1B">
      <w:pPr>
        <w:rPr>
          <w:rFonts w:eastAsiaTheme="minorEastAsia"/>
          <w:lang w:eastAsia="zh-TW"/>
        </w:rPr>
      </w:pPr>
      <w:r>
        <w:rPr>
          <w:rFonts w:eastAsiaTheme="minorEastAsia"/>
          <w:lang w:eastAsia="zh-TW"/>
        </w:rPr>
        <w:t xml:space="preserve">It should be straightforward that at least for UE-specific resources, gNB should schedule or configure them properly so that they do not overlap with switching periods. </w:t>
      </w:r>
    </w:p>
    <w:p w14:paraId="27418302" w14:textId="170795FD" w:rsidR="00AF4349" w:rsidRPr="00DA0712" w:rsidRDefault="00A22A1B" w:rsidP="00A22A1B">
      <w:pPr>
        <w:pStyle w:val="Caption"/>
        <w:rPr>
          <w:rFonts w:eastAsiaTheme="minorEastAsia"/>
          <w:lang w:eastAsia="zh-TW"/>
        </w:rPr>
      </w:pPr>
      <w:bookmarkStart w:id="27" w:name="_Ref197744835"/>
      <w:r>
        <w:t xml:space="preserve">Proposal </w:t>
      </w:r>
      <w:fldSimple w:instr=" SEQ Proposal \* ARABIC ">
        <w:r w:rsidR="003F6D04">
          <w:rPr>
            <w:noProof/>
          </w:rPr>
          <w:t>8</w:t>
        </w:r>
      </w:fldSimple>
      <w:r>
        <w:t xml:space="preserve">: </w:t>
      </w:r>
      <w:r w:rsidR="00AF4349">
        <w:t>UE is not expected to be scheduled or configured with UE-specific downlink resources overlapping with switching gaps.</w:t>
      </w:r>
      <w:bookmarkEnd w:id="27"/>
      <w:r w:rsidR="00AF4349">
        <w:t xml:space="preserve"> </w:t>
      </w:r>
    </w:p>
    <w:p w14:paraId="66EFAA74" w14:textId="1CAA1075" w:rsidR="00AF4349" w:rsidRDefault="00A22A1B" w:rsidP="00A22A1B">
      <w:pPr>
        <w:pStyle w:val="Caption"/>
      </w:pPr>
      <w:bookmarkStart w:id="28" w:name="_Ref197744841"/>
      <w:r>
        <w:t xml:space="preserve">Proposal </w:t>
      </w:r>
      <w:fldSimple w:instr=" SEQ Proposal \* ARABIC ">
        <w:r w:rsidR="003F6D04">
          <w:rPr>
            <w:noProof/>
          </w:rPr>
          <w:t>9</w:t>
        </w:r>
      </w:fldSimple>
      <w:r>
        <w:t xml:space="preserve">: </w:t>
      </w:r>
      <w:r w:rsidR="00AF4349">
        <w:t>UE is not expected to be scheduled or configured with UE-specific uplink resources overlapping with switching periods.</w:t>
      </w:r>
      <w:bookmarkEnd w:id="28"/>
      <w:r w:rsidR="00AF4349">
        <w:t xml:space="preserve"> </w:t>
      </w:r>
    </w:p>
    <w:p w14:paraId="5C7CE037" w14:textId="77777777" w:rsidR="00A22A1B" w:rsidRDefault="00A22A1B" w:rsidP="00584C71"/>
    <w:p w14:paraId="3231B02C" w14:textId="5F187F61" w:rsidR="00AF4349" w:rsidRDefault="00A22A1B" w:rsidP="00584C71">
      <w:r w:rsidRPr="00A22A1B">
        <w:t>Since the SCell is an SDL carrier</w:t>
      </w:r>
      <w:r>
        <w:t xml:space="preserve"> without UL</w:t>
      </w:r>
      <w:r w:rsidRPr="00A22A1B">
        <w:t>, UE should switch to FDD to transmit HARQ acknowledgement in response to PDSCHs received in the SDL carrier. Our principle on this aspect</w:t>
      </w:r>
      <w:r>
        <w:t xml:space="preserve"> </w:t>
      </w:r>
      <w:r w:rsidRPr="00A22A1B">
        <w:t xml:space="preserve">is that no new K1 values and HARQ process numbers are introduced for this WI, and FDD slots should be “available” in time (within existing K1 values) for HARQ after PDSCH reception on SDL. </w:t>
      </w:r>
    </w:p>
    <w:p w14:paraId="05238BFF" w14:textId="7E0CBB8B" w:rsidR="00966C45" w:rsidRDefault="00966C45" w:rsidP="00966C45">
      <w:pPr>
        <w:pStyle w:val="Caption"/>
      </w:pPr>
      <w:bookmarkStart w:id="29" w:name="_Ref197743264"/>
      <w:bookmarkStart w:id="30" w:name="_Ref197744847"/>
      <w:r>
        <w:t xml:space="preserve">Proposal </w:t>
      </w:r>
      <w:fldSimple w:instr=" SEQ Proposal \* ARABIC ">
        <w:r w:rsidR="003F6D04">
          <w:rPr>
            <w:noProof/>
          </w:rPr>
          <w:t>10</w:t>
        </w:r>
      </w:fldSimple>
      <w:bookmarkEnd w:id="29"/>
      <w:r>
        <w:t xml:space="preserve">: </w:t>
      </w:r>
      <w:r w:rsidR="003D5C75" w:rsidRPr="00966C45">
        <w:t>For a received PDSCH at slot n on either FDD or SDL carrier, UE expects to be configured a K1 value so that it is on the FDD carrier at slot n+K1 according to its configured switching pattern</w:t>
      </w:r>
      <w:r>
        <w:t xml:space="preserve"> where </w:t>
      </w:r>
      <w:r w:rsidR="003D5C75" w:rsidRPr="00966C45">
        <w:t xml:space="preserve">K1 </w:t>
      </w:r>
      <w:r>
        <w:t>is</w:t>
      </w:r>
      <w:r w:rsidR="003D5C75" w:rsidRPr="00966C45">
        <w:t xml:space="preserve"> configured according to existing UE capabilities reported by UE.</w:t>
      </w:r>
      <w:bookmarkEnd w:id="30"/>
    </w:p>
    <w:p w14:paraId="06C90CF1" w14:textId="658A491B" w:rsidR="003D5C75" w:rsidRPr="00966C45" w:rsidRDefault="003D5C75" w:rsidP="00966C45">
      <w:pPr>
        <w:pStyle w:val="Caption"/>
        <w:numPr>
          <w:ilvl w:val="0"/>
          <w:numId w:val="37"/>
        </w:numPr>
      </w:pPr>
      <w:r w:rsidRPr="00966C45">
        <w:t xml:space="preserve">No new K1 values and HARQ process numbers are introduced for this feature.    </w:t>
      </w:r>
    </w:p>
    <w:p w14:paraId="74B13A14" w14:textId="77777777" w:rsidR="00A41D5F" w:rsidRPr="00186DF4" w:rsidRDefault="00A41D5F" w:rsidP="00584C71"/>
    <w:p w14:paraId="237AEE93" w14:textId="77777777" w:rsidR="000A3FBA" w:rsidRDefault="000A3FBA" w:rsidP="000A3FBA">
      <w:pPr>
        <w:pStyle w:val="Heading1"/>
      </w:pPr>
      <w:bookmarkStart w:id="31" w:name="_Ref197746132"/>
      <w:r>
        <w:t>UE switching behaviour</w:t>
      </w:r>
      <w:bookmarkEnd w:id="31"/>
    </w:p>
    <w:p w14:paraId="2F97F5A8" w14:textId="77777777" w:rsidR="000A3FBA" w:rsidRDefault="000A3FBA" w:rsidP="000A3FBA">
      <w:pPr>
        <w:pStyle w:val="Caption"/>
        <w:rPr>
          <w:b w:val="0"/>
          <w:bCs/>
        </w:rPr>
      </w:pPr>
      <w:r>
        <w:rPr>
          <w:b w:val="0"/>
          <w:bCs/>
        </w:rPr>
        <w:t xml:space="preserve">If a UE has been configured with a semi-static switching pattern for the FDD and SDL carriers, in our opinion, UE shall not be expected to perform additional switching to measure RS, to receive downlink, or to transmit uplink on the other carrier. In other words, the configured switching pattern in principle has the highest priority about UE’s switching behavior than most other events. One exception could be events that trigger a random access (RACH) procedure. When a RACH procedure is triggered, it often implies UE is under some critical scenarios such as radio link failure, beam failure recovery, uplink timing out of synchronization, etc. Therefore, when RACH is triggered, UE may be able to discard the configured switching pattern and operate on the FDD carrier to complete a RACH procedure.     </w:t>
      </w:r>
    </w:p>
    <w:p w14:paraId="73B7F3C9" w14:textId="4A627931" w:rsidR="000A3FBA" w:rsidRDefault="000A3FBA" w:rsidP="000A3FBA">
      <w:pPr>
        <w:pStyle w:val="Caption"/>
      </w:pPr>
      <w:bookmarkStart w:id="32" w:name="_Ref197744859"/>
      <w:r>
        <w:t xml:space="preserve">Proposal </w:t>
      </w:r>
      <w:fldSimple w:instr=" SEQ Proposal \* ARABIC ">
        <w:r w:rsidR="003F6D04">
          <w:rPr>
            <w:noProof/>
          </w:rPr>
          <w:t>11</w:t>
        </w:r>
      </w:fldSimple>
      <w:r>
        <w:t>: Once configured with a semi-static switching pattern, UE is in principle only expected to switch between the FDD carrier and the SDL carrier, according to the configured switching pattern. No additional switching is expected</w:t>
      </w:r>
      <w:r w:rsidR="00FB608D">
        <w:t xml:space="preserve"> except for RACH procedure.</w:t>
      </w:r>
      <w:bookmarkEnd w:id="32"/>
      <w:r w:rsidR="00FB608D">
        <w:t xml:space="preserve"> </w:t>
      </w:r>
    </w:p>
    <w:p w14:paraId="73106A57" w14:textId="77777777" w:rsidR="000A3FBA" w:rsidRDefault="000A3FBA" w:rsidP="00920E7D">
      <w:pPr>
        <w:pStyle w:val="ListParagraph"/>
        <w:numPr>
          <w:ilvl w:val="0"/>
          <w:numId w:val="22"/>
        </w:numPr>
        <w:ind w:firstLineChars="0"/>
        <w:rPr>
          <w:b/>
          <w:bCs/>
          <w:sz w:val="20"/>
          <w:szCs w:val="20"/>
        </w:rPr>
      </w:pPr>
      <w:r>
        <w:rPr>
          <w:b/>
          <w:bCs/>
          <w:sz w:val="20"/>
          <w:szCs w:val="20"/>
        </w:rPr>
        <w:t xml:space="preserve">The base station shall not schedule or configure the UE in a way conflicting to the configured switching pattern. </w:t>
      </w:r>
    </w:p>
    <w:p w14:paraId="66FF6F60" w14:textId="77777777" w:rsidR="00952AEC" w:rsidRDefault="00952AEC" w:rsidP="00952AEC">
      <w:pPr>
        <w:pStyle w:val="ListParagraph"/>
        <w:ind w:left="720" w:firstLineChars="0" w:firstLine="0"/>
        <w:rPr>
          <w:b/>
          <w:bCs/>
          <w:sz w:val="20"/>
          <w:szCs w:val="20"/>
        </w:rPr>
      </w:pPr>
    </w:p>
    <w:p w14:paraId="57CC836A" w14:textId="76E44890" w:rsidR="000A3FBA" w:rsidRDefault="00DA3095" w:rsidP="00DA3095">
      <w:pPr>
        <w:pStyle w:val="Caption"/>
        <w:rPr>
          <w:bCs/>
        </w:rPr>
      </w:pPr>
      <w:bookmarkStart w:id="33" w:name="_Ref197744866"/>
      <w:r>
        <w:t xml:space="preserve">Proposal </w:t>
      </w:r>
      <w:fldSimple w:instr=" SEQ Proposal \* ARABIC ">
        <w:r w:rsidR="003F6D04">
          <w:rPr>
            <w:noProof/>
          </w:rPr>
          <w:t>12</w:t>
        </w:r>
      </w:fldSimple>
      <w:r>
        <w:t xml:space="preserve">: </w:t>
      </w:r>
      <w:r w:rsidR="00FB608D" w:rsidRPr="00DA3095">
        <w:rPr>
          <w:bCs/>
        </w:rPr>
        <w:t>When RACH is triggered, UE discards</w:t>
      </w:r>
      <w:r w:rsidR="00047300">
        <w:rPr>
          <w:bCs/>
        </w:rPr>
        <w:t xml:space="preserve"> </w:t>
      </w:r>
      <w:r w:rsidR="00FB608D" w:rsidRPr="00DA3095">
        <w:rPr>
          <w:bCs/>
        </w:rPr>
        <w:t>the configured switching pattern and stays on the FDD carrier to complete RACH.</w:t>
      </w:r>
      <w:bookmarkEnd w:id="33"/>
      <w:r w:rsidR="00FB608D" w:rsidRPr="00DA3095">
        <w:rPr>
          <w:bCs/>
        </w:rPr>
        <w:t xml:space="preserve"> </w:t>
      </w:r>
    </w:p>
    <w:p w14:paraId="43E49F0B" w14:textId="5D62F584" w:rsidR="00DA3095" w:rsidRPr="00952AEC" w:rsidRDefault="00DA3095" w:rsidP="00DA3095">
      <w:pPr>
        <w:pStyle w:val="ListParagraph"/>
        <w:numPr>
          <w:ilvl w:val="0"/>
          <w:numId w:val="22"/>
        </w:numPr>
        <w:ind w:firstLineChars="0"/>
        <w:rPr>
          <w:b/>
          <w:bCs/>
          <w:sz w:val="20"/>
          <w:szCs w:val="20"/>
        </w:rPr>
      </w:pPr>
      <w:r w:rsidRPr="00952AEC">
        <w:rPr>
          <w:b/>
          <w:bCs/>
          <w:sz w:val="20"/>
          <w:szCs w:val="20"/>
        </w:rPr>
        <w:lastRenderedPageBreak/>
        <w:t xml:space="preserve">When RACH is completed, select one of the following for UE to </w:t>
      </w:r>
      <w:r w:rsidR="00F97566">
        <w:rPr>
          <w:b/>
          <w:bCs/>
          <w:sz w:val="20"/>
          <w:szCs w:val="20"/>
        </w:rPr>
        <w:t>continue</w:t>
      </w:r>
      <w:r w:rsidRPr="00952AEC">
        <w:rPr>
          <w:b/>
          <w:bCs/>
          <w:sz w:val="20"/>
          <w:szCs w:val="20"/>
        </w:rPr>
        <w:t xml:space="preserve"> switching </w:t>
      </w:r>
      <w:r w:rsidR="00F97566">
        <w:rPr>
          <w:b/>
          <w:bCs/>
          <w:sz w:val="20"/>
          <w:szCs w:val="20"/>
        </w:rPr>
        <w:t>between</w:t>
      </w:r>
      <w:r w:rsidRPr="00952AEC">
        <w:rPr>
          <w:b/>
          <w:bCs/>
          <w:sz w:val="20"/>
          <w:szCs w:val="20"/>
        </w:rPr>
        <w:t xml:space="preserve"> the two carriers</w:t>
      </w:r>
    </w:p>
    <w:p w14:paraId="2DBD451F" w14:textId="77777777" w:rsidR="00047300" w:rsidRPr="00952AEC" w:rsidRDefault="00DA3095" w:rsidP="00DA3095">
      <w:pPr>
        <w:pStyle w:val="ListParagraph"/>
        <w:numPr>
          <w:ilvl w:val="1"/>
          <w:numId w:val="22"/>
        </w:numPr>
        <w:ind w:firstLineChars="0"/>
        <w:rPr>
          <w:b/>
          <w:bCs/>
          <w:sz w:val="20"/>
          <w:szCs w:val="20"/>
        </w:rPr>
      </w:pPr>
      <w:r w:rsidRPr="00952AEC">
        <w:rPr>
          <w:b/>
          <w:bCs/>
          <w:sz w:val="20"/>
          <w:szCs w:val="20"/>
        </w:rPr>
        <w:t xml:space="preserve">Alt 1: </w:t>
      </w:r>
      <w:r w:rsidR="00047300" w:rsidRPr="00952AEC">
        <w:rPr>
          <w:b/>
          <w:bCs/>
          <w:sz w:val="20"/>
          <w:szCs w:val="20"/>
        </w:rPr>
        <w:t>gNB reconfigures UE a switching pattern</w:t>
      </w:r>
    </w:p>
    <w:p w14:paraId="18750D47" w14:textId="45464345" w:rsidR="00DA3095" w:rsidRPr="00952AEC" w:rsidRDefault="00047300" w:rsidP="00DA3095">
      <w:pPr>
        <w:pStyle w:val="ListParagraph"/>
        <w:numPr>
          <w:ilvl w:val="1"/>
          <w:numId w:val="22"/>
        </w:numPr>
        <w:ind w:firstLineChars="0"/>
        <w:rPr>
          <w:b/>
          <w:bCs/>
          <w:sz w:val="20"/>
          <w:szCs w:val="20"/>
        </w:rPr>
      </w:pPr>
      <w:r w:rsidRPr="00952AEC">
        <w:rPr>
          <w:b/>
          <w:bCs/>
          <w:sz w:val="20"/>
          <w:szCs w:val="20"/>
        </w:rPr>
        <w:t>Alt 2: UE autonomously resumes the applicability of its switching pattern.</w:t>
      </w:r>
    </w:p>
    <w:p w14:paraId="26E183FC" w14:textId="09046A30" w:rsidR="00047300" w:rsidRPr="00952AEC" w:rsidRDefault="00047300" w:rsidP="00047300">
      <w:pPr>
        <w:pStyle w:val="ListParagraph"/>
        <w:numPr>
          <w:ilvl w:val="2"/>
          <w:numId w:val="22"/>
        </w:numPr>
        <w:ind w:firstLineChars="0"/>
        <w:rPr>
          <w:b/>
          <w:bCs/>
          <w:sz w:val="20"/>
          <w:szCs w:val="20"/>
        </w:rPr>
      </w:pPr>
      <w:r w:rsidRPr="00952AEC">
        <w:rPr>
          <w:b/>
          <w:bCs/>
          <w:sz w:val="20"/>
          <w:szCs w:val="20"/>
        </w:rPr>
        <w:t>FFS: detailed timeline to avoid ambiguity between gNB and UE</w:t>
      </w:r>
    </w:p>
    <w:p w14:paraId="4BFAF97D" w14:textId="77777777" w:rsidR="000A3FBA" w:rsidRPr="00F92FAA" w:rsidRDefault="000A3FBA" w:rsidP="000A3FBA">
      <w:pPr>
        <w:rPr>
          <w:lang w:val="en-GB"/>
        </w:rPr>
      </w:pPr>
    </w:p>
    <w:p w14:paraId="413FEF4A" w14:textId="5CE50FDC" w:rsidR="004C3C3B" w:rsidRDefault="004C3C3B" w:rsidP="004C3C3B">
      <w:pPr>
        <w:pStyle w:val="Heading1"/>
      </w:pPr>
      <w:bookmarkStart w:id="34" w:name="_Ref197746211"/>
      <w:r>
        <w:t xml:space="preserve">UE processing </w:t>
      </w:r>
      <w:r w:rsidR="00143D97">
        <w:t>delay</w:t>
      </w:r>
      <w:bookmarkEnd w:id="34"/>
    </w:p>
    <w:p w14:paraId="4CCBAE38" w14:textId="34F1C02F" w:rsidR="004C3C3B" w:rsidRPr="002A353D" w:rsidRDefault="004C3C3B" w:rsidP="004C3C3B">
      <w:pPr>
        <w:rPr>
          <w:lang w:val="en-GB"/>
        </w:rPr>
      </w:pPr>
      <w:r>
        <w:rPr>
          <w:lang w:val="en-GB"/>
        </w:rPr>
        <w:t xml:space="preserve">In this section, we share our view </w:t>
      </w:r>
      <w:r w:rsidR="00AF2945">
        <w:rPr>
          <w:lang w:val="en-GB"/>
        </w:rPr>
        <w:t xml:space="preserve">on </w:t>
      </w:r>
      <w:r>
        <w:rPr>
          <w:lang w:val="en-GB"/>
        </w:rPr>
        <w:t xml:space="preserve">whether we need to introduce additional time for UE processing time </w:t>
      </w:r>
      <w:r w:rsidR="004A1A67">
        <w:rPr>
          <w:lang w:val="en-GB"/>
        </w:rPr>
        <w:t>for</w:t>
      </w:r>
      <w:r>
        <w:rPr>
          <w:lang w:val="en-GB"/>
        </w:rPr>
        <w:t xml:space="preserve"> the </w:t>
      </w:r>
      <w:r w:rsidRPr="002A353D">
        <w:rPr>
          <w:lang w:val="en-GB"/>
        </w:rPr>
        <w:t xml:space="preserve">following identified cases when carrier switching </w:t>
      </w:r>
      <w:r w:rsidR="004A1A67">
        <w:rPr>
          <w:lang w:val="en-GB"/>
        </w:rPr>
        <w:t xml:space="preserve">between FDD and SDL carriers </w:t>
      </w:r>
      <w:r w:rsidRPr="002A353D">
        <w:rPr>
          <w:lang w:val="en-GB"/>
        </w:rPr>
        <w:t xml:space="preserve">has </w:t>
      </w:r>
      <w:r w:rsidR="00E0726C">
        <w:rPr>
          <w:lang w:val="en-GB"/>
        </w:rPr>
        <w:t xml:space="preserve">been </w:t>
      </w:r>
      <w:r w:rsidRPr="002A353D">
        <w:rPr>
          <w:lang w:val="en-GB"/>
        </w:rPr>
        <w:t xml:space="preserve">performed. </w:t>
      </w:r>
    </w:p>
    <w:p w14:paraId="58E0DDB0" w14:textId="6224C026" w:rsidR="004C3C3B" w:rsidRPr="002A353D" w:rsidRDefault="004C3C3B" w:rsidP="00920E7D">
      <w:pPr>
        <w:pStyle w:val="ListParagraph"/>
        <w:numPr>
          <w:ilvl w:val="0"/>
          <w:numId w:val="26"/>
        </w:numPr>
        <w:ind w:firstLineChars="0"/>
        <w:rPr>
          <w:sz w:val="20"/>
          <w:szCs w:val="20"/>
          <w:lang w:val="en-GB"/>
        </w:rPr>
      </w:pPr>
      <w:r w:rsidRPr="002A353D">
        <w:rPr>
          <w:sz w:val="20"/>
          <w:szCs w:val="20"/>
          <w:lang w:val="en-GB"/>
        </w:rPr>
        <w:t>Case 1: A PUCCH transmission with HARQ-ACK for a PDSCH</w:t>
      </w:r>
    </w:p>
    <w:p w14:paraId="4EABE6F5" w14:textId="14CE9BEF" w:rsidR="001631EA" w:rsidRPr="002A353D" w:rsidRDefault="00E12172" w:rsidP="00920E7D">
      <w:pPr>
        <w:pStyle w:val="ListParagraph"/>
        <w:numPr>
          <w:ilvl w:val="1"/>
          <w:numId w:val="26"/>
        </w:numPr>
        <w:ind w:firstLineChars="0"/>
        <w:rPr>
          <w:sz w:val="20"/>
          <w:szCs w:val="20"/>
          <w:lang w:val="en-GB"/>
        </w:rPr>
      </w:pPr>
      <w:r w:rsidRPr="002A353D">
        <w:rPr>
          <w:sz w:val="20"/>
          <w:szCs w:val="20"/>
          <w:lang w:val="en-GB"/>
        </w:rPr>
        <w:t>Case 1-</w:t>
      </w:r>
      <w:r w:rsidR="001631EA" w:rsidRPr="002A353D">
        <w:rPr>
          <w:sz w:val="20"/>
          <w:szCs w:val="20"/>
          <w:lang w:val="en-GB"/>
        </w:rPr>
        <w:t>1</w:t>
      </w:r>
      <w:r w:rsidRPr="002A353D">
        <w:rPr>
          <w:sz w:val="20"/>
          <w:szCs w:val="20"/>
          <w:lang w:val="en-GB"/>
        </w:rPr>
        <w:t xml:space="preserve">: </w:t>
      </w:r>
      <w:r w:rsidR="001631EA" w:rsidRPr="002A353D">
        <w:rPr>
          <w:sz w:val="20"/>
          <w:szCs w:val="20"/>
          <w:lang w:val="en-GB"/>
        </w:rPr>
        <w:t xml:space="preserve">PDSCH received on SDL carrier with the corresponding PUCCH with HARQ-ACK transmitted on FDD carrier (See </w:t>
      </w:r>
      <w:r w:rsidR="002A353D" w:rsidRPr="002A353D">
        <w:rPr>
          <w:sz w:val="20"/>
          <w:szCs w:val="20"/>
          <w:lang w:val="en-GB"/>
        </w:rPr>
        <w:fldChar w:fldCharType="begin"/>
      </w:r>
      <w:r w:rsidR="002A353D" w:rsidRPr="002A353D">
        <w:rPr>
          <w:sz w:val="20"/>
          <w:szCs w:val="20"/>
          <w:lang w:val="en-GB"/>
        </w:rPr>
        <w:instrText xml:space="preserve"> REF _Ref197591173 \h </w:instrText>
      </w:r>
      <w:r w:rsidR="002A353D">
        <w:rPr>
          <w:sz w:val="20"/>
          <w:szCs w:val="20"/>
          <w:lang w:val="en-GB"/>
        </w:rPr>
        <w:instrText xml:space="preserve"> \* MERGEFORMAT </w:instrText>
      </w:r>
      <w:r w:rsidR="002A353D" w:rsidRPr="002A353D">
        <w:rPr>
          <w:sz w:val="20"/>
          <w:szCs w:val="20"/>
          <w:lang w:val="en-GB"/>
        </w:rPr>
      </w:r>
      <w:r w:rsidR="002A353D" w:rsidRPr="002A353D">
        <w:rPr>
          <w:sz w:val="20"/>
          <w:szCs w:val="20"/>
          <w:lang w:val="en-GB"/>
        </w:rPr>
        <w:fldChar w:fldCharType="separate"/>
      </w:r>
      <w:r w:rsidR="003F6D04" w:rsidRPr="003F6D04">
        <w:rPr>
          <w:sz w:val="20"/>
          <w:szCs w:val="20"/>
        </w:rPr>
        <w:t xml:space="preserve">Figure </w:t>
      </w:r>
      <w:r w:rsidR="003F6D04" w:rsidRPr="003F6D04">
        <w:rPr>
          <w:noProof/>
          <w:sz w:val="20"/>
          <w:szCs w:val="20"/>
        </w:rPr>
        <w:t>1</w:t>
      </w:r>
      <w:r w:rsidR="002A353D" w:rsidRPr="002A353D">
        <w:rPr>
          <w:sz w:val="20"/>
          <w:szCs w:val="20"/>
          <w:lang w:val="en-GB"/>
        </w:rPr>
        <w:fldChar w:fldCharType="end"/>
      </w:r>
      <w:r w:rsidR="001631EA" w:rsidRPr="002A353D">
        <w:rPr>
          <w:sz w:val="20"/>
          <w:szCs w:val="20"/>
          <w:lang w:val="en-GB"/>
        </w:rPr>
        <w:t>)</w:t>
      </w:r>
    </w:p>
    <w:p w14:paraId="5DE4017D" w14:textId="5D024E54" w:rsidR="001631EA" w:rsidRPr="002A353D" w:rsidRDefault="001631EA" w:rsidP="00920E7D">
      <w:pPr>
        <w:pStyle w:val="ListParagraph"/>
        <w:numPr>
          <w:ilvl w:val="1"/>
          <w:numId w:val="26"/>
        </w:numPr>
        <w:ind w:firstLineChars="0"/>
        <w:rPr>
          <w:sz w:val="20"/>
          <w:szCs w:val="20"/>
          <w:lang w:val="en-GB"/>
        </w:rPr>
      </w:pPr>
      <w:r w:rsidRPr="002A353D">
        <w:rPr>
          <w:sz w:val="20"/>
          <w:szCs w:val="20"/>
        </w:rPr>
        <w:t>Case 1-2: PDSCH received on FDD carrier in slot n before a carrier switch from FDD to SDL. The corresponding PUCCH with HARQ-ACK is transmitted on FDD carrier after UE performs another carrier switch from SDL to FDD (See</w:t>
      </w:r>
      <w:r w:rsidR="002A353D" w:rsidRPr="002A353D">
        <w:rPr>
          <w:sz w:val="20"/>
          <w:szCs w:val="20"/>
        </w:rPr>
        <w:t xml:space="preserve"> </w:t>
      </w:r>
      <w:r w:rsidR="002A353D" w:rsidRPr="002A353D">
        <w:rPr>
          <w:sz w:val="20"/>
          <w:szCs w:val="20"/>
        </w:rPr>
        <w:fldChar w:fldCharType="begin"/>
      </w:r>
      <w:r w:rsidR="002A353D" w:rsidRPr="002A353D">
        <w:rPr>
          <w:sz w:val="20"/>
          <w:szCs w:val="20"/>
        </w:rPr>
        <w:instrText xml:space="preserve"> REF _Ref197591184 \h </w:instrText>
      </w:r>
      <w:r w:rsidR="002A353D">
        <w:rPr>
          <w:sz w:val="20"/>
          <w:szCs w:val="20"/>
        </w:rPr>
        <w:instrText xml:space="preserve"> \* MERGEFORMAT </w:instrText>
      </w:r>
      <w:r w:rsidR="002A353D" w:rsidRPr="002A353D">
        <w:rPr>
          <w:sz w:val="20"/>
          <w:szCs w:val="20"/>
        </w:rPr>
      </w:r>
      <w:r w:rsidR="002A353D" w:rsidRPr="002A353D">
        <w:rPr>
          <w:sz w:val="20"/>
          <w:szCs w:val="20"/>
        </w:rPr>
        <w:fldChar w:fldCharType="separate"/>
      </w:r>
      <w:r w:rsidR="003F6D04" w:rsidRPr="003F6D04">
        <w:rPr>
          <w:sz w:val="20"/>
          <w:szCs w:val="20"/>
        </w:rPr>
        <w:t xml:space="preserve">Figure </w:t>
      </w:r>
      <w:r w:rsidR="003F6D04" w:rsidRPr="003F6D04">
        <w:rPr>
          <w:noProof/>
          <w:sz w:val="20"/>
          <w:szCs w:val="20"/>
        </w:rPr>
        <w:t>2</w:t>
      </w:r>
      <w:r w:rsidR="002A353D" w:rsidRPr="002A353D">
        <w:rPr>
          <w:sz w:val="20"/>
          <w:szCs w:val="20"/>
        </w:rPr>
        <w:fldChar w:fldCharType="end"/>
      </w:r>
      <w:r w:rsidRPr="002A353D">
        <w:rPr>
          <w:sz w:val="20"/>
          <w:szCs w:val="20"/>
        </w:rPr>
        <w:t>)</w:t>
      </w:r>
    </w:p>
    <w:p w14:paraId="54BFE674" w14:textId="1FC74DEE" w:rsidR="004C3C3B" w:rsidRPr="002A353D" w:rsidRDefault="004C3C3B" w:rsidP="00920E7D">
      <w:pPr>
        <w:pStyle w:val="ListParagraph"/>
        <w:numPr>
          <w:ilvl w:val="0"/>
          <w:numId w:val="26"/>
        </w:numPr>
        <w:ind w:firstLineChars="0"/>
        <w:rPr>
          <w:sz w:val="20"/>
          <w:szCs w:val="20"/>
          <w:lang w:val="en-GB"/>
        </w:rPr>
      </w:pPr>
      <w:r w:rsidRPr="002A353D">
        <w:rPr>
          <w:sz w:val="20"/>
          <w:szCs w:val="20"/>
          <w:lang w:val="en-GB"/>
        </w:rPr>
        <w:t>Case 2: PDCCH reception schedules a PUSCH transmission</w:t>
      </w:r>
      <w:r w:rsidR="001631EA" w:rsidRPr="002A353D">
        <w:rPr>
          <w:sz w:val="20"/>
          <w:szCs w:val="20"/>
          <w:lang w:val="en-GB"/>
        </w:rPr>
        <w:t xml:space="preserve"> (See</w:t>
      </w:r>
      <w:r w:rsidR="002A353D" w:rsidRPr="002A353D">
        <w:rPr>
          <w:sz w:val="20"/>
          <w:szCs w:val="20"/>
          <w:lang w:val="en-GB"/>
        </w:rPr>
        <w:t xml:space="preserve"> </w:t>
      </w:r>
      <w:r w:rsidR="002A353D" w:rsidRPr="002A353D">
        <w:rPr>
          <w:sz w:val="20"/>
          <w:szCs w:val="20"/>
          <w:lang w:val="en-GB"/>
        </w:rPr>
        <w:fldChar w:fldCharType="begin"/>
      </w:r>
      <w:r w:rsidR="002A353D" w:rsidRPr="002A353D">
        <w:rPr>
          <w:sz w:val="20"/>
          <w:szCs w:val="20"/>
          <w:lang w:val="en-GB"/>
        </w:rPr>
        <w:instrText xml:space="preserve"> REF _Ref197591194 \h </w:instrText>
      </w:r>
      <w:r w:rsidR="002A353D">
        <w:rPr>
          <w:sz w:val="20"/>
          <w:szCs w:val="20"/>
          <w:lang w:val="en-GB"/>
        </w:rPr>
        <w:instrText xml:space="preserve"> \* MERGEFORMAT </w:instrText>
      </w:r>
      <w:r w:rsidR="002A353D" w:rsidRPr="002A353D">
        <w:rPr>
          <w:sz w:val="20"/>
          <w:szCs w:val="20"/>
          <w:lang w:val="en-GB"/>
        </w:rPr>
      </w:r>
      <w:r w:rsidR="002A353D" w:rsidRPr="002A353D">
        <w:rPr>
          <w:sz w:val="20"/>
          <w:szCs w:val="20"/>
          <w:lang w:val="en-GB"/>
        </w:rPr>
        <w:fldChar w:fldCharType="separate"/>
      </w:r>
      <w:r w:rsidR="003F6D04" w:rsidRPr="003F6D04">
        <w:rPr>
          <w:sz w:val="20"/>
          <w:szCs w:val="20"/>
        </w:rPr>
        <w:t xml:space="preserve">Figure </w:t>
      </w:r>
      <w:r w:rsidR="003F6D04" w:rsidRPr="003F6D04">
        <w:rPr>
          <w:noProof/>
          <w:sz w:val="20"/>
          <w:szCs w:val="20"/>
        </w:rPr>
        <w:t>3</w:t>
      </w:r>
      <w:r w:rsidR="002A353D" w:rsidRPr="002A353D">
        <w:rPr>
          <w:sz w:val="20"/>
          <w:szCs w:val="20"/>
          <w:lang w:val="en-GB"/>
        </w:rPr>
        <w:fldChar w:fldCharType="end"/>
      </w:r>
      <w:r w:rsidR="001631EA" w:rsidRPr="002A353D">
        <w:rPr>
          <w:sz w:val="20"/>
          <w:szCs w:val="20"/>
          <w:lang w:val="en-GB"/>
        </w:rPr>
        <w:t>)</w:t>
      </w:r>
    </w:p>
    <w:p w14:paraId="21E227C9" w14:textId="60AFC5FA" w:rsidR="00950759" w:rsidRPr="002A353D" w:rsidRDefault="00950759" w:rsidP="00920E7D">
      <w:pPr>
        <w:pStyle w:val="ListParagraph"/>
        <w:numPr>
          <w:ilvl w:val="0"/>
          <w:numId w:val="26"/>
        </w:numPr>
        <w:ind w:firstLineChars="0"/>
        <w:rPr>
          <w:sz w:val="20"/>
          <w:szCs w:val="20"/>
          <w:lang w:val="en-GB"/>
        </w:rPr>
      </w:pPr>
      <w:r w:rsidRPr="002A353D">
        <w:rPr>
          <w:sz w:val="20"/>
          <w:szCs w:val="20"/>
          <w:lang w:val="en-GB"/>
        </w:rPr>
        <w:t xml:space="preserve">Case </w:t>
      </w:r>
      <w:r w:rsidR="00E12172" w:rsidRPr="002A353D">
        <w:rPr>
          <w:sz w:val="20"/>
          <w:szCs w:val="20"/>
          <w:lang w:val="en-GB"/>
        </w:rPr>
        <w:t>3</w:t>
      </w:r>
      <w:r w:rsidRPr="002A353D">
        <w:rPr>
          <w:sz w:val="20"/>
          <w:szCs w:val="20"/>
          <w:lang w:val="en-GB"/>
        </w:rPr>
        <w:t>: A PDCCH reception indicates SRS transmission</w:t>
      </w:r>
    </w:p>
    <w:p w14:paraId="6601FA8E" w14:textId="204C64B6" w:rsidR="004C3C3B" w:rsidRPr="002A353D" w:rsidRDefault="004C3C3B" w:rsidP="00920E7D">
      <w:pPr>
        <w:pStyle w:val="ListParagraph"/>
        <w:numPr>
          <w:ilvl w:val="0"/>
          <w:numId w:val="26"/>
        </w:numPr>
        <w:ind w:firstLineChars="0"/>
        <w:rPr>
          <w:sz w:val="20"/>
          <w:szCs w:val="20"/>
          <w:lang w:val="en-GB"/>
        </w:rPr>
      </w:pPr>
      <w:r w:rsidRPr="002A353D">
        <w:rPr>
          <w:sz w:val="20"/>
          <w:szCs w:val="20"/>
          <w:lang w:val="en-GB"/>
        </w:rPr>
        <w:t xml:space="preserve">Case </w:t>
      </w:r>
      <w:r w:rsidR="00E12172" w:rsidRPr="002A353D">
        <w:rPr>
          <w:sz w:val="20"/>
          <w:szCs w:val="20"/>
          <w:lang w:val="en-GB"/>
        </w:rPr>
        <w:t>4</w:t>
      </w:r>
      <w:r w:rsidRPr="002A353D">
        <w:rPr>
          <w:sz w:val="20"/>
          <w:szCs w:val="20"/>
          <w:lang w:val="en-GB"/>
        </w:rPr>
        <w:t>: A RAR schedules a PUSCH transmission</w:t>
      </w:r>
    </w:p>
    <w:p w14:paraId="49F82186" w14:textId="77777777" w:rsidR="007376D2" w:rsidRDefault="007376D2" w:rsidP="007376D2">
      <w:pPr>
        <w:rPr>
          <w:lang w:val="en-GB"/>
        </w:rPr>
      </w:pPr>
    </w:p>
    <w:p w14:paraId="7AE6B23E" w14:textId="77777777" w:rsidR="007376D2" w:rsidRDefault="007376D2" w:rsidP="007376D2">
      <w:pPr>
        <w:rPr>
          <w:lang w:val="en-GB"/>
        </w:rPr>
      </w:pPr>
      <w:r>
        <w:rPr>
          <w:lang w:val="en-GB"/>
        </w:rPr>
        <w:t xml:space="preserve">If we formulate the identified issue to be more generic, it is stated as: </w:t>
      </w:r>
    </w:p>
    <w:p w14:paraId="356D442C" w14:textId="512BB30E" w:rsidR="007376D2" w:rsidRPr="00361C4E" w:rsidRDefault="007376D2" w:rsidP="00920E7D">
      <w:pPr>
        <w:pStyle w:val="ListParagraph"/>
        <w:numPr>
          <w:ilvl w:val="0"/>
          <w:numId w:val="27"/>
        </w:numPr>
        <w:ind w:firstLineChars="0"/>
        <w:rPr>
          <w:sz w:val="20"/>
          <w:szCs w:val="20"/>
        </w:rPr>
      </w:pPr>
      <w:r w:rsidRPr="00361C4E">
        <w:rPr>
          <w:sz w:val="20"/>
          <w:szCs w:val="20"/>
          <w:lang w:val="en-GB"/>
        </w:rPr>
        <w:t>Is additional UE processing time required if there are X1 SDL-&gt;FDD switch(es) and X2 FDD-&gt;SDL switch(e</w:t>
      </w:r>
      <w:r w:rsidRPr="00361C4E">
        <w:rPr>
          <w:rFonts w:eastAsiaTheme="minorEastAsia"/>
          <w:sz w:val="20"/>
          <w:szCs w:val="20"/>
          <w:lang w:eastAsia="zh-TW"/>
        </w:rPr>
        <w:t>s) between the received PDSCH/PDCCH and the corresponding uplink transmission PUCCH/PUSCH/SRS?</w:t>
      </w:r>
    </w:p>
    <w:p w14:paraId="177EA4C6" w14:textId="77777777" w:rsidR="007376D2" w:rsidRPr="007376D2" w:rsidRDefault="007376D2" w:rsidP="007376D2">
      <w:pPr>
        <w:pStyle w:val="ListParagraph"/>
        <w:ind w:left="720" w:firstLineChars="0" w:firstLine="0"/>
      </w:pPr>
    </w:p>
    <w:p w14:paraId="2656DF87" w14:textId="509E0B0A" w:rsidR="007376D2" w:rsidRDefault="007376D2" w:rsidP="007376D2">
      <w:pPr>
        <w:rPr>
          <w:lang w:val="en-GB"/>
        </w:rPr>
      </w:pPr>
      <w:r>
        <w:rPr>
          <w:lang w:val="en-GB"/>
        </w:rPr>
        <w:t>In UL Tx switching, additional processing time T</w:t>
      </w:r>
      <w:r w:rsidRPr="007376D2">
        <w:rPr>
          <w:vertAlign w:val="subscript"/>
          <w:lang w:val="en-GB"/>
        </w:rPr>
        <w:t>switch</w:t>
      </w:r>
      <w:r>
        <w:rPr>
          <w:lang w:val="en-GB"/>
        </w:rPr>
        <w:t xml:space="preserve"> has been introduced because all identified cases require uplink transmission path to be ready. For this WI, though it seems the uplink transmission path for the FDD carrier is not involved with switching and can be ready anytime, it does not. The reason is that at least some </w:t>
      </w:r>
      <w:r w:rsidR="006E0282">
        <w:rPr>
          <w:lang w:val="en-GB"/>
        </w:rPr>
        <w:t xml:space="preserve">front-end components, </w:t>
      </w:r>
      <w:r w:rsidR="00593E2E">
        <w:rPr>
          <w:lang w:val="en-GB"/>
        </w:rPr>
        <w:t>e.g.,</w:t>
      </w:r>
      <w:r w:rsidR="006E0282">
        <w:rPr>
          <w:lang w:val="en-GB"/>
        </w:rPr>
        <w:t xml:space="preserve"> </w:t>
      </w:r>
      <w:r>
        <w:rPr>
          <w:lang w:val="en-GB"/>
        </w:rPr>
        <w:t>antenna</w:t>
      </w:r>
      <w:r w:rsidR="006E0282">
        <w:rPr>
          <w:lang w:val="en-GB"/>
        </w:rPr>
        <w:t>s</w:t>
      </w:r>
      <w:r>
        <w:rPr>
          <w:lang w:val="en-GB"/>
        </w:rPr>
        <w:t xml:space="preserve"> and </w:t>
      </w:r>
      <w:r w:rsidR="006E0282">
        <w:rPr>
          <w:lang w:val="en-GB"/>
        </w:rPr>
        <w:t xml:space="preserve">some </w:t>
      </w:r>
      <w:r>
        <w:rPr>
          <w:lang w:val="en-GB"/>
        </w:rPr>
        <w:t>RF components</w:t>
      </w:r>
      <w:r w:rsidR="006E0282">
        <w:rPr>
          <w:lang w:val="en-GB"/>
        </w:rPr>
        <w:t>,</w:t>
      </w:r>
      <w:r>
        <w:rPr>
          <w:lang w:val="en-GB"/>
        </w:rPr>
        <w:t xml:space="preserve"> are shared between the reception path and transmission path. The transmission path is hence not ready before the RF retuning is complete. </w:t>
      </w:r>
    </w:p>
    <w:p w14:paraId="3C10DFDA" w14:textId="5703091B" w:rsidR="007376D2" w:rsidRDefault="007376D2" w:rsidP="007376D2">
      <w:pPr>
        <w:pStyle w:val="Caption"/>
        <w:rPr>
          <w:lang w:val="en-GB"/>
        </w:rPr>
      </w:pPr>
      <w:bookmarkStart w:id="35" w:name="_Ref197744680"/>
      <w:r>
        <w:t xml:space="preserve">Observation </w:t>
      </w:r>
      <w:fldSimple w:instr=" SEQ Observation \* ARABIC ">
        <w:r w:rsidR="003F6D04">
          <w:rPr>
            <w:noProof/>
          </w:rPr>
          <w:t>15</w:t>
        </w:r>
      </w:fldSimple>
      <w:r>
        <w:t xml:space="preserve">: Some </w:t>
      </w:r>
      <w:r w:rsidR="006E0282">
        <w:t>front-end</w:t>
      </w:r>
      <w:r>
        <w:t xml:space="preserve"> components are shared for uplink transmission path and downlink reception path. Therefore, When SDL-&gt;FDD switch is performed, the transmission path for FDD uplink carrier is not ready before the RF retuning is complete.</w:t>
      </w:r>
      <w:bookmarkEnd w:id="35"/>
      <w:r>
        <w:t xml:space="preserve"> </w:t>
      </w:r>
    </w:p>
    <w:p w14:paraId="3A7AD76E" w14:textId="12F445D2" w:rsidR="007376D2" w:rsidRPr="007376D2" w:rsidRDefault="007376D2" w:rsidP="007376D2"/>
    <w:p w14:paraId="184257FD" w14:textId="7F721232" w:rsidR="004C3C3B" w:rsidRPr="007F2B44" w:rsidRDefault="00343554" w:rsidP="004C3C3B">
      <w:r>
        <w:object w:dxaOrig="14560" w:dyaOrig="4950" w14:anchorId="7CAB4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64pt" o:ole="">
            <v:imagedata r:id="rId11" o:title=""/>
          </v:shape>
          <o:OLEObject Type="Embed" ProgID="Visio.Drawing.15" ShapeID="_x0000_i1025" DrawAspect="Content" ObjectID="_1808359085" r:id="rId12"/>
        </w:object>
      </w:r>
    </w:p>
    <w:p w14:paraId="44364559" w14:textId="42C38C4A" w:rsidR="004C3C3B" w:rsidRDefault="004C3C3B" w:rsidP="004C3C3B">
      <w:pPr>
        <w:pStyle w:val="Caption"/>
      </w:pPr>
      <w:bookmarkStart w:id="36" w:name="_Ref197591173"/>
      <w:r>
        <w:t xml:space="preserve">Figure </w:t>
      </w:r>
      <w:fldSimple w:instr=" SEQ Figure \* ARABIC ">
        <w:r w:rsidR="003F6D04">
          <w:rPr>
            <w:noProof/>
          </w:rPr>
          <w:t>1</w:t>
        </w:r>
      </w:fldSimple>
      <w:bookmarkEnd w:id="36"/>
      <w:r>
        <w:t>:</w:t>
      </w:r>
      <w:r w:rsidRPr="00464DCF">
        <w:t xml:space="preserve"> PDSCH received in slot n on SDL with DCI scheduling a HARQ-ACK response on PUCCH in slot n+K1 on FDD carrier assuming X</w:t>
      </w:r>
      <w:r w:rsidR="00361C4E">
        <w:t>1</w:t>
      </w:r>
      <w:r w:rsidRPr="00464DCF">
        <w:t xml:space="preserve"> </w:t>
      </w:r>
      <w:r w:rsidR="00361C4E">
        <w:t xml:space="preserve">SDL-&gt;FDD </w:t>
      </w:r>
      <w:r w:rsidRPr="00464DCF">
        <w:t>switch</w:t>
      </w:r>
      <w:r w:rsidR="00361C4E">
        <w:t>(</w:t>
      </w:r>
      <w:r w:rsidRPr="00464DCF">
        <w:t>es</w:t>
      </w:r>
      <w:r w:rsidR="00361C4E">
        <w:t>)</w:t>
      </w:r>
      <w:r w:rsidRPr="00464DCF">
        <w:t xml:space="preserve"> between the received PDSCH and the scheduled PUCCH</w:t>
      </w:r>
      <w:r>
        <w:t xml:space="preserve"> with K1=1 and X</w:t>
      </w:r>
      <w:r w:rsidR="00361C4E">
        <w:t>1</w:t>
      </w:r>
      <w:r>
        <w:t xml:space="preserve">=1 in the illustrated example. </w:t>
      </w:r>
    </w:p>
    <w:p w14:paraId="710F4943" w14:textId="77777777" w:rsidR="004C3C3B" w:rsidRDefault="004C3C3B" w:rsidP="004C3C3B"/>
    <w:p w14:paraId="14EBC720" w14:textId="130001D7" w:rsidR="004C3C3B" w:rsidRDefault="00A335A1" w:rsidP="004C3C3B">
      <w:r>
        <w:object w:dxaOrig="15291" w:dyaOrig="4891" w14:anchorId="5B01C0EC">
          <v:shape id="_x0000_i1026" type="#_x0000_t75" style="width:481.55pt;height:154pt" o:ole="">
            <v:imagedata r:id="rId13" o:title=""/>
          </v:shape>
          <o:OLEObject Type="Embed" ProgID="Visio.Drawing.15" ShapeID="_x0000_i1026" DrawAspect="Content" ObjectID="_1808359086" r:id="rId14"/>
        </w:object>
      </w:r>
    </w:p>
    <w:p w14:paraId="3442DEEF" w14:textId="354DB666" w:rsidR="004C3C3B" w:rsidRDefault="004C3C3B" w:rsidP="004C3C3B">
      <w:pPr>
        <w:pStyle w:val="Caption"/>
      </w:pPr>
      <w:bookmarkStart w:id="37" w:name="_Ref197591184"/>
      <w:r>
        <w:t xml:space="preserve">Figure </w:t>
      </w:r>
      <w:fldSimple w:instr=" SEQ Figure \* ARABIC ">
        <w:r w:rsidR="003F6D04">
          <w:rPr>
            <w:noProof/>
          </w:rPr>
          <w:t>2</w:t>
        </w:r>
      </w:fldSimple>
      <w:bookmarkEnd w:id="37"/>
      <w:r>
        <w:t xml:space="preserve">: </w:t>
      </w:r>
      <w:r w:rsidRPr="00F43CFF">
        <w:t>PDSCH received in slot n on FDD carrier with HARQ-ACK response on PUCCH scheduled on slot n+K1 on FDD carrier assuming X</w:t>
      </w:r>
      <w:r w:rsidR="00DE3697">
        <w:t>1</w:t>
      </w:r>
      <w:r w:rsidRPr="00F43CFF">
        <w:t xml:space="preserve"> </w:t>
      </w:r>
      <w:r w:rsidR="00DE3697">
        <w:t xml:space="preserve">SDL-&gt;FDD </w:t>
      </w:r>
      <w:r w:rsidRPr="00F43CFF">
        <w:t>switch</w:t>
      </w:r>
      <w:r w:rsidR="00DE3697">
        <w:t>(</w:t>
      </w:r>
      <w:r w:rsidRPr="00F43CFF">
        <w:t>es</w:t>
      </w:r>
      <w:r w:rsidR="00DE3697">
        <w:t>)</w:t>
      </w:r>
      <w:r w:rsidRPr="00F43CFF">
        <w:t xml:space="preserve"> </w:t>
      </w:r>
      <w:r w:rsidR="00DE3697">
        <w:t xml:space="preserve">and X2 FDD-&gt;SDL switch(es) </w:t>
      </w:r>
      <w:r w:rsidRPr="00F43CFF">
        <w:t>between the received PDSCH and the scheduled PUCCH</w:t>
      </w:r>
      <w:r w:rsidR="00CB01BC">
        <w:t xml:space="preserve">, with </w:t>
      </w:r>
      <w:r w:rsidR="00A335A1">
        <w:t xml:space="preserve">K1=2 and </w:t>
      </w:r>
      <w:r w:rsidR="00CB01BC">
        <w:t>X1=X2=1</w:t>
      </w:r>
      <w:r w:rsidR="00DE3697">
        <w:t xml:space="preserve"> </w:t>
      </w:r>
      <w:r w:rsidR="00CB01BC">
        <w:t>i</w:t>
      </w:r>
      <w:r w:rsidR="00DE3697">
        <w:t xml:space="preserve">n the illustrated example. </w:t>
      </w:r>
    </w:p>
    <w:p w14:paraId="046F352B" w14:textId="77777777" w:rsidR="004C3C3B" w:rsidRPr="00F43CFF" w:rsidRDefault="004C3C3B" w:rsidP="004C3C3B"/>
    <w:p w14:paraId="39576AE5" w14:textId="39675F09" w:rsidR="004C3C3B" w:rsidRDefault="00343554" w:rsidP="004C3C3B">
      <w:pPr>
        <w:rPr>
          <w:lang w:eastAsia="zh-TW"/>
        </w:rPr>
      </w:pPr>
      <w:r>
        <w:object w:dxaOrig="15291" w:dyaOrig="5131" w14:anchorId="088E771A">
          <v:shape id="_x0000_i1027" type="#_x0000_t75" style="width:481.55pt;height:161.5pt" o:ole="">
            <v:imagedata r:id="rId15" o:title=""/>
          </v:shape>
          <o:OLEObject Type="Embed" ProgID="Visio.Drawing.15" ShapeID="_x0000_i1027" DrawAspect="Content" ObjectID="_1808359087" r:id="rId16"/>
        </w:object>
      </w:r>
    </w:p>
    <w:p w14:paraId="69AC967A" w14:textId="3CCE3317" w:rsidR="004C3C3B" w:rsidRDefault="004C3C3B" w:rsidP="004C3C3B">
      <w:pPr>
        <w:pStyle w:val="Caption"/>
      </w:pPr>
      <w:bookmarkStart w:id="38" w:name="_Ref197591194"/>
      <w:r>
        <w:t xml:space="preserve">Figure </w:t>
      </w:r>
      <w:fldSimple w:instr=" SEQ Figure \* ARABIC ">
        <w:r w:rsidR="003F6D04">
          <w:rPr>
            <w:noProof/>
          </w:rPr>
          <w:t>3</w:t>
        </w:r>
      </w:fldSimple>
      <w:bookmarkEnd w:id="38"/>
      <w:r>
        <w:t xml:space="preserve">: </w:t>
      </w:r>
      <w:r w:rsidRPr="00F613DC">
        <w:t xml:space="preserve">PDCCH received </w:t>
      </w:r>
      <w:r>
        <w:t xml:space="preserve">on FDD Carrier 1 </w:t>
      </w:r>
      <w:r w:rsidRPr="00F613DC">
        <w:t xml:space="preserve">in slot n with DCI scheduling an uplink grant for PUSCH transmission </w:t>
      </w:r>
      <w:r>
        <w:t xml:space="preserve">on FDD Carrier 1 </w:t>
      </w:r>
      <w:r w:rsidRPr="00F613DC">
        <w:t>in slot n+K2 assuming X</w:t>
      </w:r>
      <w:r w:rsidR="00296A2C">
        <w:t>1</w:t>
      </w:r>
      <w:r w:rsidRPr="00F613DC">
        <w:t xml:space="preserve"> </w:t>
      </w:r>
      <w:r w:rsidR="00296A2C">
        <w:t xml:space="preserve">SDL-&gt;FDD </w:t>
      </w:r>
      <w:r w:rsidRPr="00F613DC">
        <w:t>switch</w:t>
      </w:r>
      <w:r w:rsidR="00296A2C">
        <w:t>(</w:t>
      </w:r>
      <w:r w:rsidRPr="00F613DC">
        <w:t>es</w:t>
      </w:r>
      <w:r w:rsidR="00296A2C">
        <w:t>) and X2 FDD-&gt;SDL switch(es)</w:t>
      </w:r>
      <w:r w:rsidRPr="00F613DC">
        <w:t xml:space="preserve"> between the scheduling PDCCH and the scheduled PUSCH</w:t>
      </w:r>
      <w:r>
        <w:t xml:space="preserve"> with K2=2 and </w:t>
      </w:r>
      <w:r w:rsidR="00B0008B">
        <w:t>X1=</w:t>
      </w:r>
      <w:r>
        <w:t>X2=</w:t>
      </w:r>
      <w:r w:rsidR="00B0008B">
        <w:t>1</w:t>
      </w:r>
      <w:r>
        <w:t xml:space="preserve"> in the illustrated example. </w:t>
      </w:r>
    </w:p>
    <w:p w14:paraId="1D15A482" w14:textId="77777777" w:rsidR="004C3C3B" w:rsidRDefault="004C3C3B" w:rsidP="004C3C3B">
      <w:pPr>
        <w:rPr>
          <w:lang w:eastAsia="zh-TW"/>
        </w:rPr>
      </w:pPr>
    </w:p>
    <w:p w14:paraId="3DC1B908" w14:textId="77777777" w:rsidR="00B230DA" w:rsidRDefault="00B230DA" w:rsidP="004C3C3B">
      <w:pPr>
        <w:rPr>
          <w:lang w:eastAsia="zh-TW"/>
        </w:rPr>
      </w:pPr>
      <w:r>
        <w:rPr>
          <w:lang w:eastAsia="zh-TW"/>
        </w:rPr>
        <w:t xml:space="preserve">For Case 4, we think once UE has triggered a RACH procedure on the FDD carrier, UE should stay on the FDD carrier until the RACH procedure is completed. For Cases 1 to 3, we understand that these cases can occur even with self-scheduling. Due to the mentioned reason that the uplink transmission path is not ready before RF retuning is completely done, we think additional processing is needed for Cases 1, 2, and 3 for X1&gt;0 (SDL-&gt;FDD switch) and/or X2&gt;0 (FDD-&gt;SDL switch). However, to avoid complicated discussion for extreme cases, we think we can limit X1=1 and/or X2=1. </w:t>
      </w:r>
    </w:p>
    <w:p w14:paraId="1FD16553" w14:textId="3BDD0E8A" w:rsidR="00B230DA" w:rsidRDefault="00B230DA" w:rsidP="00B230DA">
      <w:pPr>
        <w:pStyle w:val="Caption"/>
      </w:pPr>
      <w:bookmarkStart w:id="39" w:name="_Ref197744881"/>
      <w:r>
        <w:t xml:space="preserve">Proposal </w:t>
      </w:r>
      <w:fldSimple w:instr=" SEQ Proposal \* ARABIC ">
        <w:r w:rsidR="003F6D04">
          <w:rPr>
            <w:noProof/>
          </w:rPr>
          <w:t>13</w:t>
        </w:r>
      </w:fldSimple>
      <w:r>
        <w:t xml:space="preserve">: For low-band carrier aggregation via switching, </w:t>
      </w:r>
      <w:r w:rsidR="00B902B4">
        <w:t>w</w:t>
      </w:r>
      <w:r w:rsidR="00B902B4" w:rsidRPr="00B902B4">
        <w:t>hen there is at least a carrier switch between the received downlink PDCCH/PDSCH and the corresponding uplink transmission PUCCH/PUSCH/SRS,</w:t>
      </w:r>
      <w:bookmarkEnd w:id="39"/>
    </w:p>
    <w:p w14:paraId="542CC55A" w14:textId="528FC739" w:rsidR="00B230DA" w:rsidRDefault="00B230DA" w:rsidP="00920E7D">
      <w:pPr>
        <w:pStyle w:val="Caption"/>
        <w:numPr>
          <w:ilvl w:val="0"/>
          <w:numId w:val="27"/>
        </w:numPr>
        <w:rPr>
          <w:lang w:eastAsia="zh-TW"/>
        </w:rPr>
      </w:pPr>
      <w:r>
        <w:t>introduce additional processing time for UE in the following cases</w:t>
      </w:r>
      <w:r w:rsidR="00B902B4">
        <w:t>:</w:t>
      </w:r>
      <w:r w:rsidR="00260B12">
        <w:t xml:space="preserve"> </w:t>
      </w:r>
    </w:p>
    <w:p w14:paraId="611C9817" w14:textId="32EEE2F1" w:rsidR="00B230DA" w:rsidRDefault="00B230DA" w:rsidP="00920E7D">
      <w:pPr>
        <w:pStyle w:val="Caption"/>
        <w:numPr>
          <w:ilvl w:val="1"/>
          <w:numId w:val="27"/>
        </w:numPr>
      </w:pPr>
      <w:r>
        <w:t>Case 1: A PUCCH transmission with HARQ-ACK for a PDSCH</w:t>
      </w:r>
    </w:p>
    <w:p w14:paraId="32085A81" w14:textId="2A303B22" w:rsidR="00B230DA" w:rsidRDefault="00B230DA" w:rsidP="00920E7D">
      <w:pPr>
        <w:pStyle w:val="Caption"/>
        <w:numPr>
          <w:ilvl w:val="1"/>
          <w:numId w:val="27"/>
        </w:numPr>
      </w:pPr>
      <w:r>
        <w:t>Case 2: PDCCH reception schedules a PUSCH transmission</w:t>
      </w:r>
    </w:p>
    <w:p w14:paraId="11303ECD" w14:textId="77777777" w:rsidR="00B230DA" w:rsidRDefault="00B230DA" w:rsidP="00920E7D">
      <w:pPr>
        <w:pStyle w:val="Caption"/>
        <w:numPr>
          <w:ilvl w:val="1"/>
          <w:numId w:val="27"/>
        </w:numPr>
        <w:rPr>
          <w:lang w:eastAsia="zh-TW"/>
        </w:rPr>
      </w:pPr>
      <w:r>
        <w:t>Case 3: A PDCCH reception indicates SRS transmission</w:t>
      </w:r>
    </w:p>
    <w:p w14:paraId="5DC860AF" w14:textId="77777777" w:rsidR="00B902B4" w:rsidRDefault="00B902B4" w:rsidP="00920E7D">
      <w:pPr>
        <w:pStyle w:val="Caption"/>
        <w:numPr>
          <w:ilvl w:val="0"/>
          <w:numId w:val="27"/>
        </w:numPr>
        <w:rPr>
          <w:lang w:eastAsia="zh-TW"/>
        </w:rPr>
      </w:pPr>
      <w:r>
        <w:t xml:space="preserve">The additional processing required for a UE is the switching period, 35us or 140us, indicated by the UE.  </w:t>
      </w:r>
    </w:p>
    <w:p w14:paraId="73A9CEEA" w14:textId="7EC0BE90" w:rsidR="00B230DA" w:rsidRDefault="00B230DA" w:rsidP="00920E7D">
      <w:pPr>
        <w:pStyle w:val="Caption"/>
        <w:numPr>
          <w:ilvl w:val="0"/>
          <w:numId w:val="27"/>
        </w:numPr>
        <w:rPr>
          <w:lang w:eastAsia="zh-TW"/>
        </w:rPr>
      </w:pPr>
      <w:r>
        <w:t>UE does not expect</w:t>
      </w:r>
      <w:r w:rsidR="00C730F9">
        <w:t xml:space="preserve"> to have</w:t>
      </w:r>
      <w:r>
        <w:t xml:space="preserve"> more than one SDL-&gt;FDD switch </w:t>
      </w:r>
      <w:r w:rsidR="00C730F9">
        <w:t>or</w:t>
      </w:r>
      <w:r>
        <w:t xml:space="preserve"> more than one FDD-&gt;SDL switch between the received downlink PDCCH/PDSCH and the corresponding uplink transmission (PUCCH/PUSCH/SRS).   </w:t>
      </w:r>
      <w:r>
        <w:rPr>
          <w:lang w:eastAsia="zh-TW"/>
        </w:rPr>
        <w:t xml:space="preserve">  </w:t>
      </w:r>
    </w:p>
    <w:p w14:paraId="6254CF10" w14:textId="77777777" w:rsidR="004C3C3B" w:rsidRPr="00BA6CEB" w:rsidRDefault="004C3C3B" w:rsidP="004C3C3B">
      <w:pPr>
        <w:rPr>
          <w:rFonts w:eastAsiaTheme="minorEastAsia"/>
          <w:lang w:eastAsia="zh-TW"/>
        </w:rPr>
      </w:pPr>
    </w:p>
    <w:p w14:paraId="20FF9D74" w14:textId="77777777" w:rsidR="00A2132C" w:rsidRDefault="00A2132C" w:rsidP="00A2132C">
      <w:pPr>
        <w:pStyle w:val="Heading1"/>
        <w:jc w:val="both"/>
        <w:rPr>
          <w:lang w:val="en-US" w:eastAsia="zh-CN"/>
        </w:rPr>
      </w:pPr>
      <w:r>
        <w:rPr>
          <w:rFonts w:eastAsia="SimSun"/>
          <w:lang w:val="en-US" w:eastAsia="zh-CN"/>
        </w:rPr>
        <w:lastRenderedPageBreak/>
        <w:t xml:space="preserve">Conclusion </w:t>
      </w:r>
    </w:p>
    <w:p w14:paraId="573BCF7F" w14:textId="44FA740E" w:rsidR="00B15999" w:rsidRDefault="00B15999" w:rsidP="00B15999">
      <w:pPr>
        <w:rPr>
          <w:rFonts w:eastAsiaTheme="minorEastAsia"/>
          <w:lang w:eastAsia="zh-TW"/>
        </w:rPr>
      </w:pPr>
      <w:r>
        <w:rPr>
          <w:rFonts w:eastAsiaTheme="minorEastAsia"/>
          <w:lang w:eastAsia="zh-TW"/>
        </w:rPr>
        <w:t xml:space="preserve">We have the following </w:t>
      </w:r>
      <w:r w:rsidR="00F43994">
        <w:rPr>
          <w:rFonts w:eastAsiaTheme="minorEastAsia"/>
          <w:lang w:eastAsia="zh-TW"/>
        </w:rPr>
        <w:t>observations</w:t>
      </w:r>
      <w:r>
        <w:rPr>
          <w:rFonts w:eastAsiaTheme="minorEastAsia"/>
          <w:lang w:eastAsia="zh-TW"/>
        </w:rPr>
        <w:t xml:space="preserve"> in this contribution. </w:t>
      </w:r>
    </w:p>
    <w:p w14:paraId="3DAC03FF" w14:textId="1C08FECC" w:rsidR="00555003" w:rsidRPr="008F1E82" w:rsidRDefault="00D478F4" w:rsidP="00867C59">
      <w:pPr>
        <w:rPr>
          <w:b/>
          <w:bCs/>
        </w:rPr>
      </w:pPr>
      <w:r w:rsidRPr="008F1E82">
        <w:rPr>
          <w:b/>
          <w:bCs/>
        </w:rPr>
        <w:fldChar w:fldCharType="begin"/>
      </w:r>
      <w:r w:rsidRPr="008F1E82">
        <w:rPr>
          <w:b/>
          <w:bCs/>
        </w:rPr>
        <w:instrText xml:space="preserve"> REF _Ref197744519 \h </w:instrText>
      </w:r>
      <w:r w:rsidR="008F1E82" w:rsidRPr="008F1E82">
        <w:rPr>
          <w:b/>
          <w:bCs/>
        </w:rPr>
        <w:instrText xml:space="preserve"> \* MERGEFORMAT </w:instrText>
      </w:r>
      <w:r w:rsidRPr="008F1E82">
        <w:rPr>
          <w:b/>
          <w:bCs/>
        </w:rPr>
      </w:r>
      <w:r w:rsidRPr="008F1E82">
        <w:rPr>
          <w:b/>
          <w:bCs/>
        </w:rPr>
        <w:fldChar w:fldCharType="separate"/>
      </w:r>
      <w:r w:rsidR="003F6D04" w:rsidRPr="008F1E82">
        <w:rPr>
          <w:b/>
          <w:bCs/>
        </w:rPr>
        <w:t xml:space="preserve">Observation </w:t>
      </w:r>
      <w:r w:rsidR="003F6D04" w:rsidRPr="008F1E82">
        <w:rPr>
          <w:b/>
          <w:bCs/>
          <w:noProof/>
        </w:rPr>
        <w:t>1</w:t>
      </w:r>
      <w:r w:rsidR="003F6D04" w:rsidRPr="008F1E82">
        <w:rPr>
          <w:b/>
          <w:bCs/>
        </w:rPr>
        <w:t>: In NR, CORESET duration can be configured only up to 3 OFDM symbols. And baseline UE capability supports PDCCH monitoring only in the first 3 OFDM symbols.</w:t>
      </w:r>
      <w:r w:rsidRPr="008F1E82">
        <w:rPr>
          <w:b/>
          <w:bCs/>
        </w:rPr>
        <w:fldChar w:fldCharType="end"/>
      </w:r>
    </w:p>
    <w:p w14:paraId="7FF96F05" w14:textId="20238777" w:rsidR="00D478F4" w:rsidRPr="008F1E82" w:rsidRDefault="00D478F4" w:rsidP="00867C59">
      <w:pPr>
        <w:rPr>
          <w:b/>
          <w:bCs/>
        </w:rPr>
      </w:pPr>
      <w:r w:rsidRPr="008F1E82">
        <w:rPr>
          <w:b/>
          <w:bCs/>
        </w:rPr>
        <w:fldChar w:fldCharType="begin"/>
      </w:r>
      <w:r w:rsidRPr="008F1E82">
        <w:rPr>
          <w:b/>
          <w:bCs/>
        </w:rPr>
        <w:instrText xml:space="preserve"> REF _Ref197744525 \h </w:instrText>
      </w:r>
      <w:r w:rsidR="008F1E82" w:rsidRPr="008F1E82">
        <w:rPr>
          <w:b/>
          <w:bCs/>
        </w:rPr>
        <w:instrText xml:space="preserve"> \* MERGEFORMAT </w:instrText>
      </w:r>
      <w:r w:rsidRPr="008F1E82">
        <w:rPr>
          <w:b/>
          <w:bCs/>
        </w:rPr>
      </w:r>
      <w:r w:rsidRPr="008F1E82">
        <w:rPr>
          <w:b/>
          <w:bCs/>
        </w:rPr>
        <w:fldChar w:fldCharType="separate"/>
      </w:r>
      <w:r w:rsidR="003F6D04" w:rsidRPr="008F1E82">
        <w:rPr>
          <w:b/>
          <w:bCs/>
        </w:rPr>
        <w:t xml:space="preserve">Observation </w:t>
      </w:r>
      <w:r w:rsidR="003F6D04" w:rsidRPr="008F1E82">
        <w:rPr>
          <w:b/>
          <w:bCs/>
          <w:noProof/>
        </w:rPr>
        <w:t>2</w:t>
      </w:r>
      <w:r w:rsidR="003F6D04" w:rsidRPr="008F1E82">
        <w:rPr>
          <w:b/>
          <w:bCs/>
        </w:rPr>
        <w:t>: With 140us switching period and 10us transient period defined in RAN4, at least 2 PDCCH symbols will be jeopardized if switching gap is located at the switch-to carrier.</w:t>
      </w:r>
      <w:r w:rsidRPr="008F1E82">
        <w:rPr>
          <w:b/>
          <w:bCs/>
        </w:rPr>
        <w:fldChar w:fldCharType="end"/>
      </w:r>
    </w:p>
    <w:p w14:paraId="6D5CA275" w14:textId="0E10B248" w:rsidR="00D478F4" w:rsidRPr="008F1E82" w:rsidRDefault="00D478F4" w:rsidP="00867C59">
      <w:pPr>
        <w:rPr>
          <w:b/>
          <w:bCs/>
        </w:rPr>
      </w:pPr>
      <w:r w:rsidRPr="008F1E82">
        <w:rPr>
          <w:b/>
          <w:bCs/>
        </w:rPr>
        <w:fldChar w:fldCharType="begin"/>
      </w:r>
      <w:r w:rsidRPr="008F1E82">
        <w:rPr>
          <w:b/>
          <w:bCs/>
        </w:rPr>
        <w:instrText xml:space="preserve"> REF _Ref197744531 \h </w:instrText>
      </w:r>
      <w:r w:rsidR="008F1E82" w:rsidRPr="008F1E82">
        <w:rPr>
          <w:b/>
          <w:bCs/>
        </w:rPr>
        <w:instrText xml:space="preserve"> \* MERGEFORMAT </w:instrText>
      </w:r>
      <w:r w:rsidRPr="008F1E82">
        <w:rPr>
          <w:b/>
          <w:bCs/>
        </w:rPr>
      </w:r>
      <w:r w:rsidRPr="008F1E82">
        <w:rPr>
          <w:b/>
          <w:bCs/>
        </w:rPr>
        <w:fldChar w:fldCharType="separate"/>
      </w:r>
      <w:r w:rsidR="003F6D04" w:rsidRPr="008F1E82">
        <w:rPr>
          <w:b/>
          <w:bCs/>
        </w:rPr>
        <w:t xml:space="preserve">Observation </w:t>
      </w:r>
      <w:r w:rsidR="003F6D04" w:rsidRPr="008F1E82">
        <w:rPr>
          <w:b/>
          <w:bCs/>
          <w:noProof/>
        </w:rPr>
        <w:t>3</w:t>
      </w:r>
      <w:r w:rsidR="003F6D04" w:rsidRPr="008F1E82">
        <w:rPr>
          <w:b/>
          <w:bCs/>
        </w:rPr>
        <w:t>: If switching gap is located at the “switch-to” carrier, the loss of PDCCH symbols cannot be recovered no matter how hard gNB tries by adjusting its configuration and/or changing its implementation.</w:t>
      </w:r>
      <w:r w:rsidRPr="008F1E82">
        <w:rPr>
          <w:b/>
          <w:bCs/>
        </w:rPr>
        <w:fldChar w:fldCharType="end"/>
      </w:r>
    </w:p>
    <w:p w14:paraId="70F22111" w14:textId="319423A9" w:rsidR="00D478F4" w:rsidRPr="008F1E82" w:rsidRDefault="00D478F4" w:rsidP="00867C59">
      <w:pPr>
        <w:rPr>
          <w:b/>
          <w:bCs/>
        </w:rPr>
      </w:pPr>
      <w:r w:rsidRPr="008F1E82">
        <w:rPr>
          <w:b/>
          <w:bCs/>
        </w:rPr>
        <w:fldChar w:fldCharType="begin"/>
      </w:r>
      <w:r w:rsidRPr="008F1E82">
        <w:rPr>
          <w:b/>
          <w:bCs/>
        </w:rPr>
        <w:instrText xml:space="preserve"> REF _Ref197744537 \h </w:instrText>
      </w:r>
      <w:r w:rsidR="008F1E82" w:rsidRPr="008F1E82">
        <w:rPr>
          <w:b/>
          <w:bCs/>
        </w:rPr>
        <w:instrText xml:space="preserve"> \* MERGEFORMAT </w:instrText>
      </w:r>
      <w:r w:rsidRPr="008F1E82">
        <w:rPr>
          <w:b/>
          <w:bCs/>
        </w:rPr>
      </w:r>
      <w:r w:rsidRPr="008F1E82">
        <w:rPr>
          <w:b/>
          <w:bCs/>
        </w:rPr>
        <w:fldChar w:fldCharType="separate"/>
      </w:r>
      <w:r w:rsidR="003F6D04" w:rsidRPr="008F1E82">
        <w:rPr>
          <w:b/>
          <w:bCs/>
        </w:rPr>
        <w:t xml:space="preserve">Observation </w:t>
      </w:r>
      <w:r w:rsidR="003F6D04" w:rsidRPr="008F1E82">
        <w:rPr>
          <w:b/>
          <w:bCs/>
          <w:noProof/>
        </w:rPr>
        <w:t>4</w:t>
      </w:r>
      <w:r w:rsidR="003F6D04" w:rsidRPr="008F1E82">
        <w:rPr>
          <w:b/>
          <w:bCs/>
        </w:rPr>
        <w:t>: PUCCH format 0 (short, 1~2 symbols) can serve as alternative to PUCCH format 1 for transmitting 1 or 2 UCI bits for SR and HARQ-ACK.</w:t>
      </w:r>
      <w:r w:rsidRPr="008F1E82">
        <w:rPr>
          <w:b/>
          <w:bCs/>
        </w:rPr>
        <w:fldChar w:fldCharType="end"/>
      </w:r>
    </w:p>
    <w:p w14:paraId="4A244BDA" w14:textId="1B28EA61" w:rsidR="00D478F4" w:rsidRPr="008F1E82" w:rsidRDefault="00D478F4" w:rsidP="00867C59">
      <w:pPr>
        <w:rPr>
          <w:b/>
          <w:bCs/>
        </w:rPr>
      </w:pPr>
      <w:r w:rsidRPr="008F1E82">
        <w:rPr>
          <w:b/>
          <w:bCs/>
        </w:rPr>
        <w:fldChar w:fldCharType="begin"/>
      </w:r>
      <w:r w:rsidRPr="008F1E82">
        <w:rPr>
          <w:b/>
          <w:bCs/>
        </w:rPr>
        <w:instrText xml:space="preserve"> REF _Ref197744548 \h </w:instrText>
      </w:r>
      <w:r w:rsidR="008F1E82" w:rsidRPr="008F1E82">
        <w:rPr>
          <w:b/>
          <w:bCs/>
        </w:rPr>
        <w:instrText xml:space="preserve"> \* MERGEFORMAT </w:instrText>
      </w:r>
      <w:r w:rsidRPr="008F1E82">
        <w:rPr>
          <w:b/>
          <w:bCs/>
        </w:rPr>
      </w:r>
      <w:r w:rsidRPr="008F1E82">
        <w:rPr>
          <w:b/>
          <w:bCs/>
        </w:rPr>
        <w:fldChar w:fldCharType="separate"/>
      </w:r>
      <w:r w:rsidR="003F6D04" w:rsidRPr="008F1E82">
        <w:rPr>
          <w:b/>
          <w:bCs/>
        </w:rPr>
        <w:t xml:space="preserve">Observation </w:t>
      </w:r>
      <w:r w:rsidR="003F6D04" w:rsidRPr="008F1E82">
        <w:rPr>
          <w:b/>
          <w:bCs/>
          <w:noProof/>
        </w:rPr>
        <w:t>5</w:t>
      </w:r>
      <w:r w:rsidR="003F6D04" w:rsidRPr="008F1E82">
        <w:rPr>
          <w:b/>
          <w:bCs/>
        </w:rPr>
        <w:t>: PUCCH formats 2 and 3 can serve as alternative to PUCCH format 4 for moderate UCI payload.</w:t>
      </w:r>
      <w:r w:rsidRPr="008F1E82">
        <w:rPr>
          <w:b/>
          <w:bCs/>
        </w:rPr>
        <w:fldChar w:fldCharType="end"/>
      </w:r>
    </w:p>
    <w:p w14:paraId="43143538" w14:textId="0BB458DE" w:rsidR="00D478F4" w:rsidRPr="008F1E82" w:rsidRDefault="00D478F4" w:rsidP="00867C59">
      <w:pPr>
        <w:rPr>
          <w:b/>
          <w:bCs/>
        </w:rPr>
      </w:pPr>
      <w:r w:rsidRPr="008F1E82">
        <w:rPr>
          <w:b/>
          <w:bCs/>
        </w:rPr>
        <w:fldChar w:fldCharType="begin"/>
      </w:r>
      <w:r w:rsidRPr="008F1E82">
        <w:rPr>
          <w:b/>
          <w:bCs/>
        </w:rPr>
        <w:instrText xml:space="preserve"> REF _Ref197744561 \h </w:instrText>
      </w:r>
      <w:r w:rsidR="008F1E82" w:rsidRPr="008F1E82">
        <w:rPr>
          <w:b/>
          <w:bCs/>
        </w:rPr>
        <w:instrText xml:space="preserve"> \* MERGEFORMAT </w:instrText>
      </w:r>
      <w:r w:rsidRPr="008F1E82">
        <w:rPr>
          <w:b/>
          <w:bCs/>
        </w:rPr>
      </w:r>
      <w:r w:rsidRPr="008F1E82">
        <w:rPr>
          <w:b/>
          <w:bCs/>
        </w:rPr>
        <w:fldChar w:fldCharType="separate"/>
      </w:r>
      <w:r w:rsidR="003F6D04" w:rsidRPr="008F1E82">
        <w:rPr>
          <w:b/>
          <w:bCs/>
        </w:rPr>
        <w:t xml:space="preserve">Observation </w:t>
      </w:r>
      <w:r w:rsidR="003F6D04" w:rsidRPr="008F1E82">
        <w:rPr>
          <w:b/>
          <w:bCs/>
          <w:noProof/>
        </w:rPr>
        <w:t>6</w:t>
      </w:r>
      <w:r w:rsidR="003F6D04" w:rsidRPr="008F1E82">
        <w:rPr>
          <w:b/>
          <w:bCs/>
        </w:rPr>
        <w:t>: Durations of both PUCCH formats 1 and 4 are configurable from 4 to 14 symbols, and all NR UEs are mandatory to support different durations without capability signaling according to FG 4-1 in TR38.822.</w:t>
      </w:r>
      <w:r w:rsidRPr="008F1E82">
        <w:rPr>
          <w:b/>
          <w:bCs/>
        </w:rPr>
        <w:fldChar w:fldCharType="end"/>
      </w:r>
    </w:p>
    <w:p w14:paraId="30EC05CE" w14:textId="20C1F705" w:rsidR="00D478F4" w:rsidRPr="008F1E82" w:rsidRDefault="00D478F4" w:rsidP="00867C59">
      <w:pPr>
        <w:rPr>
          <w:b/>
          <w:bCs/>
        </w:rPr>
      </w:pPr>
      <w:r w:rsidRPr="008F1E82">
        <w:rPr>
          <w:b/>
          <w:bCs/>
        </w:rPr>
        <w:fldChar w:fldCharType="begin"/>
      </w:r>
      <w:r w:rsidRPr="008F1E82">
        <w:rPr>
          <w:b/>
          <w:bCs/>
        </w:rPr>
        <w:instrText xml:space="preserve"> REF _Ref197744600 \h </w:instrText>
      </w:r>
      <w:r w:rsidR="008F1E82" w:rsidRPr="008F1E82">
        <w:rPr>
          <w:b/>
          <w:bCs/>
        </w:rPr>
        <w:instrText xml:space="preserve"> \* MERGEFORMAT </w:instrText>
      </w:r>
      <w:r w:rsidRPr="008F1E82">
        <w:rPr>
          <w:b/>
          <w:bCs/>
        </w:rPr>
      </w:r>
      <w:r w:rsidRPr="008F1E82">
        <w:rPr>
          <w:b/>
          <w:bCs/>
        </w:rPr>
        <w:fldChar w:fldCharType="separate"/>
      </w:r>
      <w:r w:rsidR="003F6D04" w:rsidRPr="008F1E82">
        <w:rPr>
          <w:b/>
          <w:bCs/>
        </w:rPr>
        <w:t xml:space="preserve">Observation </w:t>
      </w:r>
      <w:r w:rsidR="003F6D04" w:rsidRPr="008F1E82">
        <w:rPr>
          <w:b/>
          <w:bCs/>
          <w:noProof/>
        </w:rPr>
        <w:t>7</w:t>
      </w:r>
      <w:r w:rsidR="003F6D04" w:rsidRPr="008F1E82">
        <w:rPr>
          <w:b/>
          <w:bCs/>
        </w:rPr>
        <w:t>: With gNB’s proper configuration and implementation, legacy UEs on the FDD carrier will not be impacted due to the introduction of R19 LBCA.</w:t>
      </w:r>
      <w:r w:rsidRPr="008F1E82">
        <w:rPr>
          <w:b/>
          <w:bCs/>
        </w:rPr>
        <w:fldChar w:fldCharType="end"/>
      </w:r>
    </w:p>
    <w:p w14:paraId="6203A143" w14:textId="4C2E4166" w:rsidR="00D478F4" w:rsidRPr="008F1E82" w:rsidRDefault="00D478F4" w:rsidP="00867C59">
      <w:pPr>
        <w:rPr>
          <w:b/>
          <w:bCs/>
        </w:rPr>
      </w:pPr>
      <w:r w:rsidRPr="008F1E82">
        <w:rPr>
          <w:b/>
          <w:bCs/>
        </w:rPr>
        <w:fldChar w:fldCharType="begin"/>
      </w:r>
      <w:r w:rsidRPr="008F1E82">
        <w:rPr>
          <w:b/>
          <w:bCs/>
        </w:rPr>
        <w:instrText xml:space="preserve"> REF _Ref197744609 \h </w:instrText>
      </w:r>
      <w:r w:rsidR="008F1E82" w:rsidRPr="008F1E82">
        <w:rPr>
          <w:b/>
          <w:bCs/>
        </w:rPr>
        <w:instrText xml:space="preserve"> \* MERGEFORMAT </w:instrText>
      </w:r>
      <w:r w:rsidRPr="008F1E82">
        <w:rPr>
          <w:b/>
          <w:bCs/>
        </w:rPr>
      </w:r>
      <w:r w:rsidRPr="008F1E82">
        <w:rPr>
          <w:b/>
          <w:bCs/>
        </w:rPr>
        <w:fldChar w:fldCharType="separate"/>
      </w:r>
      <w:r w:rsidR="003F6D04" w:rsidRPr="008F1E82">
        <w:rPr>
          <w:b/>
          <w:bCs/>
        </w:rPr>
        <w:t xml:space="preserve">Observation </w:t>
      </w:r>
      <w:r w:rsidR="003F6D04" w:rsidRPr="008F1E82">
        <w:rPr>
          <w:b/>
          <w:bCs/>
          <w:noProof/>
        </w:rPr>
        <w:t>8</w:t>
      </w:r>
      <w:r w:rsidR="003F6D04" w:rsidRPr="008F1E82">
        <w:rPr>
          <w:b/>
          <w:bCs/>
        </w:rPr>
        <w:t>: SRS periods are often much larger than 1msec and NW should be able configure SRS in slots without switching for a bitmap based switching pattern.</w:t>
      </w:r>
      <w:r w:rsidRPr="008F1E82">
        <w:rPr>
          <w:b/>
          <w:bCs/>
        </w:rPr>
        <w:fldChar w:fldCharType="end"/>
      </w:r>
    </w:p>
    <w:p w14:paraId="7BDD106C" w14:textId="258FC3F1" w:rsidR="00D478F4" w:rsidRPr="008F1E82" w:rsidRDefault="00D478F4" w:rsidP="00867C59">
      <w:pPr>
        <w:rPr>
          <w:b/>
          <w:bCs/>
        </w:rPr>
      </w:pPr>
      <w:r w:rsidRPr="008F1E82">
        <w:rPr>
          <w:b/>
          <w:bCs/>
        </w:rPr>
        <w:fldChar w:fldCharType="begin"/>
      </w:r>
      <w:r w:rsidRPr="008F1E82">
        <w:rPr>
          <w:b/>
          <w:bCs/>
        </w:rPr>
        <w:instrText xml:space="preserve"> REF _Ref197744616 \h </w:instrText>
      </w:r>
      <w:r w:rsidR="008F1E82" w:rsidRPr="008F1E82">
        <w:rPr>
          <w:b/>
          <w:bCs/>
        </w:rPr>
        <w:instrText xml:space="preserve"> \* MERGEFORMAT </w:instrText>
      </w:r>
      <w:r w:rsidRPr="008F1E82">
        <w:rPr>
          <w:b/>
          <w:bCs/>
        </w:rPr>
      </w:r>
      <w:r w:rsidRPr="008F1E82">
        <w:rPr>
          <w:b/>
          <w:bCs/>
        </w:rPr>
        <w:fldChar w:fldCharType="separate"/>
      </w:r>
      <w:r w:rsidR="003F6D04" w:rsidRPr="008F1E82">
        <w:rPr>
          <w:b/>
          <w:bCs/>
        </w:rPr>
        <w:t xml:space="preserve">Observation </w:t>
      </w:r>
      <w:r w:rsidR="003F6D04" w:rsidRPr="008F1E82">
        <w:rPr>
          <w:b/>
          <w:bCs/>
          <w:noProof/>
        </w:rPr>
        <w:t>9</w:t>
      </w:r>
      <w:r w:rsidR="003F6D04" w:rsidRPr="008F1E82">
        <w:rPr>
          <w:b/>
          <w:bCs/>
        </w:rPr>
        <w:t>: Configuration of PUSCH TDRA is very flexible and ranges from 1 to 14 symbols. This TDRA configuration flexibility has been mandatorily supported by all NR UEs without capability signaling.</w:t>
      </w:r>
      <w:r w:rsidRPr="008F1E82">
        <w:rPr>
          <w:b/>
          <w:bCs/>
        </w:rPr>
        <w:fldChar w:fldCharType="end"/>
      </w:r>
    </w:p>
    <w:p w14:paraId="3A755678" w14:textId="175CBEE2" w:rsidR="00D478F4" w:rsidRPr="008F1E82" w:rsidRDefault="00D478F4" w:rsidP="00867C59">
      <w:pPr>
        <w:rPr>
          <w:b/>
          <w:bCs/>
        </w:rPr>
      </w:pPr>
      <w:r w:rsidRPr="008F1E82">
        <w:rPr>
          <w:b/>
          <w:bCs/>
        </w:rPr>
        <w:fldChar w:fldCharType="begin"/>
      </w:r>
      <w:r w:rsidRPr="008F1E82">
        <w:rPr>
          <w:b/>
          <w:bCs/>
        </w:rPr>
        <w:instrText xml:space="preserve"> REF _Ref197744623 \h </w:instrText>
      </w:r>
      <w:r w:rsidR="008F1E82" w:rsidRPr="008F1E82">
        <w:rPr>
          <w:b/>
          <w:bCs/>
        </w:rPr>
        <w:instrText xml:space="preserve"> \* MERGEFORMAT </w:instrText>
      </w:r>
      <w:r w:rsidRPr="008F1E82">
        <w:rPr>
          <w:b/>
          <w:bCs/>
        </w:rPr>
      </w:r>
      <w:r w:rsidRPr="008F1E82">
        <w:rPr>
          <w:b/>
          <w:bCs/>
        </w:rPr>
        <w:fldChar w:fldCharType="separate"/>
      </w:r>
      <w:r w:rsidR="003F6D04" w:rsidRPr="008F1E82">
        <w:rPr>
          <w:b/>
          <w:bCs/>
        </w:rPr>
        <w:t xml:space="preserve">Observation </w:t>
      </w:r>
      <w:r w:rsidR="003F6D04" w:rsidRPr="008F1E82">
        <w:rPr>
          <w:b/>
          <w:bCs/>
          <w:noProof/>
        </w:rPr>
        <w:t>10</w:t>
      </w:r>
      <w:r w:rsidR="003F6D04" w:rsidRPr="008F1E82">
        <w:rPr>
          <w:b/>
          <w:bCs/>
        </w:rPr>
        <w:t>: Shortening PUSCH to be less than 14 symbols is nothing new. This has been handled when UL Tx switching is supported.</w:t>
      </w:r>
      <w:r w:rsidRPr="008F1E82">
        <w:rPr>
          <w:b/>
          <w:bCs/>
        </w:rPr>
        <w:fldChar w:fldCharType="end"/>
      </w:r>
    </w:p>
    <w:p w14:paraId="000A2360" w14:textId="5C139EC5" w:rsidR="00D478F4" w:rsidRPr="008F1E82" w:rsidRDefault="00D478F4" w:rsidP="00867C59">
      <w:pPr>
        <w:rPr>
          <w:b/>
          <w:bCs/>
        </w:rPr>
      </w:pPr>
      <w:r w:rsidRPr="008F1E82">
        <w:rPr>
          <w:b/>
          <w:bCs/>
        </w:rPr>
        <w:fldChar w:fldCharType="begin"/>
      </w:r>
      <w:r w:rsidRPr="008F1E82">
        <w:rPr>
          <w:b/>
          <w:bCs/>
        </w:rPr>
        <w:instrText xml:space="preserve"> REF _Ref197744630 \h </w:instrText>
      </w:r>
      <w:r w:rsidR="008F1E82" w:rsidRPr="008F1E82">
        <w:rPr>
          <w:b/>
          <w:bCs/>
        </w:rPr>
        <w:instrText xml:space="preserve"> \* MERGEFORMAT </w:instrText>
      </w:r>
      <w:r w:rsidRPr="008F1E82">
        <w:rPr>
          <w:b/>
          <w:bCs/>
        </w:rPr>
      </w:r>
      <w:r w:rsidRPr="008F1E82">
        <w:rPr>
          <w:b/>
          <w:bCs/>
        </w:rPr>
        <w:fldChar w:fldCharType="separate"/>
      </w:r>
      <w:r w:rsidR="003F6D04" w:rsidRPr="008F1E82">
        <w:rPr>
          <w:b/>
          <w:bCs/>
        </w:rPr>
        <w:t xml:space="preserve">Observation </w:t>
      </w:r>
      <w:r w:rsidR="003F6D04" w:rsidRPr="008F1E82">
        <w:rPr>
          <w:b/>
          <w:bCs/>
          <w:noProof/>
        </w:rPr>
        <w:t>11</w:t>
      </w:r>
      <w:r w:rsidR="003F6D04" w:rsidRPr="008F1E82">
        <w:rPr>
          <w:b/>
          <w:bCs/>
        </w:rPr>
        <w:t>: It is not a typical configuration to place CSI-RS in the last two symbols in a slot.</w:t>
      </w:r>
      <w:r w:rsidRPr="008F1E82">
        <w:rPr>
          <w:b/>
          <w:bCs/>
        </w:rPr>
        <w:fldChar w:fldCharType="end"/>
      </w:r>
    </w:p>
    <w:p w14:paraId="3CD0E191" w14:textId="77BECE05" w:rsidR="00D478F4" w:rsidRPr="008F1E82" w:rsidRDefault="00D478F4" w:rsidP="00867C59">
      <w:pPr>
        <w:rPr>
          <w:b/>
          <w:bCs/>
        </w:rPr>
      </w:pPr>
      <w:r w:rsidRPr="008F1E82">
        <w:rPr>
          <w:b/>
          <w:bCs/>
        </w:rPr>
        <w:fldChar w:fldCharType="begin"/>
      </w:r>
      <w:r w:rsidRPr="008F1E82">
        <w:rPr>
          <w:b/>
          <w:bCs/>
        </w:rPr>
        <w:instrText xml:space="preserve"> REF _Ref197744640 \h </w:instrText>
      </w:r>
      <w:r w:rsidR="008F1E82" w:rsidRPr="008F1E82">
        <w:rPr>
          <w:b/>
          <w:bCs/>
        </w:rPr>
        <w:instrText xml:space="preserve"> \* MERGEFORMAT </w:instrText>
      </w:r>
      <w:r w:rsidRPr="008F1E82">
        <w:rPr>
          <w:b/>
          <w:bCs/>
        </w:rPr>
      </w:r>
      <w:r w:rsidRPr="008F1E82">
        <w:rPr>
          <w:b/>
          <w:bCs/>
        </w:rPr>
        <w:fldChar w:fldCharType="separate"/>
      </w:r>
      <w:r w:rsidR="003F6D04" w:rsidRPr="008F1E82">
        <w:rPr>
          <w:b/>
          <w:bCs/>
        </w:rPr>
        <w:t xml:space="preserve">Observation </w:t>
      </w:r>
      <w:r w:rsidR="003F6D04" w:rsidRPr="008F1E82">
        <w:rPr>
          <w:b/>
          <w:bCs/>
          <w:noProof/>
        </w:rPr>
        <w:t>12</w:t>
      </w:r>
      <w:r w:rsidR="003F6D04" w:rsidRPr="008F1E82">
        <w:rPr>
          <w:b/>
          <w:bCs/>
        </w:rPr>
        <w:t>: Even if CSI-RS is placed in the last two symbols in a slot, it will not be impacted if there is no switching in the slot based on the configured switching pattern.</w:t>
      </w:r>
      <w:r w:rsidRPr="008F1E82">
        <w:rPr>
          <w:b/>
          <w:bCs/>
        </w:rPr>
        <w:fldChar w:fldCharType="end"/>
      </w:r>
    </w:p>
    <w:p w14:paraId="0482721A" w14:textId="6DF28994" w:rsidR="003F6D04" w:rsidRPr="008F1E82" w:rsidRDefault="003F6D04" w:rsidP="00867C59">
      <w:pPr>
        <w:rPr>
          <w:b/>
          <w:bCs/>
        </w:rPr>
      </w:pPr>
      <w:r w:rsidRPr="008F1E82">
        <w:rPr>
          <w:b/>
          <w:bCs/>
        </w:rPr>
        <w:fldChar w:fldCharType="begin"/>
      </w:r>
      <w:r w:rsidRPr="008F1E82">
        <w:rPr>
          <w:b/>
          <w:bCs/>
        </w:rPr>
        <w:instrText xml:space="preserve"> REF _Ref197744650 \h </w:instrText>
      </w:r>
      <w:r w:rsidR="008F1E82" w:rsidRPr="008F1E82">
        <w:rPr>
          <w:b/>
          <w:bCs/>
        </w:rPr>
        <w:instrText xml:space="preserve"> \* MERGEFORMAT </w:instrText>
      </w:r>
      <w:r w:rsidRPr="008F1E82">
        <w:rPr>
          <w:b/>
          <w:bCs/>
        </w:rPr>
      </w:r>
      <w:r w:rsidRPr="008F1E82">
        <w:rPr>
          <w:b/>
          <w:bCs/>
        </w:rPr>
        <w:fldChar w:fldCharType="separate"/>
      </w:r>
      <w:r w:rsidRPr="008F1E82">
        <w:rPr>
          <w:b/>
          <w:bCs/>
        </w:rPr>
        <w:t xml:space="preserve">Observation </w:t>
      </w:r>
      <w:r w:rsidRPr="008F1E82">
        <w:rPr>
          <w:b/>
          <w:bCs/>
          <w:noProof/>
        </w:rPr>
        <w:t>13</w:t>
      </w:r>
      <w:r w:rsidRPr="008F1E82">
        <w:rPr>
          <w:b/>
          <w:bCs/>
        </w:rPr>
        <w:t>: If Alt 2 (configurable by NW) is supported, both IODT progress and feature deployment will be delayed, if not infeasible.</w:t>
      </w:r>
      <w:r w:rsidRPr="008F1E82">
        <w:rPr>
          <w:b/>
          <w:bCs/>
        </w:rPr>
        <w:fldChar w:fldCharType="end"/>
      </w:r>
    </w:p>
    <w:p w14:paraId="777C52AC" w14:textId="0C94E509" w:rsidR="00D478F4" w:rsidRPr="008F1E82" w:rsidRDefault="00D478F4" w:rsidP="00867C59">
      <w:pPr>
        <w:rPr>
          <w:b/>
          <w:bCs/>
        </w:rPr>
      </w:pPr>
      <w:r w:rsidRPr="008F1E82">
        <w:rPr>
          <w:b/>
          <w:bCs/>
        </w:rPr>
        <w:fldChar w:fldCharType="begin"/>
      </w:r>
      <w:r w:rsidRPr="008F1E82">
        <w:rPr>
          <w:b/>
          <w:bCs/>
        </w:rPr>
        <w:instrText xml:space="preserve"> REF _Ref197744665 \h </w:instrText>
      </w:r>
      <w:r w:rsidR="008F1E82" w:rsidRPr="008F1E82">
        <w:rPr>
          <w:b/>
          <w:bCs/>
        </w:rPr>
        <w:instrText xml:space="preserve"> \* MERGEFORMAT </w:instrText>
      </w:r>
      <w:r w:rsidRPr="008F1E82">
        <w:rPr>
          <w:b/>
          <w:bCs/>
        </w:rPr>
      </w:r>
      <w:r w:rsidRPr="008F1E82">
        <w:rPr>
          <w:b/>
          <w:bCs/>
        </w:rPr>
        <w:fldChar w:fldCharType="separate"/>
      </w:r>
      <w:r w:rsidR="003F6D04" w:rsidRPr="008F1E82">
        <w:rPr>
          <w:b/>
          <w:bCs/>
        </w:rPr>
        <w:t xml:space="preserve">Observation </w:t>
      </w:r>
      <w:r w:rsidR="003F6D04" w:rsidRPr="008F1E82">
        <w:rPr>
          <w:b/>
          <w:bCs/>
          <w:noProof/>
        </w:rPr>
        <w:t>14</w:t>
      </w:r>
      <w:r w:rsidR="003F6D04" w:rsidRPr="008F1E82">
        <w:rPr>
          <w:b/>
          <w:bCs/>
        </w:rPr>
        <w:t>: Per RAN4 LS, SSB should be available at least every 160ms for UE to fulfill UL transmit timing requirements.</w:t>
      </w:r>
      <w:r w:rsidRPr="008F1E82">
        <w:rPr>
          <w:b/>
          <w:bCs/>
        </w:rPr>
        <w:fldChar w:fldCharType="end"/>
      </w:r>
    </w:p>
    <w:p w14:paraId="2EB8A6B1" w14:textId="6F106AAE" w:rsidR="00D478F4" w:rsidRPr="008F1E82" w:rsidRDefault="00D478F4" w:rsidP="00867C59">
      <w:pPr>
        <w:rPr>
          <w:b/>
          <w:bCs/>
        </w:rPr>
      </w:pPr>
      <w:r w:rsidRPr="008F1E82">
        <w:rPr>
          <w:b/>
          <w:bCs/>
        </w:rPr>
        <w:fldChar w:fldCharType="begin"/>
      </w:r>
      <w:r w:rsidRPr="008F1E82">
        <w:rPr>
          <w:b/>
          <w:bCs/>
        </w:rPr>
        <w:instrText xml:space="preserve"> REF _Ref197744680 \h </w:instrText>
      </w:r>
      <w:r w:rsidR="008F1E82">
        <w:rPr>
          <w:b/>
          <w:bCs/>
        </w:rPr>
        <w:instrText xml:space="preserve"> \* MERGEFORMAT </w:instrText>
      </w:r>
      <w:r w:rsidRPr="008F1E82">
        <w:rPr>
          <w:b/>
          <w:bCs/>
        </w:rPr>
      </w:r>
      <w:r w:rsidRPr="008F1E82">
        <w:rPr>
          <w:b/>
          <w:bCs/>
        </w:rPr>
        <w:fldChar w:fldCharType="separate"/>
      </w:r>
      <w:r w:rsidR="003F6D04" w:rsidRPr="008F1E82">
        <w:rPr>
          <w:b/>
          <w:bCs/>
        </w:rPr>
        <w:t xml:space="preserve">Observation </w:t>
      </w:r>
      <w:r w:rsidR="003F6D04" w:rsidRPr="008F1E82">
        <w:rPr>
          <w:b/>
          <w:bCs/>
          <w:noProof/>
        </w:rPr>
        <w:t>15</w:t>
      </w:r>
      <w:r w:rsidR="003F6D04" w:rsidRPr="008F1E82">
        <w:rPr>
          <w:b/>
          <w:bCs/>
        </w:rPr>
        <w:t>: Some front-end components are shared for uplink transmission path and downlink reception path. Therefore, When SDL-&gt;FDD switch is performed, the transmission path for FDD uplink carrier is not ready before the RF retuning is complete.</w:t>
      </w:r>
      <w:r w:rsidRPr="008F1E82">
        <w:rPr>
          <w:b/>
          <w:bCs/>
        </w:rPr>
        <w:fldChar w:fldCharType="end"/>
      </w:r>
    </w:p>
    <w:p w14:paraId="787EC162" w14:textId="55E7DC8B" w:rsidR="003F6D04" w:rsidRDefault="003F6D04" w:rsidP="003F6D04">
      <w:pPr>
        <w:rPr>
          <w:rFonts w:eastAsiaTheme="minorEastAsia"/>
          <w:lang w:eastAsia="zh-TW"/>
        </w:rPr>
      </w:pPr>
      <w:r>
        <w:rPr>
          <w:rFonts w:eastAsiaTheme="minorEastAsia"/>
          <w:lang w:eastAsia="zh-TW"/>
        </w:rPr>
        <w:t xml:space="preserve">We have the following proposals in this contribution. </w:t>
      </w:r>
    </w:p>
    <w:p w14:paraId="488F5B7F" w14:textId="63D984B4" w:rsidR="00D478F4" w:rsidRPr="008F1E82" w:rsidRDefault="003F6D04" w:rsidP="00867C59">
      <w:pPr>
        <w:rPr>
          <w:b/>
          <w:bCs/>
        </w:rPr>
      </w:pPr>
      <w:r w:rsidRPr="008F1E82">
        <w:rPr>
          <w:b/>
          <w:bCs/>
        </w:rPr>
        <w:fldChar w:fldCharType="begin"/>
      </w:r>
      <w:r w:rsidRPr="008F1E82">
        <w:rPr>
          <w:b/>
          <w:bCs/>
        </w:rPr>
        <w:instrText xml:space="preserve"> REF _Ref194066990 \h </w:instrText>
      </w:r>
      <w:r w:rsidR="008F1E82" w:rsidRPr="008F1E82">
        <w:rPr>
          <w:b/>
          <w:bCs/>
        </w:rPr>
        <w:instrText xml:space="preserve"> \* MERGEFORMAT </w:instrText>
      </w:r>
      <w:r w:rsidRPr="008F1E82">
        <w:rPr>
          <w:b/>
          <w:bCs/>
        </w:rPr>
      </w:r>
      <w:r w:rsidRPr="008F1E82">
        <w:rPr>
          <w:b/>
          <w:bCs/>
        </w:rPr>
        <w:fldChar w:fldCharType="separate"/>
      </w:r>
      <w:r w:rsidRPr="008F1E82">
        <w:rPr>
          <w:b/>
          <w:bCs/>
        </w:rPr>
        <w:t xml:space="preserve">Proposal </w:t>
      </w:r>
      <w:r w:rsidRPr="008F1E82">
        <w:rPr>
          <w:b/>
          <w:bCs/>
          <w:noProof/>
        </w:rPr>
        <w:t>1</w:t>
      </w:r>
      <w:r w:rsidRPr="008F1E82">
        <w:rPr>
          <w:b/>
          <w:bCs/>
        </w:rPr>
        <w:t>: If an issue can be resolved by gNB’s implementation and/or proper configuration, gNB should just do so. Its impact on RAN1 specifications and UE should be minimized.</w:t>
      </w:r>
      <w:r w:rsidRPr="008F1E82">
        <w:rPr>
          <w:b/>
          <w:bCs/>
        </w:rPr>
        <w:fldChar w:fldCharType="end"/>
      </w:r>
    </w:p>
    <w:p w14:paraId="25A6F158" w14:textId="2AC4D205" w:rsidR="003F6D04" w:rsidRPr="008F1E82" w:rsidRDefault="003F6D04" w:rsidP="00867C59">
      <w:pPr>
        <w:rPr>
          <w:b/>
          <w:bCs/>
        </w:rPr>
      </w:pPr>
      <w:r w:rsidRPr="008F1E82">
        <w:rPr>
          <w:b/>
          <w:bCs/>
        </w:rPr>
        <w:fldChar w:fldCharType="begin"/>
      </w:r>
      <w:r w:rsidRPr="008F1E82">
        <w:rPr>
          <w:b/>
          <w:bCs/>
        </w:rPr>
        <w:instrText xml:space="preserve"> REF _Ref194067003 \h </w:instrText>
      </w:r>
      <w:r w:rsidR="008F1E82" w:rsidRPr="008F1E82">
        <w:rPr>
          <w:b/>
          <w:bCs/>
        </w:rPr>
        <w:instrText xml:space="preserve"> \* MERGEFORMAT </w:instrText>
      </w:r>
      <w:r w:rsidRPr="008F1E82">
        <w:rPr>
          <w:b/>
          <w:bCs/>
        </w:rPr>
      </w:r>
      <w:r w:rsidRPr="008F1E82">
        <w:rPr>
          <w:b/>
          <w:bCs/>
        </w:rPr>
        <w:fldChar w:fldCharType="separate"/>
      </w:r>
      <w:r w:rsidRPr="008F1E82">
        <w:rPr>
          <w:b/>
          <w:bCs/>
        </w:rPr>
        <w:t xml:space="preserve">Proposal </w:t>
      </w:r>
      <w:r w:rsidRPr="008F1E82">
        <w:rPr>
          <w:b/>
          <w:bCs/>
          <w:noProof/>
        </w:rPr>
        <w:t>2</w:t>
      </w:r>
      <w:r w:rsidRPr="008F1E82">
        <w:rPr>
          <w:b/>
          <w:bCs/>
        </w:rPr>
        <w:t>: Optional UE features shall not be assumed or even mandated to support this feature, including cross-carrier scheduling, SSB-less SCell operation, etc.</w:t>
      </w:r>
      <w:r w:rsidRPr="008F1E82">
        <w:rPr>
          <w:b/>
          <w:bCs/>
        </w:rPr>
        <w:fldChar w:fldCharType="end"/>
      </w:r>
    </w:p>
    <w:p w14:paraId="5DEAC912" w14:textId="5BB9E17B" w:rsidR="003F6D04" w:rsidRPr="008F1E82" w:rsidRDefault="003F6D04" w:rsidP="00867C59">
      <w:pPr>
        <w:rPr>
          <w:b/>
          <w:bCs/>
        </w:rPr>
      </w:pPr>
      <w:r w:rsidRPr="008F1E82">
        <w:rPr>
          <w:b/>
          <w:bCs/>
        </w:rPr>
        <w:fldChar w:fldCharType="begin"/>
      </w:r>
      <w:r w:rsidRPr="008F1E82">
        <w:rPr>
          <w:b/>
          <w:bCs/>
        </w:rPr>
        <w:instrText xml:space="preserve"> REF _Ref197744806 \h </w:instrText>
      </w:r>
      <w:r w:rsidR="008F1E82" w:rsidRPr="008F1E82">
        <w:rPr>
          <w:b/>
          <w:bCs/>
        </w:rPr>
        <w:instrText xml:space="preserve"> \* MERGEFORMAT </w:instrText>
      </w:r>
      <w:r w:rsidRPr="008F1E82">
        <w:rPr>
          <w:b/>
          <w:bCs/>
        </w:rPr>
      </w:r>
      <w:r w:rsidRPr="008F1E82">
        <w:rPr>
          <w:b/>
          <w:bCs/>
        </w:rPr>
        <w:fldChar w:fldCharType="separate"/>
      </w:r>
      <w:r w:rsidRPr="008F1E82">
        <w:rPr>
          <w:b/>
          <w:bCs/>
        </w:rPr>
        <w:t xml:space="preserve">Proposal </w:t>
      </w:r>
      <w:r w:rsidRPr="008F1E82">
        <w:rPr>
          <w:b/>
          <w:bCs/>
          <w:noProof/>
        </w:rPr>
        <w:t>3</w:t>
      </w:r>
      <w:r w:rsidRPr="008F1E82">
        <w:rPr>
          <w:b/>
          <w:bCs/>
        </w:rPr>
        <w:t>: For switching from FDD carrier to SDL carrier, switching gap is always assumed at the “switch from” carrier, i.e., FDD carrier.</w:t>
      </w:r>
      <w:r w:rsidRPr="008F1E82">
        <w:rPr>
          <w:b/>
          <w:bCs/>
        </w:rPr>
        <w:fldChar w:fldCharType="end"/>
      </w:r>
    </w:p>
    <w:p w14:paraId="7212A086" w14:textId="050C1975" w:rsidR="003F6D04" w:rsidRPr="008F1E82" w:rsidRDefault="003F6D04" w:rsidP="00867C59">
      <w:pPr>
        <w:rPr>
          <w:b/>
          <w:bCs/>
        </w:rPr>
      </w:pPr>
      <w:r w:rsidRPr="008F1E82">
        <w:rPr>
          <w:b/>
          <w:bCs/>
        </w:rPr>
        <w:fldChar w:fldCharType="begin"/>
      </w:r>
      <w:r w:rsidRPr="008F1E82">
        <w:rPr>
          <w:b/>
          <w:bCs/>
        </w:rPr>
        <w:instrText xml:space="preserve"> REF _Ref197744812 \h </w:instrText>
      </w:r>
      <w:r w:rsidR="008F1E82" w:rsidRPr="008F1E82">
        <w:rPr>
          <w:b/>
          <w:bCs/>
        </w:rPr>
        <w:instrText xml:space="preserve"> \* MERGEFORMAT </w:instrText>
      </w:r>
      <w:r w:rsidRPr="008F1E82">
        <w:rPr>
          <w:b/>
          <w:bCs/>
        </w:rPr>
      </w:r>
      <w:r w:rsidRPr="008F1E82">
        <w:rPr>
          <w:b/>
          <w:bCs/>
        </w:rPr>
        <w:fldChar w:fldCharType="separate"/>
      </w:r>
      <w:r w:rsidRPr="008F1E82">
        <w:rPr>
          <w:b/>
          <w:bCs/>
        </w:rPr>
        <w:t xml:space="preserve">Proposal </w:t>
      </w:r>
      <w:r w:rsidRPr="008F1E82">
        <w:rPr>
          <w:b/>
          <w:bCs/>
          <w:noProof/>
        </w:rPr>
        <w:t>4</w:t>
      </w:r>
      <w:r w:rsidRPr="008F1E82">
        <w:rPr>
          <w:rFonts w:eastAsiaTheme="minorEastAsia"/>
          <w:b/>
          <w:bCs/>
          <w:lang w:eastAsia="zh-TW"/>
        </w:rPr>
        <w:t>: SSB-based SCell operations is assumed as baseline for this WI.</w:t>
      </w:r>
      <w:r w:rsidRPr="008F1E82">
        <w:rPr>
          <w:b/>
          <w:bCs/>
        </w:rPr>
        <w:fldChar w:fldCharType="end"/>
      </w:r>
    </w:p>
    <w:p w14:paraId="34AB748C" w14:textId="3C3954F4" w:rsidR="003F6D04" w:rsidRPr="008F1E82" w:rsidRDefault="003F6D04" w:rsidP="00867C59">
      <w:pPr>
        <w:rPr>
          <w:b/>
          <w:bCs/>
        </w:rPr>
      </w:pPr>
      <w:r w:rsidRPr="008F1E82">
        <w:rPr>
          <w:b/>
          <w:bCs/>
        </w:rPr>
        <w:fldChar w:fldCharType="begin"/>
      </w:r>
      <w:r w:rsidRPr="008F1E82">
        <w:rPr>
          <w:b/>
          <w:bCs/>
        </w:rPr>
        <w:instrText xml:space="preserve"> REF _Ref197744818 \h </w:instrText>
      </w:r>
      <w:r w:rsidR="008F1E82" w:rsidRPr="008F1E82">
        <w:rPr>
          <w:b/>
          <w:bCs/>
        </w:rPr>
        <w:instrText xml:space="preserve"> \* MERGEFORMAT </w:instrText>
      </w:r>
      <w:r w:rsidRPr="008F1E82">
        <w:rPr>
          <w:b/>
          <w:bCs/>
        </w:rPr>
      </w:r>
      <w:r w:rsidRPr="008F1E82">
        <w:rPr>
          <w:b/>
          <w:bCs/>
        </w:rPr>
        <w:fldChar w:fldCharType="separate"/>
      </w:r>
      <w:r w:rsidRPr="008F1E82">
        <w:rPr>
          <w:b/>
          <w:bCs/>
        </w:rPr>
        <w:t xml:space="preserve">Proposal </w:t>
      </w:r>
      <w:r w:rsidRPr="008F1E82">
        <w:rPr>
          <w:b/>
          <w:bCs/>
          <w:noProof/>
        </w:rPr>
        <w:t>5</w:t>
      </w:r>
      <w:r w:rsidRPr="008F1E82">
        <w:rPr>
          <w:b/>
          <w:bCs/>
        </w:rPr>
        <w:t>: For an RRC-configured semi-static switching pattern, gNB shall guarantee SSB availability on both carriers at least once every X1 and X2 msec on the FDD carrier and SDL carrier, respectively, with X1 &lt;=min(160, 2*SSB period on the FDD carrier) and X2&lt;=min(160, 2*SSB period on the SDL carrier).</w:t>
      </w:r>
      <w:r w:rsidRPr="008F1E82">
        <w:rPr>
          <w:b/>
          <w:bCs/>
        </w:rPr>
        <w:fldChar w:fldCharType="end"/>
      </w:r>
    </w:p>
    <w:p w14:paraId="3B105648" w14:textId="7E7CD7FF" w:rsidR="003F6D04" w:rsidRPr="008F1E82" w:rsidRDefault="003F6D04" w:rsidP="00867C59">
      <w:pPr>
        <w:rPr>
          <w:b/>
          <w:bCs/>
        </w:rPr>
      </w:pPr>
      <w:r w:rsidRPr="008F1E82">
        <w:rPr>
          <w:b/>
          <w:bCs/>
        </w:rPr>
        <w:lastRenderedPageBreak/>
        <w:fldChar w:fldCharType="begin"/>
      </w:r>
      <w:r w:rsidRPr="008F1E82">
        <w:rPr>
          <w:b/>
          <w:bCs/>
        </w:rPr>
        <w:instrText xml:space="preserve"> REF _Ref197744823 \h </w:instrText>
      </w:r>
      <w:r w:rsidR="008F1E82" w:rsidRPr="008F1E82">
        <w:rPr>
          <w:b/>
          <w:bCs/>
        </w:rPr>
        <w:instrText xml:space="preserve"> \* MERGEFORMAT </w:instrText>
      </w:r>
      <w:r w:rsidRPr="008F1E82">
        <w:rPr>
          <w:b/>
          <w:bCs/>
        </w:rPr>
      </w:r>
      <w:r w:rsidRPr="008F1E82">
        <w:rPr>
          <w:b/>
          <w:bCs/>
        </w:rPr>
        <w:fldChar w:fldCharType="separate"/>
      </w:r>
      <w:r w:rsidRPr="008F1E82">
        <w:rPr>
          <w:b/>
          <w:bCs/>
        </w:rPr>
        <w:t xml:space="preserve">Proposal </w:t>
      </w:r>
      <w:r w:rsidRPr="008F1E82">
        <w:rPr>
          <w:b/>
          <w:bCs/>
          <w:noProof/>
        </w:rPr>
        <w:t>6</w:t>
      </w:r>
      <w:r w:rsidRPr="008F1E82">
        <w:rPr>
          <w:b/>
          <w:bCs/>
        </w:rPr>
        <w:t>: In an RRC-configured semi-static switching pattern, the maximum number of switch(es) is X within Y slot(s) with (X, Y) = (8, 40) and (1, 1).</w:t>
      </w:r>
      <w:r w:rsidRPr="008F1E82">
        <w:rPr>
          <w:b/>
          <w:bCs/>
        </w:rPr>
        <w:fldChar w:fldCharType="end"/>
      </w:r>
    </w:p>
    <w:p w14:paraId="5CE031CB" w14:textId="16775D28" w:rsidR="003F6D04" w:rsidRPr="008F1E82" w:rsidRDefault="003F6D04" w:rsidP="00867C59">
      <w:pPr>
        <w:rPr>
          <w:b/>
          <w:bCs/>
        </w:rPr>
      </w:pPr>
      <w:r w:rsidRPr="008F1E82">
        <w:rPr>
          <w:b/>
          <w:bCs/>
        </w:rPr>
        <w:fldChar w:fldCharType="begin"/>
      </w:r>
      <w:r w:rsidRPr="008F1E82">
        <w:rPr>
          <w:b/>
          <w:bCs/>
        </w:rPr>
        <w:instrText xml:space="preserve"> REF _Ref197744829 \h </w:instrText>
      </w:r>
      <w:r w:rsidR="008F1E82" w:rsidRPr="008F1E82">
        <w:rPr>
          <w:b/>
          <w:bCs/>
        </w:rPr>
        <w:instrText xml:space="preserve"> \* MERGEFORMAT </w:instrText>
      </w:r>
      <w:r w:rsidRPr="008F1E82">
        <w:rPr>
          <w:b/>
          <w:bCs/>
        </w:rPr>
      </w:r>
      <w:r w:rsidRPr="008F1E82">
        <w:rPr>
          <w:b/>
          <w:bCs/>
        </w:rPr>
        <w:fldChar w:fldCharType="separate"/>
      </w:r>
      <w:r w:rsidRPr="008F1E82">
        <w:rPr>
          <w:b/>
          <w:bCs/>
        </w:rPr>
        <w:t xml:space="preserve">Proposal </w:t>
      </w:r>
      <w:r w:rsidRPr="008F1E82">
        <w:rPr>
          <w:b/>
          <w:bCs/>
          <w:noProof/>
        </w:rPr>
        <w:t>7</w:t>
      </w:r>
      <w:r w:rsidRPr="008F1E82">
        <w:rPr>
          <w:b/>
          <w:bCs/>
        </w:rPr>
        <w:t>: Self-scheduling is assumed as baseline for this WI.</w:t>
      </w:r>
      <w:r w:rsidRPr="008F1E82">
        <w:rPr>
          <w:b/>
          <w:bCs/>
        </w:rPr>
        <w:fldChar w:fldCharType="end"/>
      </w:r>
    </w:p>
    <w:p w14:paraId="6DB1152E" w14:textId="7C3D8365" w:rsidR="003F6D04" w:rsidRPr="008F1E82" w:rsidRDefault="003F6D04" w:rsidP="00867C59">
      <w:pPr>
        <w:rPr>
          <w:b/>
          <w:bCs/>
        </w:rPr>
      </w:pPr>
      <w:r w:rsidRPr="008F1E82">
        <w:rPr>
          <w:b/>
          <w:bCs/>
        </w:rPr>
        <w:fldChar w:fldCharType="begin"/>
      </w:r>
      <w:r w:rsidRPr="008F1E82">
        <w:rPr>
          <w:b/>
          <w:bCs/>
        </w:rPr>
        <w:instrText xml:space="preserve"> REF _Ref197744835 \h </w:instrText>
      </w:r>
      <w:r w:rsidR="008F1E82" w:rsidRPr="008F1E82">
        <w:rPr>
          <w:b/>
          <w:bCs/>
        </w:rPr>
        <w:instrText xml:space="preserve"> \* MERGEFORMAT </w:instrText>
      </w:r>
      <w:r w:rsidRPr="008F1E82">
        <w:rPr>
          <w:b/>
          <w:bCs/>
        </w:rPr>
      </w:r>
      <w:r w:rsidRPr="008F1E82">
        <w:rPr>
          <w:b/>
          <w:bCs/>
        </w:rPr>
        <w:fldChar w:fldCharType="separate"/>
      </w:r>
      <w:r w:rsidRPr="008F1E82">
        <w:rPr>
          <w:b/>
          <w:bCs/>
        </w:rPr>
        <w:t xml:space="preserve">Proposal </w:t>
      </w:r>
      <w:r w:rsidRPr="008F1E82">
        <w:rPr>
          <w:b/>
          <w:bCs/>
          <w:noProof/>
        </w:rPr>
        <w:t>8</w:t>
      </w:r>
      <w:r w:rsidRPr="008F1E82">
        <w:rPr>
          <w:b/>
          <w:bCs/>
        </w:rPr>
        <w:t>: UE is not expected to be scheduled or configured with UE-specific downlink resources overlapping with switching gaps.</w:t>
      </w:r>
      <w:r w:rsidRPr="008F1E82">
        <w:rPr>
          <w:b/>
          <w:bCs/>
        </w:rPr>
        <w:fldChar w:fldCharType="end"/>
      </w:r>
    </w:p>
    <w:p w14:paraId="7243A748" w14:textId="5EE6BEEA" w:rsidR="003F6D04" w:rsidRPr="008F1E82" w:rsidRDefault="003F6D04" w:rsidP="00867C59">
      <w:pPr>
        <w:rPr>
          <w:b/>
          <w:bCs/>
        </w:rPr>
      </w:pPr>
      <w:r w:rsidRPr="008F1E82">
        <w:rPr>
          <w:b/>
          <w:bCs/>
        </w:rPr>
        <w:fldChar w:fldCharType="begin"/>
      </w:r>
      <w:r w:rsidRPr="008F1E82">
        <w:rPr>
          <w:b/>
          <w:bCs/>
        </w:rPr>
        <w:instrText xml:space="preserve"> REF _Ref197744841 \h </w:instrText>
      </w:r>
      <w:r w:rsidR="008F1E82" w:rsidRPr="008F1E82">
        <w:rPr>
          <w:b/>
          <w:bCs/>
        </w:rPr>
        <w:instrText xml:space="preserve"> \* MERGEFORMAT </w:instrText>
      </w:r>
      <w:r w:rsidRPr="008F1E82">
        <w:rPr>
          <w:b/>
          <w:bCs/>
        </w:rPr>
      </w:r>
      <w:r w:rsidRPr="008F1E82">
        <w:rPr>
          <w:b/>
          <w:bCs/>
        </w:rPr>
        <w:fldChar w:fldCharType="separate"/>
      </w:r>
      <w:r w:rsidRPr="008F1E82">
        <w:rPr>
          <w:b/>
          <w:bCs/>
        </w:rPr>
        <w:t xml:space="preserve">Proposal </w:t>
      </w:r>
      <w:r w:rsidRPr="008F1E82">
        <w:rPr>
          <w:b/>
          <w:bCs/>
          <w:noProof/>
        </w:rPr>
        <w:t>9</w:t>
      </w:r>
      <w:r w:rsidRPr="008F1E82">
        <w:rPr>
          <w:b/>
          <w:bCs/>
        </w:rPr>
        <w:t>: UE is not expected to be scheduled or configured with UE-specific uplink resources overlapping with switching periods.</w:t>
      </w:r>
      <w:r w:rsidRPr="008F1E82">
        <w:rPr>
          <w:b/>
          <w:bCs/>
        </w:rPr>
        <w:fldChar w:fldCharType="end"/>
      </w:r>
    </w:p>
    <w:p w14:paraId="3F4D53D3" w14:textId="5536EF59" w:rsidR="003F6D04" w:rsidRDefault="003F6D04" w:rsidP="00867C59">
      <w:pPr>
        <w:rPr>
          <w:b/>
          <w:bCs/>
        </w:rPr>
      </w:pPr>
      <w:r w:rsidRPr="008F1E82">
        <w:rPr>
          <w:b/>
          <w:bCs/>
        </w:rPr>
        <w:fldChar w:fldCharType="begin"/>
      </w:r>
      <w:r w:rsidRPr="008F1E82">
        <w:rPr>
          <w:b/>
          <w:bCs/>
        </w:rPr>
        <w:instrText xml:space="preserve"> REF _Ref197744847 \h </w:instrText>
      </w:r>
      <w:r w:rsidR="008F1E82" w:rsidRPr="008F1E82">
        <w:rPr>
          <w:b/>
          <w:bCs/>
        </w:rPr>
        <w:instrText xml:space="preserve"> \* MERGEFORMAT </w:instrText>
      </w:r>
      <w:r w:rsidRPr="008F1E82">
        <w:rPr>
          <w:b/>
          <w:bCs/>
        </w:rPr>
      </w:r>
      <w:r w:rsidRPr="008F1E82">
        <w:rPr>
          <w:b/>
          <w:bCs/>
        </w:rPr>
        <w:fldChar w:fldCharType="separate"/>
      </w:r>
      <w:r w:rsidRPr="008F1E82">
        <w:rPr>
          <w:b/>
          <w:bCs/>
        </w:rPr>
        <w:t xml:space="preserve">Proposal </w:t>
      </w:r>
      <w:r w:rsidRPr="008F1E82">
        <w:rPr>
          <w:b/>
          <w:bCs/>
          <w:noProof/>
        </w:rPr>
        <w:t>10</w:t>
      </w:r>
      <w:r w:rsidRPr="008F1E82">
        <w:rPr>
          <w:b/>
          <w:bCs/>
        </w:rPr>
        <w:t>: For a received PDSCH at slot n on either FDD or SDL carrier, UE expects to be configured a K1 value so that it is on the FDD carrier at slot n+K1 according to its configured switching pattern where K1 is configured according to existing UE capabilities reported by UE.</w:t>
      </w:r>
      <w:r w:rsidRPr="008F1E82">
        <w:rPr>
          <w:b/>
          <w:bCs/>
        </w:rPr>
        <w:fldChar w:fldCharType="end"/>
      </w:r>
    </w:p>
    <w:p w14:paraId="770E3617" w14:textId="3DE04177" w:rsidR="00C6326B" w:rsidRPr="00C6326B" w:rsidRDefault="00C6326B" w:rsidP="00C6326B">
      <w:pPr>
        <w:pStyle w:val="ListParagraph"/>
        <w:numPr>
          <w:ilvl w:val="0"/>
          <w:numId w:val="37"/>
        </w:numPr>
        <w:ind w:firstLineChars="0"/>
        <w:rPr>
          <w:b/>
          <w:bCs/>
          <w:sz w:val="20"/>
          <w:szCs w:val="20"/>
        </w:rPr>
      </w:pPr>
      <w:r w:rsidRPr="00C6326B">
        <w:rPr>
          <w:b/>
          <w:bCs/>
          <w:sz w:val="20"/>
          <w:szCs w:val="20"/>
        </w:rPr>
        <w:t>No new K1 values and HARQ process numbers are introduced for this feature.</w:t>
      </w:r>
    </w:p>
    <w:p w14:paraId="4C174981" w14:textId="77777777" w:rsidR="00C6326B" w:rsidRPr="00C6326B" w:rsidRDefault="00C6326B" w:rsidP="00C6326B">
      <w:pPr>
        <w:pStyle w:val="ListParagraph"/>
        <w:ind w:left="720" w:firstLineChars="0" w:firstLine="0"/>
        <w:rPr>
          <w:b/>
          <w:bCs/>
        </w:rPr>
      </w:pPr>
    </w:p>
    <w:p w14:paraId="2641E088" w14:textId="37890917" w:rsidR="003F6D04" w:rsidRDefault="003F6D04" w:rsidP="00867C59">
      <w:pPr>
        <w:rPr>
          <w:b/>
          <w:bCs/>
        </w:rPr>
      </w:pPr>
      <w:r w:rsidRPr="008F1E82">
        <w:rPr>
          <w:b/>
          <w:bCs/>
        </w:rPr>
        <w:fldChar w:fldCharType="begin"/>
      </w:r>
      <w:r w:rsidRPr="008F1E82">
        <w:rPr>
          <w:b/>
          <w:bCs/>
        </w:rPr>
        <w:instrText xml:space="preserve"> REF _Ref197744859 \h </w:instrText>
      </w:r>
      <w:r w:rsidR="008F1E82" w:rsidRPr="008F1E82">
        <w:rPr>
          <w:b/>
          <w:bCs/>
        </w:rPr>
        <w:instrText xml:space="preserve"> \* MERGEFORMAT </w:instrText>
      </w:r>
      <w:r w:rsidRPr="008F1E82">
        <w:rPr>
          <w:b/>
          <w:bCs/>
        </w:rPr>
      </w:r>
      <w:r w:rsidRPr="008F1E82">
        <w:rPr>
          <w:b/>
          <w:bCs/>
        </w:rPr>
        <w:fldChar w:fldCharType="separate"/>
      </w:r>
      <w:r w:rsidRPr="008F1E82">
        <w:rPr>
          <w:b/>
          <w:bCs/>
        </w:rPr>
        <w:t xml:space="preserve">Proposal </w:t>
      </w:r>
      <w:r w:rsidRPr="008F1E82">
        <w:rPr>
          <w:b/>
          <w:bCs/>
          <w:noProof/>
        </w:rPr>
        <w:t>11</w:t>
      </w:r>
      <w:r w:rsidRPr="008F1E82">
        <w:rPr>
          <w:b/>
          <w:bCs/>
        </w:rPr>
        <w:t>: Once configured with a semi-static switching pattern, UE is in principle only expected to switch between the FDD carrier and the SDL carrier, according to the configured switching pattern. No additional switching is expected except for RACH procedure.</w:t>
      </w:r>
      <w:r w:rsidRPr="008F1E82">
        <w:rPr>
          <w:b/>
          <w:bCs/>
        </w:rPr>
        <w:fldChar w:fldCharType="end"/>
      </w:r>
    </w:p>
    <w:p w14:paraId="217B456F" w14:textId="5D676FC2" w:rsidR="00AC75EC" w:rsidRPr="00AC75EC" w:rsidRDefault="00AC75EC" w:rsidP="00AC75EC">
      <w:pPr>
        <w:pStyle w:val="ListParagraph"/>
        <w:numPr>
          <w:ilvl w:val="0"/>
          <w:numId w:val="37"/>
        </w:numPr>
        <w:ind w:firstLineChars="0"/>
        <w:rPr>
          <w:b/>
          <w:bCs/>
          <w:sz w:val="20"/>
          <w:szCs w:val="20"/>
        </w:rPr>
      </w:pPr>
      <w:r w:rsidRPr="00AC75EC">
        <w:rPr>
          <w:b/>
          <w:bCs/>
          <w:sz w:val="20"/>
          <w:szCs w:val="20"/>
        </w:rPr>
        <w:t>The base station shall not schedule or configure the UE in a way conflicting to the configured switching pattern.</w:t>
      </w:r>
    </w:p>
    <w:p w14:paraId="1A41A5C2" w14:textId="77777777" w:rsidR="00AC75EC" w:rsidRPr="00AC75EC" w:rsidRDefault="00AC75EC" w:rsidP="00AC75EC">
      <w:pPr>
        <w:pStyle w:val="ListParagraph"/>
        <w:ind w:left="720" w:firstLineChars="0" w:firstLine="0"/>
        <w:rPr>
          <w:b/>
          <w:bCs/>
        </w:rPr>
      </w:pPr>
    </w:p>
    <w:p w14:paraId="47E44FF2" w14:textId="1F2E9671" w:rsidR="003F6D04" w:rsidRDefault="003F6D04" w:rsidP="00867C59">
      <w:pPr>
        <w:rPr>
          <w:b/>
          <w:bCs/>
        </w:rPr>
      </w:pPr>
      <w:r w:rsidRPr="008F1E82">
        <w:rPr>
          <w:b/>
          <w:bCs/>
        </w:rPr>
        <w:fldChar w:fldCharType="begin"/>
      </w:r>
      <w:r w:rsidRPr="008F1E82">
        <w:rPr>
          <w:b/>
          <w:bCs/>
        </w:rPr>
        <w:instrText xml:space="preserve"> REF _Ref197744866 \h </w:instrText>
      </w:r>
      <w:r w:rsidR="008F1E82" w:rsidRPr="008F1E82">
        <w:rPr>
          <w:b/>
          <w:bCs/>
        </w:rPr>
        <w:instrText xml:space="preserve"> \* MERGEFORMAT </w:instrText>
      </w:r>
      <w:r w:rsidRPr="008F1E82">
        <w:rPr>
          <w:b/>
          <w:bCs/>
        </w:rPr>
      </w:r>
      <w:r w:rsidRPr="008F1E82">
        <w:rPr>
          <w:b/>
          <w:bCs/>
        </w:rPr>
        <w:fldChar w:fldCharType="separate"/>
      </w:r>
      <w:r w:rsidRPr="008F1E82">
        <w:rPr>
          <w:b/>
          <w:bCs/>
        </w:rPr>
        <w:t xml:space="preserve">Proposal </w:t>
      </w:r>
      <w:r w:rsidRPr="008F1E82">
        <w:rPr>
          <w:b/>
          <w:bCs/>
          <w:noProof/>
        </w:rPr>
        <w:t>12</w:t>
      </w:r>
      <w:r w:rsidRPr="008F1E82">
        <w:rPr>
          <w:b/>
          <w:bCs/>
        </w:rPr>
        <w:t>: When RACH is triggered, UE discards the configured switching pattern and stays on the FDD carrier to complete RACH.</w:t>
      </w:r>
      <w:r w:rsidRPr="008F1E82">
        <w:rPr>
          <w:b/>
          <w:bCs/>
        </w:rPr>
        <w:fldChar w:fldCharType="end"/>
      </w:r>
    </w:p>
    <w:p w14:paraId="5BA7AC56" w14:textId="77777777" w:rsidR="00FA65C9" w:rsidRDefault="00FA65C9" w:rsidP="00FA65C9">
      <w:pPr>
        <w:pStyle w:val="ListParagraph"/>
        <w:numPr>
          <w:ilvl w:val="0"/>
          <w:numId w:val="38"/>
        </w:numPr>
        <w:ind w:firstLineChars="0"/>
        <w:rPr>
          <w:b/>
          <w:bCs/>
          <w:sz w:val="20"/>
          <w:szCs w:val="20"/>
        </w:rPr>
      </w:pPr>
      <w:r>
        <w:rPr>
          <w:b/>
          <w:bCs/>
          <w:sz w:val="20"/>
          <w:szCs w:val="20"/>
        </w:rPr>
        <w:t>When RACH is completed, select one of the following for UE to continue switching between the two carriers</w:t>
      </w:r>
    </w:p>
    <w:p w14:paraId="4A8B3D34" w14:textId="77777777" w:rsidR="00FA65C9" w:rsidRDefault="00FA65C9" w:rsidP="00FA65C9">
      <w:pPr>
        <w:pStyle w:val="ListParagraph"/>
        <w:numPr>
          <w:ilvl w:val="1"/>
          <w:numId w:val="38"/>
        </w:numPr>
        <w:ind w:firstLineChars="0"/>
        <w:rPr>
          <w:b/>
          <w:bCs/>
          <w:sz w:val="20"/>
          <w:szCs w:val="20"/>
        </w:rPr>
      </w:pPr>
      <w:r>
        <w:rPr>
          <w:b/>
          <w:bCs/>
          <w:sz w:val="20"/>
          <w:szCs w:val="20"/>
        </w:rPr>
        <w:t>Alt 1: gNB reconfigures UE a switching pattern</w:t>
      </w:r>
    </w:p>
    <w:p w14:paraId="5AB7C530" w14:textId="77777777" w:rsidR="00FA65C9" w:rsidRDefault="00FA65C9" w:rsidP="00FA65C9">
      <w:pPr>
        <w:pStyle w:val="ListParagraph"/>
        <w:numPr>
          <w:ilvl w:val="1"/>
          <w:numId w:val="38"/>
        </w:numPr>
        <w:ind w:firstLineChars="0"/>
        <w:rPr>
          <w:b/>
          <w:bCs/>
          <w:sz w:val="20"/>
          <w:szCs w:val="20"/>
        </w:rPr>
      </w:pPr>
      <w:r>
        <w:rPr>
          <w:b/>
          <w:bCs/>
          <w:sz w:val="20"/>
          <w:szCs w:val="20"/>
        </w:rPr>
        <w:t>Alt 2: UE autonomously resumes the applicability of its switching pattern.</w:t>
      </w:r>
    </w:p>
    <w:p w14:paraId="57149F59" w14:textId="77777777" w:rsidR="00FA65C9" w:rsidRDefault="00FA65C9" w:rsidP="00FA65C9">
      <w:pPr>
        <w:pStyle w:val="ListParagraph"/>
        <w:numPr>
          <w:ilvl w:val="2"/>
          <w:numId w:val="38"/>
        </w:numPr>
        <w:ind w:firstLineChars="0"/>
        <w:rPr>
          <w:b/>
          <w:bCs/>
          <w:sz w:val="20"/>
          <w:szCs w:val="20"/>
        </w:rPr>
      </w:pPr>
      <w:r>
        <w:rPr>
          <w:b/>
          <w:bCs/>
          <w:sz w:val="20"/>
          <w:szCs w:val="20"/>
        </w:rPr>
        <w:t>FFS: detailed timeline to avoid ambiguity between gNB and UE</w:t>
      </w:r>
    </w:p>
    <w:p w14:paraId="11B2C0ED" w14:textId="77777777" w:rsidR="00FA65C9" w:rsidRPr="008F1E82" w:rsidRDefault="00FA65C9" w:rsidP="00867C59">
      <w:pPr>
        <w:rPr>
          <w:b/>
          <w:bCs/>
        </w:rPr>
      </w:pPr>
    </w:p>
    <w:p w14:paraId="400CE0F4" w14:textId="594E33C8" w:rsidR="003F6D04" w:rsidRDefault="003F6D04" w:rsidP="00867C59">
      <w:pPr>
        <w:rPr>
          <w:b/>
          <w:bCs/>
        </w:rPr>
      </w:pPr>
      <w:r w:rsidRPr="008F1E82">
        <w:rPr>
          <w:b/>
          <w:bCs/>
        </w:rPr>
        <w:fldChar w:fldCharType="begin"/>
      </w:r>
      <w:r w:rsidRPr="008F1E82">
        <w:rPr>
          <w:b/>
          <w:bCs/>
        </w:rPr>
        <w:instrText xml:space="preserve"> REF _Ref197744881 \h </w:instrText>
      </w:r>
      <w:r w:rsidR="008F1E82" w:rsidRPr="008F1E82">
        <w:rPr>
          <w:b/>
          <w:bCs/>
        </w:rPr>
        <w:instrText xml:space="preserve"> \* MERGEFORMAT </w:instrText>
      </w:r>
      <w:r w:rsidRPr="008F1E82">
        <w:rPr>
          <w:b/>
          <w:bCs/>
        </w:rPr>
      </w:r>
      <w:r w:rsidRPr="008F1E82">
        <w:rPr>
          <w:b/>
          <w:bCs/>
        </w:rPr>
        <w:fldChar w:fldCharType="separate"/>
      </w:r>
      <w:r w:rsidRPr="008F1E82">
        <w:rPr>
          <w:b/>
          <w:bCs/>
        </w:rPr>
        <w:t xml:space="preserve">Proposal </w:t>
      </w:r>
      <w:r w:rsidRPr="008F1E82">
        <w:rPr>
          <w:b/>
          <w:bCs/>
          <w:noProof/>
        </w:rPr>
        <w:t>13</w:t>
      </w:r>
      <w:r w:rsidRPr="008F1E82">
        <w:rPr>
          <w:b/>
          <w:bCs/>
        </w:rPr>
        <w:t>: For low-band carrier aggregation via switching, when there is at least a carrier switch between the received downlink PDCCH/PDSCH and the corresponding uplink transmission PUCCH/PUSCH/SRS,</w:t>
      </w:r>
      <w:r w:rsidRPr="008F1E82">
        <w:rPr>
          <w:b/>
          <w:bCs/>
        </w:rPr>
        <w:fldChar w:fldCharType="end"/>
      </w:r>
    </w:p>
    <w:p w14:paraId="5687767E" w14:textId="77777777" w:rsidR="003626EA" w:rsidRDefault="003626EA" w:rsidP="003626EA">
      <w:pPr>
        <w:pStyle w:val="Caption"/>
        <w:numPr>
          <w:ilvl w:val="0"/>
          <w:numId w:val="39"/>
        </w:numPr>
        <w:textAlignment w:val="auto"/>
        <w:rPr>
          <w:lang w:eastAsia="zh-TW"/>
        </w:rPr>
      </w:pPr>
      <w:r>
        <w:t xml:space="preserve">introduce additional processing time for UE in the following cases: </w:t>
      </w:r>
    </w:p>
    <w:p w14:paraId="25D9A1A2" w14:textId="77777777" w:rsidR="003626EA" w:rsidRDefault="003626EA" w:rsidP="003626EA">
      <w:pPr>
        <w:pStyle w:val="Caption"/>
        <w:numPr>
          <w:ilvl w:val="1"/>
          <w:numId w:val="39"/>
        </w:numPr>
        <w:textAlignment w:val="auto"/>
      </w:pPr>
      <w:r>
        <w:t>Case 1: A PUCCH transmission with HARQ-ACK for a PDSCH</w:t>
      </w:r>
    </w:p>
    <w:p w14:paraId="291A7FDF" w14:textId="77777777" w:rsidR="003626EA" w:rsidRDefault="003626EA" w:rsidP="003626EA">
      <w:pPr>
        <w:pStyle w:val="Caption"/>
        <w:numPr>
          <w:ilvl w:val="1"/>
          <w:numId w:val="39"/>
        </w:numPr>
        <w:textAlignment w:val="auto"/>
      </w:pPr>
      <w:r>
        <w:t>Case 2: PDCCH reception schedules a PUSCH transmission</w:t>
      </w:r>
    </w:p>
    <w:p w14:paraId="78A85471" w14:textId="77777777" w:rsidR="003626EA" w:rsidRDefault="003626EA" w:rsidP="003626EA">
      <w:pPr>
        <w:pStyle w:val="Caption"/>
        <w:numPr>
          <w:ilvl w:val="1"/>
          <w:numId w:val="39"/>
        </w:numPr>
        <w:textAlignment w:val="auto"/>
        <w:rPr>
          <w:lang w:eastAsia="zh-TW"/>
        </w:rPr>
      </w:pPr>
      <w:r>
        <w:t>Case 3: A PDCCH reception indicates SRS transmission</w:t>
      </w:r>
    </w:p>
    <w:p w14:paraId="6CBC695C" w14:textId="77777777" w:rsidR="003626EA" w:rsidRDefault="003626EA" w:rsidP="003626EA">
      <w:pPr>
        <w:pStyle w:val="Caption"/>
        <w:numPr>
          <w:ilvl w:val="0"/>
          <w:numId w:val="39"/>
        </w:numPr>
        <w:textAlignment w:val="auto"/>
        <w:rPr>
          <w:lang w:eastAsia="zh-TW"/>
        </w:rPr>
      </w:pPr>
      <w:r>
        <w:t xml:space="preserve">The additional processing required for a UE is the switching period, 35us or 140us, indicated by the UE.  </w:t>
      </w:r>
    </w:p>
    <w:p w14:paraId="1322E76F" w14:textId="77777777" w:rsidR="003626EA" w:rsidRDefault="003626EA" w:rsidP="003626EA">
      <w:pPr>
        <w:pStyle w:val="Caption"/>
        <w:numPr>
          <w:ilvl w:val="0"/>
          <w:numId w:val="39"/>
        </w:numPr>
        <w:textAlignment w:val="auto"/>
        <w:rPr>
          <w:lang w:eastAsia="zh-TW"/>
        </w:rPr>
      </w:pPr>
      <w:r>
        <w:t xml:space="preserve">UE does not expect to have more than one SDL-&gt;FDD switch or more than one FDD-&gt;SDL switch between the received downlink PDCCH/PDSCH and the corresponding uplink transmission (PUCCH/PUSCH/SRS).   </w:t>
      </w:r>
      <w:r>
        <w:rPr>
          <w:lang w:eastAsia="zh-TW"/>
        </w:rPr>
        <w:t xml:space="preserve">  </w:t>
      </w:r>
    </w:p>
    <w:p w14:paraId="209ACC2D" w14:textId="77777777" w:rsidR="003626EA" w:rsidRPr="001C7B0C" w:rsidRDefault="003626EA" w:rsidP="00867C59">
      <w:pPr>
        <w:rPr>
          <w:b/>
          <w:bCs/>
        </w:rPr>
      </w:pPr>
    </w:p>
    <w:p w14:paraId="66EFD5C2" w14:textId="27FBB53F" w:rsidR="00623C18" w:rsidRDefault="00623C18" w:rsidP="00623C18">
      <w:pPr>
        <w:pStyle w:val="Heading1"/>
        <w:numPr>
          <w:ilvl w:val="0"/>
          <w:numId w:val="0"/>
        </w:numPr>
        <w:ind w:left="432" w:hanging="432"/>
        <w:jc w:val="both"/>
        <w:rPr>
          <w:lang w:val="en-US" w:eastAsia="zh-CN"/>
        </w:rPr>
      </w:pPr>
      <w:r>
        <w:rPr>
          <w:rFonts w:eastAsia="SimSun"/>
          <w:lang w:val="en-US" w:eastAsia="zh-CN"/>
        </w:rPr>
        <w:t xml:space="preserve">References </w:t>
      </w:r>
    </w:p>
    <w:p w14:paraId="5E8F92D2" w14:textId="493511C3" w:rsidR="00623C18" w:rsidRDefault="00623C18" w:rsidP="00920E7D">
      <w:pPr>
        <w:numPr>
          <w:ilvl w:val="0"/>
          <w:numId w:val="14"/>
        </w:numPr>
        <w:overflowPunct/>
        <w:autoSpaceDE/>
        <w:spacing w:after="120"/>
        <w:textAlignment w:val="auto"/>
        <w:rPr>
          <w:lang w:eastAsia="zh-CN"/>
        </w:rPr>
      </w:pPr>
      <w:bookmarkStart w:id="40" w:name="_Ref189662423"/>
      <w:bookmarkStart w:id="41" w:name="_Ref192147570"/>
      <w:bookmarkStart w:id="42" w:name="_Ref174135906"/>
      <w:bookmarkStart w:id="43" w:name="_Ref149935817"/>
      <w:bookmarkStart w:id="44" w:name="_Ref131794943"/>
      <w:bookmarkStart w:id="45" w:name="_Ref131684639"/>
      <w:bookmarkStart w:id="46" w:name="_Ref163135714"/>
      <w:r>
        <w:t xml:space="preserve">RP-243317, “New WID on low band carrier aggregation via switching,” </w:t>
      </w:r>
      <w:bookmarkEnd w:id="40"/>
      <w:r>
        <w:t xml:space="preserve">3GPP RAN #106 </w:t>
      </w:r>
      <w:r w:rsidR="00165F9E">
        <w:t>M</w:t>
      </w:r>
      <w:r>
        <w:t>eeting, Dec. 2024</w:t>
      </w:r>
      <w:bookmarkEnd w:id="41"/>
    </w:p>
    <w:p w14:paraId="55BCB714" w14:textId="05807810" w:rsidR="00CA6A14" w:rsidRDefault="00CA6A14" w:rsidP="00920E7D">
      <w:pPr>
        <w:numPr>
          <w:ilvl w:val="0"/>
          <w:numId w:val="14"/>
        </w:numPr>
        <w:overflowPunct/>
        <w:autoSpaceDE/>
        <w:spacing w:after="120"/>
        <w:textAlignment w:val="auto"/>
      </w:pPr>
      <w:bookmarkStart w:id="47" w:name="_Ref193174921"/>
      <w:bookmarkStart w:id="48" w:name="_Ref189665367"/>
      <w:bookmarkStart w:id="49" w:name="_Ref192168787"/>
      <w:r w:rsidRPr="00CA6A14">
        <w:t>RP-250247, “Revised WID on Low NR band carrier aggregation via switching,” 3GPP RAN#107 Meeting, March 2025</w:t>
      </w:r>
      <w:bookmarkEnd w:id="47"/>
    </w:p>
    <w:p w14:paraId="45007C1F" w14:textId="281397BB" w:rsidR="00623C18" w:rsidRDefault="0080679C" w:rsidP="00920E7D">
      <w:pPr>
        <w:numPr>
          <w:ilvl w:val="0"/>
          <w:numId w:val="14"/>
        </w:numPr>
        <w:overflowPunct/>
        <w:autoSpaceDE/>
        <w:spacing w:after="120"/>
        <w:textAlignment w:val="auto"/>
      </w:pPr>
      <w:bookmarkStart w:id="50" w:name="_Ref193184329"/>
      <w:r w:rsidRPr="0080679C">
        <w:t>R1-2501700</w:t>
      </w:r>
      <w:r>
        <w:t xml:space="preserve"> (</w:t>
      </w:r>
      <w:r w:rsidR="00623C18">
        <w:t>R4-2502697</w:t>
      </w:r>
      <w:r>
        <w:t>)</w:t>
      </w:r>
      <w:r w:rsidR="00623C18">
        <w:t>, “LS of RAN4 RRM agreements on LB CA via switching,” 3GPP RAN4#114 Meeting, Feb. 202</w:t>
      </w:r>
      <w:bookmarkEnd w:id="42"/>
      <w:bookmarkEnd w:id="48"/>
      <w:r w:rsidR="00623C18">
        <w:t>5</w:t>
      </w:r>
      <w:bookmarkEnd w:id="49"/>
      <w:bookmarkEnd w:id="50"/>
    </w:p>
    <w:p w14:paraId="3775F985" w14:textId="746C056B" w:rsidR="00623C18" w:rsidRPr="00034FE1" w:rsidRDefault="00A41DEA" w:rsidP="00867C59">
      <w:pPr>
        <w:numPr>
          <w:ilvl w:val="0"/>
          <w:numId w:val="14"/>
        </w:numPr>
        <w:overflowPunct/>
        <w:autoSpaceDE/>
        <w:spacing w:after="120"/>
        <w:textAlignment w:val="auto"/>
      </w:pPr>
      <w:bookmarkStart w:id="51" w:name="_Ref197744417"/>
      <w:bookmarkEnd w:id="43"/>
      <w:bookmarkEnd w:id="44"/>
      <w:bookmarkEnd w:id="45"/>
      <w:bookmarkEnd w:id="46"/>
      <w:r w:rsidRPr="00A41DEA">
        <w:t>R1-2502216</w:t>
      </w:r>
      <w:r>
        <w:t>, “</w:t>
      </w:r>
      <w:r w:rsidRPr="00A41DEA">
        <w:t>Discussion on low band CA via switching</w:t>
      </w:r>
      <w:r>
        <w:t>,” 3GPP RAN1#120bis Meeting, April. 2025</w:t>
      </w:r>
      <w:bookmarkEnd w:id="51"/>
    </w:p>
    <w:sectPr w:rsidR="00623C18" w:rsidRPr="00034FE1" w:rsidSect="0054620D">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44A52" w14:textId="77777777" w:rsidR="00E357F5" w:rsidRDefault="00E357F5">
      <w:r>
        <w:separator/>
      </w:r>
    </w:p>
  </w:endnote>
  <w:endnote w:type="continuationSeparator" w:id="0">
    <w:p w14:paraId="2353AF90" w14:textId="77777777" w:rsidR="00E357F5" w:rsidRDefault="00E35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7A3E1F" w:rsidRDefault="007A3E1F">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7A3E1F" w:rsidRDefault="007A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1410B" w14:textId="77777777" w:rsidR="00E357F5" w:rsidRDefault="00E357F5">
      <w:r>
        <w:separator/>
      </w:r>
    </w:p>
  </w:footnote>
  <w:footnote w:type="continuationSeparator" w:id="0">
    <w:p w14:paraId="5499C4C0" w14:textId="77777777" w:rsidR="00E357F5" w:rsidRDefault="00E35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D4064"/>
    <w:multiLevelType w:val="hybridMultilevel"/>
    <w:tmpl w:val="B7223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93628"/>
    <w:multiLevelType w:val="hybridMultilevel"/>
    <w:tmpl w:val="F2A69486"/>
    <w:lvl w:ilvl="0" w:tplc="04090001">
      <w:start w:val="1"/>
      <w:numFmt w:val="bullet"/>
      <w:lvlText w:val=""/>
      <w:lvlJc w:val="left"/>
      <w:pPr>
        <w:ind w:left="766" w:hanging="360"/>
      </w:pPr>
      <w:rPr>
        <w:rFonts w:ascii="Symbol" w:hAnsi="Symbol" w:hint="default"/>
      </w:rPr>
    </w:lvl>
    <w:lvl w:ilvl="1" w:tplc="3F529C7A">
      <w:numFmt w:val="bullet"/>
      <w:lvlText w:val="-"/>
      <w:lvlJc w:val="left"/>
      <w:pPr>
        <w:ind w:left="1486" w:hanging="360"/>
      </w:pPr>
      <w:rPr>
        <w:rFonts w:ascii="Times New Roman" w:eastAsiaTheme="minorEastAsia" w:hAnsi="Times New Roman" w:cs="Times New Roman"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F56F78"/>
    <w:multiLevelType w:val="hybridMultilevel"/>
    <w:tmpl w:val="483ED88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55690D"/>
    <w:multiLevelType w:val="hybridMultilevel"/>
    <w:tmpl w:val="AC98E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DB4E19"/>
    <w:multiLevelType w:val="multilevel"/>
    <w:tmpl w:val="ABBE2D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42340E"/>
    <w:multiLevelType w:val="hybridMultilevel"/>
    <w:tmpl w:val="9D2E75E8"/>
    <w:lvl w:ilvl="0" w:tplc="847C0AB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C40D4F"/>
    <w:multiLevelType w:val="hybridMultilevel"/>
    <w:tmpl w:val="5D8E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5F3B62"/>
    <w:multiLevelType w:val="hybridMultilevel"/>
    <w:tmpl w:val="0BE6E2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4E5D37"/>
    <w:multiLevelType w:val="hybridMultilevel"/>
    <w:tmpl w:val="47F02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1A5933"/>
    <w:multiLevelType w:val="hybridMultilevel"/>
    <w:tmpl w:val="1B9CB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6130273B"/>
    <w:multiLevelType w:val="hybridMultilevel"/>
    <w:tmpl w:val="7F648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4E2D58"/>
    <w:multiLevelType w:val="hybridMultilevel"/>
    <w:tmpl w:val="64A81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6895040">
    <w:abstractNumId w:val="5"/>
  </w:num>
  <w:num w:numId="2" w16cid:durableId="1637754017">
    <w:abstractNumId w:val="4"/>
  </w:num>
  <w:num w:numId="3" w16cid:durableId="1589804495">
    <w:abstractNumId w:val="31"/>
  </w:num>
  <w:num w:numId="4" w16cid:durableId="552733674">
    <w:abstractNumId w:val="32"/>
  </w:num>
  <w:num w:numId="5" w16cid:durableId="1677728921">
    <w:abstractNumId w:val="2"/>
  </w:num>
  <w:num w:numId="6" w16cid:durableId="1137146001">
    <w:abstractNumId w:val="23"/>
  </w:num>
  <w:num w:numId="7" w16cid:durableId="1799103365">
    <w:abstractNumId w:val="24"/>
  </w:num>
  <w:num w:numId="8" w16cid:durableId="944925966">
    <w:abstractNumId w:val="3"/>
  </w:num>
  <w:num w:numId="9" w16cid:durableId="1573929314">
    <w:abstractNumId w:val="11"/>
  </w:num>
  <w:num w:numId="10" w16cid:durableId="1085147673">
    <w:abstractNumId w:val="20"/>
  </w:num>
  <w:num w:numId="11" w16cid:durableId="287592762">
    <w:abstractNumId w:val="16"/>
  </w:num>
  <w:num w:numId="12" w16cid:durableId="611472356">
    <w:abstractNumId w:val="30"/>
  </w:num>
  <w:num w:numId="13" w16cid:durableId="789014941">
    <w:abstractNumId w:val="8"/>
  </w:num>
  <w:num w:numId="14" w16cid:durableId="20621719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667214">
    <w:abstractNumId w:val="29"/>
  </w:num>
  <w:num w:numId="16" w16cid:durableId="1458601126">
    <w:abstractNumId w:val="18"/>
  </w:num>
  <w:num w:numId="17" w16cid:durableId="94059923">
    <w:abstractNumId w:val="10"/>
  </w:num>
  <w:num w:numId="18" w16cid:durableId="1535653809">
    <w:abstractNumId w:val="19"/>
  </w:num>
  <w:num w:numId="19" w16cid:durableId="1811824659">
    <w:abstractNumId w:val="7"/>
  </w:num>
  <w:num w:numId="20" w16cid:durableId="1472750549">
    <w:abstractNumId w:val="17"/>
  </w:num>
  <w:num w:numId="21" w16cid:durableId="1795098475">
    <w:abstractNumId w:val="12"/>
  </w:num>
  <w:num w:numId="22" w16cid:durableId="1309820005">
    <w:abstractNumId w:val="26"/>
  </w:num>
  <w:num w:numId="23" w16cid:durableId="547449824">
    <w:abstractNumId w:val="19"/>
  </w:num>
  <w:num w:numId="24" w16cid:durableId="1998996948">
    <w:abstractNumId w:val="7"/>
  </w:num>
  <w:num w:numId="25" w16cid:durableId="1604142667">
    <w:abstractNumId w:val="28"/>
  </w:num>
  <w:num w:numId="26" w16cid:durableId="142703090">
    <w:abstractNumId w:val="9"/>
  </w:num>
  <w:num w:numId="27" w16cid:durableId="2005474450">
    <w:abstractNumId w:val="22"/>
  </w:num>
  <w:num w:numId="28" w16cid:durableId="451899976">
    <w:abstractNumId w:val="27"/>
  </w:num>
  <w:num w:numId="29" w16cid:durableId="603273282">
    <w:abstractNumId w:val="15"/>
  </w:num>
  <w:num w:numId="30" w16cid:durableId="264267324">
    <w:abstractNumId w:val="0"/>
  </w:num>
  <w:num w:numId="31" w16cid:durableId="802192016">
    <w:abstractNumId w:val="6"/>
  </w:num>
  <w:num w:numId="32" w16cid:durableId="666900582">
    <w:abstractNumId w:val="21"/>
  </w:num>
  <w:num w:numId="33" w16cid:durableId="434637945">
    <w:abstractNumId w:val="14"/>
  </w:num>
  <w:num w:numId="34" w16cid:durableId="1160585640">
    <w:abstractNumId w:val="1"/>
  </w:num>
  <w:num w:numId="35" w16cid:durableId="585848904">
    <w:abstractNumId w:val="19"/>
  </w:num>
  <w:num w:numId="36" w16cid:durableId="1868450420">
    <w:abstractNumId w:val="1"/>
  </w:num>
  <w:num w:numId="37" w16cid:durableId="1768842567">
    <w:abstractNumId w:val="13"/>
  </w:num>
  <w:num w:numId="38" w16cid:durableId="1244757589">
    <w:abstractNumId w:val="26"/>
  </w:num>
  <w:num w:numId="39" w16cid:durableId="1177575452">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0FF"/>
    <w:rsid w:val="00000248"/>
    <w:rsid w:val="00000537"/>
    <w:rsid w:val="0000053D"/>
    <w:rsid w:val="00000560"/>
    <w:rsid w:val="00000823"/>
    <w:rsid w:val="00000A34"/>
    <w:rsid w:val="00000AE6"/>
    <w:rsid w:val="00000B03"/>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212F"/>
    <w:rsid w:val="000022E4"/>
    <w:rsid w:val="00002503"/>
    <w:rsid w:val="0000261B"/>
    <w:rsid w:val="00002713"/>
    <w:rsid w:val="000027BF"/>
    <w:rsid w:val="000027C4"/>
    <w:rsid w:val="000027CD"/>
    <w:rsid w:val="00002862"/>
    <w:rsid w:val="00002ADB"/>
    <w:rsid w:val="00002B0A"/>
    <w:rsid w:val="00002C5F"/>
    <w:rsid w:val="00002D53"/>
    <w:rsid w:val="00002DAF"/>
    <w:rsid w:val="00002FC8"/>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5153"/>
    <w:rsid w:val="00005718"/>
    <w:rsid w:val="000058B5"/>
    <w:rsid w:val="000058BF"/>
    <w:rsid w:val="00005912"/>
    <w:rsid w:val="00005A41"/>
    <w:rsid w:val="00005BAF"/>
    <w:rsid w:val="00005D22"/>
    <w:rsid w:val="00005D3B"/>
    <w:rsid w:val="0000613E"/>
    <w:rsid w:val="00006161"/>
    <w:rsid w:val="00006264"/>
    <w:rsid w:val="0000699D"/>
    <w:rsid w:val="00006AA0"/>
    <w:rsid w:val="00006B76"/>
    <w:rsid w:val="00006BB9"/>
    <w:rsid w:val="00006D2A"/>
    <w:rsid w:val="00006DBB"/>
    <w:rsid w:val="00006DF3"/>
    <w:rsid w:val="00006DFA"/>
    <w:rsid w:val="00006FD9"/>
    <w:rsid w:val="00007146"/>
    <w:rsid w:val="0000722D"/>
    <w:rsid w:val="000075AC"/>
    <w:rsid w:val="0000769D"/>
    <w:rsid w:val="000076AC"/>
    <w:rsid w:val="00007D0B"/>
    <w:rsid w:val="00007EDA"/>
    <w:rsid w:val="00007EEC"/>
    <w:rsid w:val="00007FCF"/>
    <w:rsid w:val="00010048"/>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B4C"/>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5E47"/>
    <w:rsid w:val="0001604D"/>
    <w:rsid w:val="000161FA"/>
    <w:rsid w:val="00016453"/>
    <w:rsid w:val="000166C7"/>
    <w:rsid w:val="0001688F"/>
    <w:rsid w:val="0001695C"/>
    <w:rsid w:val="00016A36"/>
    <w:rsid w:val="00016FFF"/>
    <w:rsid w:val="0001701A"/>
    <w:rsid w:val="0001708A"/>
    <w:rsid w:val="000170F9"/>
    <w:rsid w:val="00017186"/>
    <w:rsid w:val="000173AC"/>
    <w:rsid w:val="00017446"/>
    <w:rsid w:val="000174BC"/>
    <w:rsid w:val="0001751A"/>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E11"/>
    <w:rsid w:val="00027ED1"/>
    <w:rsid w:val="0003058F"/>
    <w:rsid w:val="00030761"/>
    <w:rsid w:val="00030BFD"/>
    <w:rsid w:val="00030EEF"/>
    <w:rsid w:val="0003115A"/>
    <w:rsid w:val="00031198"/>
    <w:rsid w:val="0003122C"/>
    <w:rsid w:val="00031567"/>
    <w:rsid w:val="000316DD"/>
    <w:rsid w:val="000319EE"/>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4BD"/>
    <w:rsid w:val="000335E0"/>
    <w:rsid w:val="00033639"/>
    <w:rsid w:val="00033ABF"/>
    <w:rsid w:val="00033D87"/>
    <w:rsid w:val="00033E0F"/>
    <w:rsid w:val="00033F21"/>
    <w:rsid w:val="0003419C"/>
    <w:rsid w:val="000342D7"/>
    <w:rsid w:val="000344A7"/>
    <w:rsid w:val="00034623"/>
    <w:rsid w:val="000346B7"/>
    <w:rsid w:val="000348B7"/>
    <w:rsid w:val="00034927"/>
    <w:rsid w:val="00034997"/>
    <w:rsid w:val="00034B32"/>
    <w:rsid w:val="00034FE1"/>
    <w:rsid w:val="00035390"/>
    <w:rsid w:val="0003558D"/>
    <w:rsid w:val="00035766"/>
    <w:rsid w:val="000357E9"/>
    <w:rsid w:val="0003590A"/>
    <w:rsid w:val="00035B8C"/>
    <w:rsid w:val="00035BFC"/>
    <w:rsid w:val="00035D37"/>
    <w:rsid w:val="00035F68"/>
    <w:rsid w:val="00035FC9"/>
    <w:rsid w:val="00036023"/>
    <w:rsid w:val="0003621D"/>
    <w:rsid w:val="00036333"/>
    <w:rsid w:val="00036533"/>
    <w:rsid w:val="00036689"/>
    <w:rsid w:val="000366B6"/>
    <w:rsid w:val="000368E6"/>
    <w:rsid w:val="00036998"/>
    <w:rsid w:val="00036ADC"/>
    <w:rsid w:val="00036C48"/>
    <w:rsid w:val="00036E40"/>
    <w:rsid w:val="00036F89"/>
    <w:rsid w:val="00036FF0"/>
    <w:rsid w:val="0003706B"/>
    <w:rsid w:val="000373B4"/>
    <w:rsid w:val="000373FB"/>
    <w:rsid w:val="0003758E"/>
    <w:rsid w:val="0003798A"/>
    <w:rsid w:val="00037A42"/>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1F"/>
    <w:rsid w:val="00041B6A"/>
    <w:rsid w:val="00041BD6"/>
    <w:rsid w:val="00041D8A"/>
    <w:rsid w:val="00041DC9"/>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B0"/>
    <w:rsid w:val="000430F7"/>
    <w:rsid w:val="00043166"/>
    <w:rsid w:val="000431A1"/>
    <w:rsid w:val="000433FA"/>
    <w:rsid w:val="00043405"/>
    <w:rsid w:val="00043474"/>
    <w:rsid w:val="00043779"/>
    <w:rsid w:val="00043B40"/>
    <w:rsid w:val="00043BC5"/>
    <w:rsid w:val="00043C3A"/>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B5F"/>
    <w:rsid w:val="00045CD0"/>
    <w:rsid w:val="00045DB2"/>
    <w:rsid w:val="00045F90"/>
    <w:rsid w:val="0004602C"/>
    <w:rsid w:val="000460B7"/>
    <w:rsid w:val="000467F1"/>
    <w:rsid w:val="000468A5"/>
    <w:rsid w:val="00046B43"/>
    <w:rsid w:val="00046E02"/>
    <w:rsid w:val="0004704C"/>
    <w:rsid w:val="00047180"/>
    <w:rsid w:val="00047233"/>
    <w:rsid w:val="00047300"/>
    <w:rsid w:val="000473EF"/>
    <w:rsid w:val="00047410"/>
    <w:rsid w:val="000474DB"/>
    <w:rsid w:val="00047564"/>
    <w:rsid w:val="00047976"/>
    <w:rsid w:val="00047A86"/>
    <w:rsid w:val="00047D2B"/>
    <w:rsid w:val="00047FDD"/>
    <w:rsid w:val="000502EF"/>
    <w:rsid w:val="0005055D"/>
    <w:rsid w:val="00050832"/>
    <w:rsid w:val="000508D9"/>
    <w:rsid w:val="00050BF2"/>
    <w:rsid w:val="00050CD4"/>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0E9"/>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B5"/>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29"/>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877"/>
    <w:rsid w:val="0006493F"/>
    <w:rsid w:val="00064AC1"/>
    <w:rsid w:val="00064BE3"/>
    <w:rsid w:val="00064CB0"/>
    <w:rsid w:val="00064EDD"/>
    <w:rsid w:val="000652C9"/>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5E7"/>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40"/>
    <w:rsid w:val="00072466"/>
    <w:rsid w:val="000725F9"/>
    <w:rsid w:val="00072606"/>
    <w:rsid w:val="0007266F"/>
    <w:rsid w:val="00072808"/>
    <w:rsid w:val="00072912"/>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4F2E"/>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B7C"/>
    <w:rsid w:val="00077CC6"/>
    <w:rsid w:val="00077DE2"/>
    <w:rsid w:val="00077E1E"/>
    <w:rsid w:val="00077E6F"/>
    <w:rsid w:val="00077FB5"/>
    <w:rsid w:val="00077FFC"/>
    <w:rsid w:val="0008023D"/>
    <w:rsid w:val="000803FA"/>
    <w:rsid w:val="00080476"/>
    <w:rsid w:val="00080540"/>
    <w:rsid w:val="00080BA3"/>
    <w:rsid w:val="00080D36"/>
    <w:rsid w:val="00080DED"/>
    <w:rsid w:val="00080E6D"/>
    <w:rsid w:val="00081103"/>
    <w:rsid w:val="00081BD5"/>
    <w:rsid w:val="00081C37"/>
    <w:rsid w:val="00081C5F"/>
    <w:rsid w:val="00082286"/>
    <w:rsid w:val="000822E1"/>
    <w:rsid w:val="00082713"/>
    <w:rsid w:val="00082855"/>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64B"/>
    <w:rsid w:val="00084920"/>
    <w:rsid w:val="0008494A"/>
    <w:rsid w:val="00084B7F"/>
    <w:rsid w:val="00084F0C"/>
    <w:rsid w:val="00085088"/>
    <w:rsid w:val="0008518C"/>
    <w:rsid w:val="000851C5"/>
    <w:rsid w:val="000851C9"/>
    <w:rsid w:val="000855F9"/>
    <w:rsid w:val="00085A3B"/>
    <w:rsid w:val="00085DF3"/>
    <w:rsid w:val="00085E11"/>
    <w:rsid w:val="000861E1"/>
    <w:rsid w:val="000863D2"/>
    <w:rsid w:val="0008642A"/>
    <w:rsid w:val="000864CA"/>
    <w:rsid w:val="0008667C"/>
    <w:rsid w:val="000867E2"/>
    <w:rsid w:val="00086872"/>
    <w:rsid w:val="00086906"/>
    <w:rsid w:val="00086A4E"/>
    <w:rsid w:val="00086B96"/>
    <w:rsid w:val="00086D57"/>
    <w:rsid w:val="00086D9C"/>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D35"/>
    <w:rsid w:val="00091F2A"/>
    <w:rsid w:val="00092521"/>
    <w:rsid w:val="00092689"/>
    <w:rsid w:val="000928C6"/>
    <w:rsid w:val="00092B0B"/>
    <w:rsid w:val="00092CD7"/>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BB5"/>
    <w:rsid w:val="00094D81"/>
    <w:rsid w:val="00094FA3"/>
    <w:rsid w:val="0009507E"/>
    <w:rsid w:val="000950C0"/>
    <w:rsid w:val="000950C5"/>
    <w:rsid w:val="00095437"/>
    <w:rsid w:val="00095493"/>
    <w:rsid w:val="0009552A"/>
    <w:rsid w:val="000956AC"/>
    <w:rsid w:val="000956FC"/>
    <w:rsid w:val="00095769"/>
    <w:rsid w:val="0009599F"/>
    <w:rsid w:val="00095E17"/>
    <w:rsid w:val="00095E65"/>
    <w:rsid w:val="0009603F"/>
    <w:rsid w:val="000960EE"/>
    <w:rsid w:val="00096228"/>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3FBA"/>
    <w:rsid w:val="000A4020"/>
    <w:rsid w:val="000A4141"/>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3F1"/>
    <w:rsid w:val="000A562D"/>
    <w:rsid w:val="000A583E"/>
    <w:rsid w:val="000A58F0"/>
    <w:rsid w:val="000A5E54"/>
    <w:rsid w:val="000A60C8"/>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1080"/>
    <w:rsid w:val="000B13E4"/>
    <w:rsid w:val="000B144B"/>
    <w:rsid w:val="000B1FF6"/>
    <w:rsid w:val="000B20A6"/>
    <w:rsid w:val="000B21B4"/>
    <w:rsid w:val="000B2254"/>
    <w:rsid w:val="000B24C5"/>
    <w:rsid w:val="000B25DE"/>
    <w:rsid w:val="000B26A7"/>
    <w:rsid w:val="000B28A0"/>
    <w:rsid w:val="000B298D"/>
    <w:rsid w:val="000B29A9"/>
    <w:rsid w:val="000B2D58"/>
    <w:rsid w:val="000B2EA5"/>
    <w:rsid w:val="000B30E2"/>
    <w:rsid w:val="000B3211"/>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5DE"/>
    <w:rsid w:val="000B6749"/>
    <w:rsid w:val="000B6808"/>
    <w:rsid w:val="000B6A0F"/>
    <w:rsid w:val="000B6A6D"/>
    <w:rsid w:val="000B6BF0"/>
    <w:rsid w:val="000B6EB4"/>
    <w:rsid w:val="000B753A"/>
    <w:rsid w:val="000B78CC"/>
    <w:rsid w:val="000B7AB7"/>
    <w:rsid w:val="000B7E12"/>
    <w:rsid w:val="000C004E"/>
    <w:rsid w:val="000C00D6"/>
    <w:rsid w:val="000C00E1"/>
    <w:rsid w:val="000C01AA"/>
    <w:rsid w:val="000C0320"/>
    <w:rsid w:val="000C0392"/>
    <w:rsid w:val="000C0669"/>
    <w:rsid w:val="000C085F"/>
    <w:rsid w:val="000C0872"/>
    <w:rsid w:val="000C0952"/>
    <w:rsid w:val="000C0B62"/>
    <w:rsid w:val="000C0E7A"/>
    <w:rsid w:val="000C1053"/>
    <w:rsid w:val="000C10E0"/>
    <w:rsid w:val="000C1120"/>
    <w:rsid w:val="000C1121"/>
    <w:rsid w:val="000C115C"/>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94A"/>
    <w:rsid w:val="000C2E21"/>
    <w:rsid w:val="000C2EA1"/>
    <w:rsid w:val="000C3397"/>
    <w:rsid w:val="000C33B0"/>
    <w:rsid w:val="000C33FE"/>
    <w:rsid w:val="000C36BC"/>
    <w:rsid w:val="000C3AAA"/>
    <w:rsid w:val="000C3CFA"/>
    <w:rsid w:val="000C3DB4"/>
    <w:rsid w:val="000C3E15"/>
    <w:rsid w:val="000C3E64"/>
    <w:rsid w:val="000C3F77"/>
    <w:rsid w:val="000C40AE"/>
    <w:rsid w:val="000C42DD"/>
    <w:rsid w:val="000C44D1"/>
    <w:rsid w:val="000C475E"/>
    <w:rsid w:val="000C49E8"/>
    <w:rsid w:val="000C4BB6"/>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83"/>
    <w:rsid w:val="000D04BA"/>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5B8A"/>
    <w:rsid w:val="000D60C6"/>
    <w:rsid w:val="000D6219"/>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694"/>
    <w:rsid w:val="000E4992"/>
    <w:rsid w:val="000E4ADC"/>
    <w:rsid w:val="000E4CB4"/>
    <w:rsid w:val="000E4FB5"/>
    <w:rsid w:val="000E50A8"/>
    <w:rsid w:val="000E558F"/>
    <w:rsid w:val="000E561F"/>
    <w:rsid w:val="000E569B"/>
    <w:rsid w:val="000E5A15"/>
    <w:rsid w:val="000E5A4D"/>
    <w:rsid w:val="000E5B1A"/>
    <w:rsid w:val="000E5BDB"/>
    <w:rsid w:val="000E5D66"/>
    <w:rsid w:val="000E5D6F"/>
    <w:rsid w:val="000E5EA1"/>
    <w:rsid w:val="000E5EBD"/>
    <w:rsid w:val="000E5F59"/>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7B6"/>
    <w:rsid w:val="000F092E"/>
    <w:rsid w:val="000F0BBB"/>
    <w:rsid w:val="000F0BC7"/>
    <w:rsid w:val="000F0E22"/>
    <w:rsid w:val="000F0EAB"/>
    <w:rsid w:val="000F1073"/>
    <w:rsid w:val="000F1087"/>
    <w:rsid w:val="000F109B"/>
    <w:rsid w:val="000F1675"/>
    <w:rsid w:val="000F181E"/>
    <w:rsid w:val="000F182E"/>
    <w:rsid w:val="000F18BF"/>
    <w:rsid w:val="000F18D2"/>
    <w:rsid w:val="000F1BAA"/>
    <w:rsid w:val="000F1FC4"/>
    <w:rsid w:val="000F2041"/>
    <w:rsid w:val="000F2174"/>
    <w:rsid w:val="000F21AE"/>
    <w:rsid w:val="000F2569"/>
    <w:rsid w:val="000F25F3"/>
    <w:rsid w:val="000F2652"/>
    <w:rsid w:val="000F2800"/>
    <w:rsid w:val="000F28BF"/>
    <w:rsid w:val="000F2C79"/>
    <w:rsid w:val="000F2D9B"/>
    <w:rsid w:val="000F30B8"/>
    <w:rsid w:val="000F3233"/>
    <w:rsid w:val="000F33F5"/>
    <w:rsid w:val="000F35EB"/>
    <w:rsid w:val="000F39F2"/>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63F"/>
    <w:rsid w:val="000F68A9"/>
    <w:rsid w:val="000F6965"/>
    <w:rsid w:val="000F6A7C"/>
    <w:rsid w:val="000F6B15"/>
    <w:rsid w:val="000F6B57"/>
    <w:rsid w:val="000F6B80"/>
    <w:rsid w:val="000F6B87"/>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EBC"/>
    <w:rsid w:val="00104FC5"/>
    <w:rsid w:val="001050C5"/>
    <w:rsid w:val="001051C3"/>
    <w:rsid w:val="001053B5"/>
    <w:rsid w:val="00105481"/>
    <w:rsid w:val="001055D6"/>
    <w:rsid w:val="0010564F"/>
    <w:rsid w:val="001057FE"/>
    <w:rsid w:val="001058AA"/>
    <w:rsid w:val="00105B23"/>
    <w:rsid w:val="00105D34"/>
    <w:rsid w:val="00105D36"/>
    <w:rsid w:val="00105E3E"/>
    <w:rsid w:val="00106066"/>
    <w:rsid w:val="001062AC"/>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AAC"/>
    <w:rsid w:val="00115B8F"/>
    <w:rsid w:val="00115CA3"/>
    <w:rsid w:val="00115D6C"/>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4D5"/>
    <w:rsid w:val="0012188A"/>
    <w:rsid w:val="00121AA4"/>
    <w:rsid w:val="00121AC1"/>
    <w:rsid w:val="00121CA2"/>
    <w:rsid w:val="00121E3F"/>
    <w:rsid w:val="00121E49"/>
    <w:rsid w:val="00121FAF"/>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13"/>
    <w:rsid w:val="00123D78"/>
    <w:rsid w:val="00123E30"/>
    <w:rsid w:val="00123E62"/>
    <w:rsid w:val="00123EE5"/>
    <w:rsid w:val="00123FF5"/>
    <w:rsid w:val="00124084"/>
    <w:rsid w:val="00124375"/>
    <w:rsid w:val="00124427"/>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5FDA"/>
    <w:rsid w:val="00126224"/>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845"/>
    <w:rsid w:val="0012785D"/>
    <w:rsid w:val="00127E80"/>
    <w:rsid w:val="0013006A"/>
    <w:rsid w:val="0013009B"/>
    <w:rsid w:val="0013068C"/>
    <w:rsid w:val="001308C3"/>
    <w:rsid w:val="0013091C"/>
    <w:rsid w:val="00130972"/>
    <w:rsid w:val="00130AD1"/>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AA6"/>
    <w:rsid w:val="00131CF2"/>
    <w:rsid w:val="00131DE0"/>
    <w:rsid w:val="00131EA5"/>
    <w:rsid w:val="00131F05"/>
    <w:rsid w:val="00131F36"/>
    <w:rsid w:val="00131F86"/>
    <w:rsid w:val="0013204A"/>
    <w:rsid w:val="001320A9"/>
    <w:rsid w:val="0013236D"/>
    <w:rsid w:val="00132590"/>
    <w:rsid w:val="00132625"/>
    <w:rsid w:val="0013285D"/>
    <w:rsid w:val="0013295F"/>
    <w:rsid w:val="00132CBD"/>
    <w:rsid w:val="00132F8A"/>
    <w:rsid w:val="0013303F"/>
    <w:rsid w:val="00133215"/>
    <w:rsid w:val="00133362"/>
    <w:rsid w:val="001338F7"/>
    <w:rsid w:val="001339EE"/>
    <w:rsid w:val="001339F2"/>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8C5"/>
    <w:rsid w:val="00135A84"/>
    <w:rsid w:val="00135B09"/>
    <w:rsid w:val="00135B2C"/>
    <w:rsid w:val="00135DD2"/>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7E"/>
    <w:rsid w:val="00141763"/>
    <w:rsid w:val="001417C7"/>
    <w:rsid w:val="00141841"/>
    <w:rsid w:val="00141848"/>
    <w:rsid w:val="0014187E"/>
    <w:rsid w:val="001419C4"/>
    <w:rsid w:val="00141A38"/>
    <w:rsid w:val="00141BAF"/>
    <w:rsid w:val="00141DD6"/>
    <w:rsid w:val="00141EF7"/>
    <w:rsid w:val="00141FF5"/>
    <w:rsid w:val="001420BF"/>
    <w:rsid w:val="00142348"/>
    <w:rsid w:val="00142363"/>
    <w:rsid w:val="00142515"/>
    <w:rsid w:val="00142700"/>
    <w:rsid w:val="0014279D"/>
    <w:rsid w:val="001427F6"/>
    <w:rsid w:val="001428C2"/>
    <w:rsid w:val="001429A6"/>
    <w:rsid w:val="00142B07"/>
    <w:rsid w:val="00142B14"/>
    <w:rsid w:val="00142BF4"/>
    <w:rsid w:val="00142D05"/>
    <w:rsid w:val="00142E7D"/>
    <w:rsid w:val="00143002"/>
    <w:rsid w:val="001431DE"/>
    <w:rsid w:val="001433B0"/>
    <w:rsid w:val="00143479"/>
    <w:rsid w:val="0014366E"/>
    <w:rsid w:val="0014397E"/>
    <w:rsid w:val="00143A64"/>
    <w:rsid w:val="00143A95"/>
    <w:rsid w:val="00143AAD"/>
    <w:rsid w:val="00143D23"/>
    <w:rsid w:val="00143D97"/>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60"/>
    <w:rsid w:val="0014638D"/>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064"/>
    <w:rsid w:val="00150126"/>
    <w:rsid w:val="0015015C"/>
    <w:rsid w:val="0015018E"/>
    <w:rsid w:val="001501D1"/>
    <w:rsid w:val="00150464"/>
    <w:rsid w:val="001504A4"/>
    <w:rsid w:val="001504D2"/>
    <w:rsid w:val="0015093A"/>
    <w:rsid w:val="00150A58"/>
    <w:rsid w:val="00150BA1"/>
    <w:rsid w:val="00150DBA"/>
    <w:rsid w:val="00150E47"/>
    <w:rsid w:val="00150E94"/>
    <w:rsid w:val="00150EAD"/>
    <w:rsid w:val="00150FD5"/>
    <w:rsid w:val="00151401"/>
    <w:rsid w:val="0015155A"/>
    <w:rsid w:val="0015179C"/>
    <w:rsid w:val="00151C9E"/>
    <w:rsid w:val="00151D49"/>
    <w:rsid w:val="00151D83"/>
    <w:rsid w:val="0015210B"/>
    <w:rsid w:val="00152277"/>
    <w:rsid w:val="00152396"/>
    <w:rsid w:val="00152487"/>
    <w:rsid w:val="00152608"/>
    <w:rsid w:val="001526A2"/>
    <w:rsid w:val="00152822"/>
    <w:rsid w:val="0015289D"/>
    <w:rsid w:val="00152C2D"/>
    <w:rsid w:val="00152C45"/>
    <w:rsid w:val="00152E30"/>
    <w:rsid w:val="00153551"/>
    <w:rsid w:val="00153E87"/>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50DC"/>
    <w:rsid w:val="0015520C"/>
    <w:rsid w:val="0015526C"/>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785"/>
    <w:rsid w:val="001568FD"/>
    <w:rsid w:val="00156A6C"/>
    <w:rsid w:val="00156D9F"/>
    <w:rsid w:val="00156E35"/>
    <w:rsid w:val="00156EE5"/>
    <w:rsid w:val="00157345"/>
    <w:rsid w:val="00157372"/>
    <w:rsid w:val="001573D2"/>
    <w:rsid w:val="001574C7"/>
    <w:rsid w:val="001574D6"/>
    <w:rsid w:val="0015763A"/>
    <w:rsid w:val="0015770B"/>
    <w:rsid w:val="00157755"/>
    <w:rsid w:val="00157BF2"/>
    <w:rsid w:val="00157C49"/>
    <w:rsid w:val="00157D4A"/>
    <w:rsid w:val="00157E63"/>
    <w:rsid w:val="0016006A"/>
    <w:rsid w:val="0016044E"/>
    <w:rsid w:val="001606F6"/>
    <w:rsid w:val="00160A91"/>
    <w:rsid w:val="00160DF5"/>
    <w:rsid w:val="00160EEA"/>
    <w:rsid w:val="00160F52"/>
    <w:rsid w:val="00161131"/>
    <w:rsid w:val="00161233"/>
    <w:rsid w:val="00161267"/>
    <w:rsid w:val="001612E6"/>
    <w:rsid w:val="001613C5"/>
    <w:rsid w:val="001613F4"/>
    <w:rsid w:val="00161480"/>
    <w:rsid w:val="00161851"/>
    <w:rsid w:val="00161924"/>
    <w:rsid w:val="00161C55"/>
    <w:rsid w:val="00161D65"/>
    <w:rsid w:val="00161FCA"/>
    <w:rsid w:val="0016216F"/>
    <w:rsid w:val="0016244C"/>
    <w:rsid w:val="001625FE"/>
    <w:rsid w:val="0016271A"/>
    <w:rsid w:val="0016276E"/>
    <w:rsid w:val="00162CB7"/>
    <w:rsid w:val="00162F03"/>
    <w:rsid w:val="00162F81"/>
    <w:rsid w:val="001631EA"/>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3C8"/>
    <w:rsid w:val="001645BD"/>
    <w:rsid w:val="001648ED"/>
    <w:rsid w:val="00164BFC"/>
    <w:rsid w:val="00164CBC"/>
    <w:rsid w:val="00164FA6"/>
    <w:rsid w:val="00164FE0"/>
    <w:rsid w:val="00165014"/>
    <w:rsid w:val="001652DB"/>
    <w:rsid w:val="00165781"/>
    <w:rsid w:val="001658D7"/>
    <w:rsid w:val="0016594E"/>
    <w:rsid w:val="00165B21"/>
    <w:rsid w:val="00165D34"/>
    <w:rsid w:val="00165D78"/>
    <w:rsid w:val="00165F9E"/>
    <w:rsid w:val="00166090"/>
    <w:rsid w:val="001660F9"/>
    <w:rsid w:val="00166874"/>
    <w:rsid w:val="00166925"/>
    <w:rsid w:val="00166D4D"/>
    <w:rsid w:val="00166ED1"/>
    <w:rsid w:val="001672F5"/>
    <w:rsid w:val="001676F8"/>
    <w:rsid w:val="00167915"/>
    <w:rsid w:val="0016797F"/>
    <w:rsid w:val="001679FD"/>
    <w:rsid w:val="00167BA5"/>
    <w:rsid w:val="00167F21"/>
    <w:rsid w:val="00167FBA"/>
    <w:rsid w:val="001701FD"/>
    <w:rsid w:val="0017029E"/>
    <w:rsid w:val="001702EC"/>
    <w:rsid w:val="00170495"/>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64F"/>
    <w:rsid w:val="00173709"/>
    <w:rsid w:val="001737DA"/>
    <w:rsid w:val="00173956"/>
    <w:rsid w:val="00173C36"/>
    <w:rsid w:val="00173FC0"/>
    <w:rsid w:val="0017423E"/>
    <w:rsid w:val="0017426D"/>
    <w:rsid w:val="001742C6"/>
    <w:rsid w:val="00174403"/>
    <w:rsid w:val="00174424"/>
    <w:rsid w:val="00174588"/>
    <w:rsid w:val="00174AC6"/>
    <w:rsid w:val="00174CC9"/>
    <w:rsid w:val="00174ED1"/>
    <w:rsid w:val="00174EF1"/>
    <w:rsid w:val="001751EC"/>
    <w:rsid w:val="001752AB"/>
    <w:rsid w:val="0017594E"/>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8DC"/>
    <w:rsid w:val="0017796C"/>
    <w:rsid w:val="00177ED9"/>
    <w:rsid w:val="00177F4F"/>
    <w:rsid w:val="0018017B"/>
    <w:rsid w:val="0018048F"/>
    <w:rsid w:val="0018069F"/>
    <w:rsid w:val="001806A3"/>
    <w:rsid w:val="00180783"/>
    <w:rsid w:val="0018078C"/>
    <w:rsid w:val="00180891"/>
    <w:rsid w:val="00180D80"/>
    <w:rsid w:val="00180EDF"/>
    <w:rsid w:val="00181069"/>
    <w:rsid w:val="001810E0"/>
    <w:rsid w:val="0018133E"/>
    <w:rsid w:val="001814D7"/>
    <w:rsid w:val="001815F6"/>
    <w:rsid w:val="0018170C"/>
    <w:rsid w:val="0018177E"/>
    <w:rsid w:val="0018180B"/>
    <w:rsid w:val="00181924"/>
    <w:rsid w:val="00181D17"/>
    <w:rsid w:val="00181F41"/>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7"/>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DF4"/>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B86"/>
    <w:rsid w:val="00190DC5"/>
    <w:rsid w:val="00190E17"/>
    <w:rsid w:val="001913BA"/>
    <w:rsid w:val="00191430"/>
    <w:rsid w:val="0019143F"/>
    <w:rsid w:val="00191518"/>
    <w:rsid w:val="00191793"/>
    <w:rsid w:val="0019192B"/>
    <w:rsid w:val="00191BD2"/>
    <w:rsid w:val="00191D27"/>
    <w:rsid w:val="00192184"/>
    <w:rsid w:val="00192228"/>
    <w:rsid w:val="0019227A"/>
    <w:rsid w:val="00192334"/>
    <w:rsid w:val="0019264E"/>
    <w:rsid w:val="00192868"/>
    <w:rsid w:val="00192873"/>
    <w:rsid w:val="00192881"/>
    <w:rsid w:val="00192A7A"/>
    <w:rsid w:val="00192BEE"/>
    <w:rsid w:val="00192C6B"/>
    <w:rsid w:val="00192CA0"/>
    <w:rsid w:val="001931AB"/>
    <w:rsid w:val="00193539"/>
    <w:rsid w:val="00193C48"/>
    <w:rsid w:val="00193E6F"/>
    <w:rsid w:val="00193ED0"/>
    <w:rsid w:val="001942B4"/>
    <w:rsid w:val="001944F3"/>
    <w:rsid w:val="00194775"/>
    <w:rsid w:val="00194A53"/>
    <w:rsid w:val="00194A6C"/>
    <w:rsid w:val="00194A87"/>
    <w:rsid w:val="00194C56"/>
    <w:rsid w:val="00194EB4"/>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2F"/>
    <w:rsid w:val="00197EDB"/>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4C74"/>
    <w:rsid w:val="001A55F9"/>
    <w:rsid w:val="001A5774"/>
    <w:rsid w:val="001A57B9"/>
    <w:rsid w:val="001A57E7"/>
    <w:rsid w:val="001A59EA"/>
    <w:rsid w:val="001A5B9D"/>
    <w:rsid w:val="001A5CE4"/>
    <w:rsid w:val="001A6057"/>
    <w:rsid w:val="001A6119"/>
    <w:rsid w:val="001A62EC"/>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E9"/>
    <w:rsid w:val="001A7FC7"/>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58F"/>
    <w:rsid w:val="001B25CE"/>
    <w:rsid w:val="001B28FC"/>
    <w:rsid w:val="001B293A"/>
    <w:rsid w:val="001B2A8C"/>
    <w:rsid w:val="001B2AB6"/>
    <w:rsid w:val="001B2C08"/>
    <w:rsid w:val="001B2C2B"/>
    <w:rsid w:val="001B2E83"/>
    <w:rsid w:val="001B2F86"/>
    <w:rsid w:val="001B2FCB"/>
    <w:rsid w:val="001B3060"/>
    <w:rsid w:val="001B3340"/>
    <w:rsid w:val="001B348C"/>
    <w:rsid w:val="001B34B5"/>
    <w:rsid w:val="001B34C9"/>
    <w:rsid w:val="001B36B6"/>
    <w:rsid w:val="001B38ED"/>
    <w:rsid w:val="001B39F5"/>
    <w:rsid w:val="001B3D7B"/>
    <w:rsid w:val="001B3E18"/>
    <w:rsid w:val="001B3EA1"/>
    <w:rsid w:val="001B3F42"/>
    <w:rsid w:val="001B4028"/>
    <w:rsid w:val="001B415E"/>
    <w:rsid w:val="001B4373"/>
    <w:rsid w:val="001B45C7"/>
    <w:rsid w:val="001B48A0"/>
    <w:rsid w:val="001B5065"/>
    <w:rsid w:val="001B511A"/>
    <w:rsid w:val="001B5125"/>
    <w:rsid w:val="001B528B"/>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2B"/>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2FE4"/>
    <w:rsid w:val="001C3022"/>
    <w:rsid w:val="001C30D5"/>
    <w:rsid w:val="001C3254"/>
    <w:rsid w:val="001C335A"/>
    <w:rsid w:val="001C371B"/>
    <w:rsid w:val="001C37B7"/>
    <w:rsid w:val="001C37F9"/>
    <w:rsid w:val="001C3839"/>
    <w:rsid w:val="001C391C"/>
    <w:rsid w:val="001C398A"/>
    <w:rsid w:val="001C39AC"/>
    <w:rsid w:val="001C3AD1"/>
    <w:rsid w:val="001C3C0B"/>
    <w:rsid w:val="001C3D4E"/>
    <w:rsid w:val="001C3E9B"/>
    <w:rsid w:val="001C4265"/>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C7B0C"/>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074"/>
    <w:rsid w:val="001D21C3"/>
    <w:rsid w:val="001D245C"/>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31"/>
    <w:rsid w:val="001D4BD7"/>
    <w:rsid w:val="001D4DA1"/>
    <w:rsid w:val="001D4E26"/>
    <w:rsid w:val="001D4E82"/>
    <w:rsid w:val="001D4F87"/>
    <w:rsid w:val="001D4FA8"/>
    <w:rsid w:val="001D504E"/>
    <w:rsid w:val="001D5394"/>
    <w:rsid w:val="001D54F0"/>
    <w:rsid w:val="001D551D"/>
    <w:rsid w:val="001D577C"/>
    <w:rsid w:val="001D581A"/>
    <w:rsid w:val="001D5854"/>
    <w:rsid w:val="001D5A7E"/>
    <w:rsid w:val="001D5FC3"/>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0F2E"/>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E2"/>
    <w:rsid w:val="001E24F3"/>
    <w:rsid w:val="001E2527"/>
    <w:rsid w:val="001E26CF"/>
    <w:rsid w:val="001E292A"/>
    <w:rsid w:val="001E2D2C"/>
    <w:rsid w:val="001E2D53"/>
    <w:rsid w:val="001E2E11"/>
    <w:rsid w:val="001E2E41"/>
    <w:rsid w:val="001E2F66"/>
    <w:rsid w:val="001E3038"/>
    <w:rsid w:val="001E3081"/>
    <w:rsid w:val="001E3490"/>
    <w:rsid w:val="001E35AF"/>
    <w:rsid w:val="001E35E2"/>
    <w:rsid w:val="001E3741"/>
    <w:rsid w:val="001E3784"/>
    <w:rsid w:val="001E37E2"/>
    <w:rsid w:val="001E39AC"/>
    <w:rsid w:val="001E3E96"/>
    <w:rsid w:val="001E40B9"/>
    <w:rsid w:val="001E40CC"/>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89"/>
    <w:rsid w:val="001E67C2"/>
    <w:rsid w:val="001E690F"/>
    <w:rsid w:val="001E69F0"/>
    <w:rsid w:val="001E6D45"/>
    <w:rsid w:val="001E6DC5"/>
    <w:rsid w:val="001E6EDF"/>
    <w:rsid w:val="001E706F"/>
    <w:rsid w:val="001E71E4"/>
    <w:rsid w:val="001E7337"/>
    <w:rsid w:val="001E7450"/>
    <w:rsid w:val="001E7511"/>
    <w:rsid w:val="001E7BA1"/>
    <w:rsid w:val="001E7D40"/>
    <w:rsid w:val="001E7D6F"/>
    <w:rsid w:val="001E7DC9"/>
    <w:rsid w:val="001E7DE9"/>
    <w:rsid w:val="001F0073"/>
    <w:rsid w:val="001F010E"/>
    <w:rsid w:val="001F014A"/>
    <w:rsid w:val="001F0201"/>
    <w:rsid w:val="001F032C"/>
    <w:rsid w:val="001F05F2"/>
    <w:rsid w:val="001F06F3"/>
    <w:rsid w:val="001F092E"/>
    <w:rsid w:val="001F0B76"/>
    <w:rsid w:val="001F0C66"/>
    <w:rsid w:val="001F0CA1"/>
    <w:rsid w:val="001F0DA2"/>
    <w:rsid w:val="001F10EF"/>
    <w:rsid w:val="001F1109"/>
    <w:rsid w:val="001F11A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1B"/>
    <w:rsid w:val="001F3048"/>
    <w:rsid w:val="001F31A1"/>
    <w:rsid w:val="001F334E"/>
    <w:rsid w:val="001F3413"/>
    <w:rsid w:val="001F374B"/>
    <w:rsid w:val="001F39B1"/>
    <w:rsid w:val="001F3A44"/>
    <w:rsid w:val="001F3BDF"/>
    <w:rsid w:val="001F3C72"/>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369"/>
    <w:rsid w:val="001F6764"/>
    <w:rsid w:val="001F68CB"/>
    <w:rsid w:val="001F6BF4"/>
    <w:rsid w:val="001F6F17"/>
    <w:rsid w:val="001F71B0"/>
    <w:rsid w:val="001F71D3"/>
    <w:rsid w:val="001F7578"/>
    <w:rsid w:val="001F7646"/>
    <w:rsid w:val="001F76BE"/>
    <w:rsid w:val="001F7711"/>
    <w:rsid w:val="001F7718"/>
    <w:rsid w:val="001F78E4"/>
    <w:rsid w:val="001F79A4"/>
    <w:rsid w:val="001F7A97"/>
    <w:rsid w:val="001F7CD8"/>
    <w:rsid w:val="001F7F4B"/>
    <w:rsid w:val="00200227"/>
    <w:rsid w:val="0020029C"/>
    <w:rsid w:val="00200340"/>
    <w:rsid w:val="00200580"/>
    <w:rsid w:val="00200733"/>
    <w:rsid w:val="002008BD"/>
    <w:rsid w:val="0020093B"/>
    <w:rsid w:val="00200982"/>
    <w:rsid w:val="002009F9"/>
    <w:rsid w:val="00200A49"/>
    <w:rsid w:val="00200BCE"/>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A8"/>
    <w:rsid w:val="002023FE"/>
    <w:rsid w:val="00202401"/>
    <w:rsid w:val="00202436"/>
    <w:rsid w:val="00202471"/>
    <w:rsid w:val="002024A8"/>
    <w:rsid w:val="0020268A"/>
    <w:rsid w:val="0020274B"/>
    <w:rsid w:val="002027DD"/>
    <w:rsid w:val="00202E29"/>
    <w:rsid w:val="00202F4B"/>
    <w:rsid w:val="002032B1"/>
    <w:rsid w:val="00203359"/>
    <w:rsid w:val="0020375C"/>
    <w:rsid w:val="00203AAF"/>
    <w:rsid w:val="00203DF6"/>
    <w:rsid w:val="002042A1"/>
    <w:rsid w:val="002043B1"/>
    <w:rsid w:val="0020476B"/>
    <w:rsid w:val="00204B7A"/>
    <w:rsid w:val="00204FF3"/>
    <w:rsid w:val="00205294"/>
    <w:rsid w:val="002052F9"/>
    <w:rsid w:val="00205365"/>
    <w:rsid w:val="002053DA"/>
    <w:rsid w:val="0020540C"/>
    <w:rsid w:val="002054F9"/>
    <w:rsid w:val="0020578A"/>
    <w:rsid w:val="00205815"/>
    <w:rsid w:val="0020587A"/>
    <w:rsid w:val="00205A54"/>
    <w:rsid w:val="00205B9C"/>
    <w:rsid w:val="00205D79"/>
    <w:rsid w:val="00205DDB"/>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ABC"/>
    <w:rsid w:val="00215ADA"/>
    <w:rsid w:val="00215B16"/>
    <w:rsid w:val="00215DAF"/>
    <w:rsid w:val="00215EDE"/>
    <w:rsid w:val="00216035"/>
    <w:rsid w:val="002161FE"/>
    <w:rsid w:val="00216399"/>
    <w:rsid w:val="0021645C"/>
    <w:rsid w:val="00216769"/>
    <w:rsid w:val="00216781"/>
    <w:rsid w:val="002168C6"/>
    <w:rsid w:val="00216915"/>
    <w:rsid w:val="00216ADB"/>
    <w:rsid w:val="00216DA6"/>
    <w:rsid w:val="00216FD5"/>
    <w:rsid w:val="00217097"/>
    <w:rsid w:val="002170DA"/>
    <w:rsid w:val="00217277"/>
    <w:rsid w:val="0021774F"/>
    <w:rsid w:val="002177B7"/>
    <w:rsid w:val="0021785D"/>
    <w:rsid w:val="00217874"/>
    <w:rsid w:val="00217C8B"/>
    <w:rsid w:val="00217D0D"/>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5F2"/>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9E"/>
    <w:rsid w:val="00222DBC"/>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CB8"/>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662"/>
    <w:rsid w:val="002277A5"/>
    <w:rsid w:val="002279CF"/>
    <w:rsid w:val="00227AE5"/>
    <w:rsid w:val="00227CD4"/>
    <w:rsid w:val="00227D76"/>
    <w:rsid w:val="00227DAD"/>
    <w:rsid w:val="00227FCC"/>
    <w:rsid w:val="00230025"/>
    <w:rsid w:val="00230383"/>
    <w:rsid w:val="0023043C"/>
    <w:rsid w:val="0023049E"/>
    <w:rsid w:val="0023059E"/>
    <w:rsid w:val="00230899"/>
    <w:rsid w:val="00230BA8"/>
    <w:rsid w:val="00230F93"/>
    <w:rsid w:val="002313BF"/>
    <w:rsid w:val="002313C9"/>
    <w:rsid w:val="00231627"/>
    <w:rsid w:val="00231651"/>
    <w:rsid w:val="00231761"/>
    <w:rsid w:val="00231D25"/>
    <w:rsid w:val="00231D76"/>
    <w:rsid w:val="00231E54"/>
    <w:rsid w:val="00231F36"/>
    <w:rsid w:val="002320A9"/>
    <w:rsid w:val="00232107"/>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62"/>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FF"/>
    <w:rsid w:val="002353F3"/>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BC1"/>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3A2"/>
    <w:rsid w:val="002425DF"/>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34"/>
    <w:rsid w:val="00243BC1"/>
    <w:rsid w:val="00243C5A"/>
    <w:rsid w:val="00243CAA"/>
    <w:rsid w:val="00243F76"/>
    <w:rsid w:val="002440A9"/>
    <w:rsid w:val="00244129"/>
    <w:rsid w:val="002442FB"/>
    <w:rsid w:val="00244332"/>
    <w:rsid w:val="002443E2"/>
    <w:rsid w:val="002443EC"/>
    <w:rsid w:val="00244437"/>
    <w:rsid w:val="002445A1"/>
    <w:rsid w:val="00244653"/>
    <w:rsid w:val="002447E0"/>
    <w:rsid w:val="002447E8"/>
    <w:rsid w:val="0024480C"/>
    <w:rsid w:val="0024495A"/>
    <w:rsid w:val="00244A27"/>
    <w:rsid w:val="00244A72"/>
    <w:rsid w:val="00244B37"/>
    <w:rsid w:val="00244E2C"/>
    <w:rsid w:val="00244EFE"/>
    <w:rsid w:val="00245363"/>
    <w:rsid w:val="00245492"/>
    <w:rsid w:val="0024560D"/>
    <w:rsid w:val="00245873"/>
    <w:rsid w:val="002458E4"/>
    <w:rsid w:val="00245B23"/>
    <w:rsid w:val="00245DDF"/>
    <w:rsid w:val="00245DF3"/>
    <w:rsid w:val="0024600E"/>
    <w:rsid w:val="002465DA"/>
    <w:rsid w:val="0024684B"/>
    <w:rsid w:val="002468C2"/>
    <w:rsid w:val="002469BB"/>
    <w:rsid w:val="00246B2E"/>
    <w:rsid w:val="00246B34"/>
    <w:rsid w:val="00246BD0"/>
    <w:rsid w:val="00246CBC"/>
    <w:rsid w:val="00246CC3"/>
    <w:rsid w:val="00246DE8"/>
    <w:rsid w:val="00246F99"/>
    <w:rsid w:val="0024706B"/>
    <w:rsid w:val="002470DA"/>
    <w:rsid w:val="0024740E"/>
    <w:rsid w:val="00247413"/>
    <w:rsid w:val="002474EF"/>
    <w:rsid w:val="00247602"/>
    <w:rsid w:val="002477ED"/>
    <w:rsid w:val="00247998"/>
    <w:rsid w:val="002479C8"/>
    <w:rsid w:val="00247AD0"/>
    <w:rsid w:val="00247B65"/>
    <w:rsid w:val="00247C17"/>
    <w:rsid w:val="00247CCB"/>
    <w:rsid w:val="00247CD9"/>
    <w:rsid w:val="00247D64"/>
    <w:rsid w:val="00247D6A"/>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5DB"/>
    <w:rsid w:val="002516A4"/>
    <w:rsid w:val="0025193E"/>
    <w:rsid w:val="0025196E"/>
    <w:rsid w:val="00251B95"/>
    <w:rsid w:val="00251C40"/>
    <w:rsid w:val="00251C5F"/>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4CE6"/>
    <w:rsid w:val="002551EE"/>
    <w:rsid w:val="002552AE"/>
    <w:rsid w:val="00255550"/>
    <w:rsid w:val="00255ABB"/>
    <w:rsid w:val="00255B02"/>
    <w:rsid w:val="00255C8F"/>
    <w:rsid w:val="00255E0F"/>
    <w:rsid w:val="00255E46"/>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12"/>
    <w:rsid w:val="00260B73"/>
    <w:rsid w:val="00260DAA"/>
    <w:rsid w:val="00260E1D"/>
    <w:rsid w:val="00261170"/>
    <w:rsid w:val="00261174"/>
    <w:rsid w:val="002612FE"/>
    <w:rsid w:val="002613A5"/>
    <w:rsid w:val="00261491"/>
    <w:rsid w:val="00261568"/>
    <w:rsid w:val="00261753"/>
    <w:rsid w:val="002618CE"/>
    <w:rsid w:val="00261A7E"/>
    <w:rsid w:val="00261B42"/>
    <w:rsid w:val="00261C9F"/>
    <w:rsid w:val="00261CA4"/>
    <w:rsid w:val="00261F17"/>
    <w:rsid w:val="00261FD0"/>
    <w:rsid w:val="00261FDC"/>
    <w:rsid w:val="0026207C"/>
    <w:rsid w:val="00262272"/>
    <w:rsid w:val="00262389"/>
    <w:rsid w:val="002624A9"/>
    <w:rsid w:val="00262696"/>
    <w:rsid w:val="00262759"/>
    <w:rsid w:val="00262B27"/>
    <w:rsid w:val="00262C87"/>
    <w:rsid w:val="00262E07"/>
    <w:rsid w:val="002630B0"/>
    <w:rsid w:val="00263163"/>
    <w:rsid w:val="0026318A"/>
    <w:rsid w:val="002631E7"/>
    <w:rsid w:val="0026321A"/>
    <w:rsid w:val="002634A8"/>
    <w:rsid w:val="0026374E"/>
    <w:rsid w:val="00263779"/>
    <w:rsid w:val="00263793"/>
    <w:rsid w:val="00263822"/>
    <w:rsid w:val="002639EC"/>
    <w:rsid w:val="00263B14"/>
    <w:rsid w:val="00263B27"/>
    <w:rsid w:val="00263CC3"/>
    <w:rsid w:val="00263E15"/>
    <w:rsid w:val="00263E7E"/>
    <w:rsid w:val="00263ED6"/>
    <w:rsid w:val="002641A2"/>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0B"/>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13"/>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DF"/>
    <w:rsid w:val="00271332"/>
    <w:rsid w:val="002713C3"/>
    <w:rsid w:val="00271579"/>
    <w:rsid w:val="002715F9"/>
    <w:rsid w:val="002717B6"/>
    <w:rsid w:val="002723F2"/>
    <w:rsid w:val="0027262A"/>
    <w:rsid w:val="0027268B"/>
    <w:rsid w:val="00272719"/>
    <w:rsid w:val="00272A73"/>
    <w:rsid w:val="00272C49"/>
    <w:rsid w:val="00272DAD"/>
    <w:rsid w:val="00272E24"/>
    <w:rsid w:val="00272F07"/>
    <w:rsid w:val="00272FA1"/>
    <w:rsid w:val="00272FE7"/>
    <w:rsid w:val="00272FF6"/>
    <w:rsid w:val="00273043"/>
    <w:rsid w:val="00273089"/>
    <w:rsid w:val="0027314E"/>
    <w:rsid w:val="00273232"/>
    <w:rsid w:val="002733A5"/>
    <w:rsid w:val="002736D3"/>
    <w:rsid w:val="00273821"/>
    <w:rsid w:val="00273970"/>
    <w:rsid w:val="00273B46"/>
    <w:rsid w:val="00273C7D"/>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E67"/>
    <w:rsid w:val="00274EC6"/>
    <w:rsid w:val="002752E2"/>
    <w:rsid w:val="002754D7"/>
    <w:rsid w:val="0027559E"/>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3B7"/>
    <w:rsid w:val="002774D3"/>
    <w:rsid w:val="002774D6"/>
    <w:rsid w:val="00277641"/>
    <w:rsid w:val="00277A1E"/>
    <w:rsid w:val="00277CBD"/>
    <w:rsid w:val="0028009C"/>
    <w:rsid w:val="002800BC"/>
    <w:rsid w:val="0028016D"/>
    <w:rsid w:val="002804FF"/>
    <w:rsid w:val="00280590"/>
    <w:rsid w:val="0028062F"/>
    <w:rsid w:val="0028075B"/>
    <w:rsid w:val="002807D9"/>
    <w:rsid w:val="002808AD"/>
    <w:rsid w:val="0028095C"/>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D07"/>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049"/>
    <w:rsid w:val="0028712F"/>
    <w:rsid w:val="002874DE"/>
    <w:rsid w:val="002877EB"/>
    <w:rsid w:val="002879E0"/>
    <w:rsid w:val="00287B3E"/>
    <w:rsid w:val="00287BB5"/>
    <w:rsid w:val="00287BEA"/>
    <w:rsid w:val="00287C4B"/>
    <w:rsid w:val="00290064"/>
    <w:rsid w:val="0029014D"/>
    <w:rsid w:val="002903D5"/>
    <w:rsid w:val="002907E5"/>
    <w:rsid w:val="0029088B"/>
    <w:rsid w:val="002908E7"/>
    <w:rsid w:val="00290C73"/>
    <w:rsid w:val="00290D64"/>
    <w:rsid w:val="00291154"/>
    <w:rsid w:val="00291191"/>
    <w:rsid w:val="0029123D"/>
    <w:rsid w:val="00291439"/>
    <w:rsid w:val="002914AD"/>
    <w:rsid w:val="00291593"/>
    <w:rsid w:val="0029164D"/>
    <w:rsid w:val="00291796"/>
    <w:rsid w:val="00291901"/>
    <w:rsid w:val="00291940"/>
    <w:rsid w:val="00291B85"/>
    <w:rsid w:val="00291F7A"/>
    <w:rsid w:val="00292079"/>
    <w:rsid w:val="00292162"/>
    <w:rsid w:val="002922D4"/>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636"/>
    <w:rsid w:val="0029573B"/>
    <w:rsid w:val="00295945"/>
    <w:rsid w:val="00295989"/>
    <w:rsid w:val="002959FF"/>
    <w:rsid w:val="00295A29"/>
    <w:rsid w:val="00295B73"/>
    <w:rsid w:val="00295C05"/>
    <w:rsid w:val="00295D24"/>
    <w:rsid w:val="00295D94"/>
    <w:rsid w:val="00296136"/>
    <w:rsid w:val="00296271"/>
    <w:rsid w:val="002962CA"/>
    <w:rsid w:val="002964D4"/>
    <w:rsid w:val="00296522"/>
    <w:rsid w:val="0029677B"/>
    <w:rsid w:val="00296788"/>
    <w:rsid w:val="002967F3"/>
    <w:rsid w:val="00296A2C"/>
    <w:rsid w:val="00296A53"/>
    <w:rsid w:val="0029701C"/>
    <w:rsid w:val="00297707"/>
    <w:rsid w:val="00297A0D"/>
    <w:rsid w:val="00297B56"/>
    <w:rsid w:val="00297BF2"/>
    <w:rsid w:val="00297EAF"/>
    <w:rsid w:val="00297EB7"/>
    <w:rsid w:val="00297F9B"/>
    <w:rsid w:val="002A0040"/>
    <w:rsid w:val="002A0158"/>
    <w:rsid w:val="002A03B4"/>
    <w:rsid w:val="002A0544"/>
    <w:rsid w:val="002A0706"/>
    <w:rsid w:val="002A093F"/>
    <w:rsid w:val="002A0AD8"/>
    <w:rsid w:val="002A0FAC"/>
    <w:rsid w:val="002A16BB"/>
    <w:rsid w:val="002A1857"/>
    <w:rsid w:val="002A19B4"/>
    <w:rsid w:val="002A1AAF"/>
    <w:rsid w:val="002A2017"/>
    <w:rsid w:val="002A23CD"/>
    <w:rsid w:val="002A2722"/>
    <w:rsid w:val="002A3079"/>
    <w:rsid w:val="002A3246"/>
    <w:rsid w:val="002A3462"/>
    <w:rsid w:val="002A349C"/>
    <w:rsid w:val="002A353D"/>
    <w:rsid w:val="002A36EC"/>
    <w:rsid w:val="002A370A"/>
    <w:rsid w:val="002A37B3"/>
    <w:rsid w:val="002A3811"/>
    <w:rsid w:val="002A3934"/>
    <w:rsid w:val="002A3DF7"/>
    <w:rsid w:val="002A4008"/>
    <w:rsid w:val="002A4141"/>
    <w:rsid w:val="002A43F1"/>
    <w:rsid w:val="002A45AD"/>
    <w:rsid w:val="002A45EB"/>
    <w:rsid w:val="002A4736"/>
    <w:rsid w:val="002A485B"/>
    <w:rsid w:val="002A48BA"/>
    <w:rsid w:val="002A4B00"/>
    <w:rsid w:val="002A4C1F"/>
    <w:rsid w:val="002A4CD5"/>
    <w:rsid w:val="002A4CF5"/>
    <w:rsid w:val="002A4EF5"/>
    <w:rsid w:val="002A4F5E"/>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6D1"/>
    <w:rsid w:val="002B192A"/>
    <w:rsid w:val="002B1B50"/>
    <w:rsid w:val="002B1C9E"/>
    <w:rsid w:val="002B1D3E"/>
    <w:rsid w:val="002B1E2E"/>
    <w:rsid w:val="002B1E85"/>
    <w:rsid w:val="002B1EA4"/>
    <w:rsid w:val="002B243C"/>
    <w:rsid w:val="002B243E"/>
    <w:rsid w:val="002B24B5"/>
    <w:rsid w:val="002B25DF"/>
    <w:rsid w:val="002B2BF5"/>
    <w:rsid w:val="002B2EDA"/>
    <w:rsid w:val="002B3023"/>
    <w:rsid w:val="002B309D"/>
    <w:rsid w:val="002B346D"/>
    <w:rsid w:val="002B37A5"/>
    <w:rsid w:val="002B3B44"/>
    <w:rsid w:val="002B3BDA"/>
    <w:rsid w:val="002B3C07"/>
    <w:rsid w:val="002B3CB4"/>
    <w:rsid w:val="002B3E3D"/>
    <w:rsid w:val="002B3F60"/>
    <w:rsid w:val="002B409C"/>
    <w:rsid w:val="002B4492"/>
    <w:rsid w:val="002B44DD"/>
    <w:rsid w:val="002B466F"/>
    <w:rsid w:val="002B46FB"/>
    <w:rsid w:val="002B48AC"/>
    <w:rsid w:val="002B4A60"/>
    <w:rsid w:val="002B4A6A"/>
    <w:rsid w:val="002B4A9F"/>
    <w:rsid w:val="002B5338"/>
    <w:rsid w:val="002B5471"/>
    <w:rsid w:val="002B5481"/>
    <w:rsid w:val="002B565A"/>
    <w:rsid w:val="002B58EC"/>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B3D"/>
    <w:rsid w:val="002C0CA6"/>
    <w:rsid w:val="002C0DD6"/>
    <w:rsid w:val="002C0FC8"/>
    <w:rsid w:val="002C106F"/>
    <w:rsid w:val="002C10E4"/>
    <w:rsid w:val="002C113B"/>
    <w:rsid w:val="002C13AA"/>
    <w:rsid w:val="002C1475"/>
    <w:rsid w:val="002C16ED"/>
    <w:rsid w:val="002C17A1"/>
    <w:rsid w:val="002C187A"/>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28"/>
    <w:rsid w:val="002C2E9A"/>
    <w:rsid w:val="002C2F9F"/>
    <w:rsid w:val="002C2FD0"/>
    <w:rsid w:val="002C2FF2"/>
    <w:rsid w:val="002C3021"/>
    <w:rsid w:val="002C3037"/>
    <w:rsid w:val="002C3067"/>
    <w:rsid w:val="002C30C1"/>
    <w:rsid w:val="002C3265"/>
    <w:rsid w:val="002C388E"/>
    <w:rsid w:val="002C3EB6"/>
    <w:rsid w:val="002C3F5A"/>
    <w:rsid w:val="002C3F9C"/>
    <w:rsid w:val="002C4072"/>
    <w:rsid w:val="002C435C"/>
    <w:rsid w:val="002C4400"/>
    <w:rsid w:val="002C4428"/>
    <w:rsid w:val="002C461D"/>
    <w:rsid w:val="002C4638"/>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03C"/>
    <w:rsid w:val="002C6155"/>
    <w:rsid w:val="002C63B6"/>
    <w:rsid w:val="002C658E"/>
    <w:rsid w:val="002C69A3"/>
    <w:rsid w:val="002C6B16"/>
    <w:rsid w:val="002C6D52"/>
    <w:rsid w:val="002C709D"/>
    <w:rsid w:val="002C7216"/>
    <w:rsid w:val="002C73CF"/>
    <w:rsid w:val="002C749C"/>
    <w:rsid w:val="002C7571"/>
    <w:rsid w:val="002C75B1"/>
    <w:rsid w:val="002C76BB"/>
    <w:rsid w:val="002C7B02"/>
    <w:rsid w:val="002C7D53"/>
    <w:rsid w:val="002C7DE9"/>
    <w:rsid w:val="002C7E1E"/>
    <w:rsid w:val="002D015B"/>
    <w:rsid w:val="002D0210"/>
    <w:rsid w:val="002D03D7"/>
    <w:rsid w:val="002D092B"/>
    <w:rsid w:val="002D0A10"/>
    <w:rsid w:val="002D0AAB"/>
    <w:rsid w:val="002D0B3C"/>
    <w:rsid w:val="002D0DA9"/>
    <w:rsid w:val="002D0DD6"/>
    <w:rsid w:val="002D0EB1"/>
    <w:rsid w:val="002D11C7"/>
    <w:rsid w:val="002D1291"/>
    <w:rsid w:val="002D14A1"/>
    <w:rsid w:val="002D1529"/>
    <w:rsid w:val="002D15DC"/>
    <w:rsid w:val="002D1636"/>
    <w:rsid w:val="002D1A03"/>
    <w:rsid w:val="002D1A05"/>
    <w:rsid w:val="002D1A08"/>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6C6"/>
    <w:rsid w:val="002D5738"/>
    <w:rsid w:val="002D5C7E"/>
    <w:rsid w:val="002D64BD"/>
    <w:rsid w:val="002D64EE"/>
    <w:rsid w:val="002D65E0"/>
    <w:rsid w:val="002D6654"/>
    <w:rsid w:val="002D6697"/>
    <w:rsid w:val="002D68A0"/>
    <w:rsid w:val="002D6A59"/>
    <w:rsid w:val="002D6E06"/>
    <w:rsid w:val="002D6EBD"/>
    <w:rsid w:val="002D704D"/>
    <w:rsid w:val="002D721E"/>
    <w:rsid w:val="002D73F6"/>
    <w:rsid w:val="002D7476"/>
    <w:rsid w:val="002D74FA"/>
    <w:rsid w:val="002D7577"/>
    <w:rsid w:val="002D75D0"/>
    <w:rsid w:val="002D7616"/>
    <w:rsid w:val="002D76A7"/>
    <w:rsid w:val="002D7939"/>
    <w:rsid w:val="002D7A5B"/>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98C"/>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2F7F"/>
    <w:rsid w:val="002E3035"/>
    <w:rsid w:val="002E3191"/>
    <w:rsid w:val="002E3479"/>
    <w:rsid w:val="002E3635"/>
    <w:rsid w:val="002E3888"/>
    <w:rsid w:val="002E3A06"/>
    <w:rsid w:val="002E3B32"/>
    <w:rsid w:val="002E3E11"/>
    <w:rsid w:val="002E3EF6"/>
    <w:rsid w:val="002E40EC"/>
    <w:rsid w:val="002E419F"/>
    <w:rsid w:val="002E4216"/>
    <w:rsid w:val="002E424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9A"/>
    <w:rsid w:val="002E5BFD"/>
    <w:rsid w:val="002E5C1F"/>
    <w:rsid w:val="002E5D1E"/>
    <w:rsid w:val="002E5E1A"/>
    <w:rsid w:val="002E5E8D"/>
    <w:rsid w:val="002E613C"/>
    <w:rsid w:val="002E6537"/>
    <w:rsid w:val="002E6577"/>
    <w:rsid w:val="002E6A70"/>
    <w:rsid w:val="002E6CFC"/>
    <w:rsid w:val="002E6E91"/>
    <w:rsid w:val="002E71EB"/>
    <w:rsid w:val="002E7292"/>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7A2"/>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BCA"/>
    <w:rsid w:val="002F1C4E"/>
    <w:rsid w:val="002F1DCF"/>
    <w:rsid w:val="002F1E63"/>
    <w:rsid w:val="002F2050"/>
    <w:rsid w:val="002F2217"/>
    <w:rsid w:val="002F2261"/>
    <w:rsid w:val="002F272C"/>
    <w:rsid w:val="002F2834"/>
    <w:rsid w:val="002F2840"/>
    <w:rsid w:val="002F2872"/>
    <w:rsid w:val="002F2922"/>
    <w:rsid w:val="002F29DB"/>
    <w:rsid w:val="002F2BDD"/>
    <w:rsid w:val="002F2CD6"/>
    <w:rsid w:val="002F2D81"/>
    <w:rsid w:val="002F2DE4"/>
    <w:rsid w:val="002F323A"/>
    <w:rsid w:val="002F32D8"/>
    <w:rsid w:val="002F34D6"/>
    <w:rsid w:val="002F3563"/>
    <w:rsid w:val="002F35A6"/>
    <w:rsid w:val="002F35CA"/>
    <w:rsid w:val="002F39BE"/>
    <w:rsid w:val="002F3B0B"/>
    <w:rsid w:val="002F3BF6"/>
    <w:rsid w:val="002F3F6E"/>
    <w:rsid w:val="002F409D"/>
    <w:rsid w:val="002F42C8"/>
    <w:rsid w:val="002F4309"/>
    <w:rsid w:val="002F4369"/>
    <w:rsid w:val="002F44E1"/>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454"/>
    <w:rsid w:val="003005AA"/>
    <w:rsid w:val="0030084A"/>
    <w:rsid w:val="00300A1C"/>
    <w:rsid w:val="00300B96"/>
    <w:rsid w:val="00301050"/>
    <w:rsid w:val="0030129C"/>
    <w:rsid w:val="00301781"/>
    <w:rsid w:val="00301793"/>
    <w:rsid w:val="0030179B"/>
    <w:rsid w:val="003017DC"/>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8A"/>
    <w:rsid w:val="00303AA4"/>
    <w:rsid w:val="00303CFC"/>
    <w:rsid w:val="00303DCF"/>
    <w:rsid w:val="00303F80"/>
    <w:rsid w:val="00303FB7"/>
    <w:rsid w:val="00304233"/>
    <w:rsid w:val="003042DA"/>
    <w:rsid w:val="00304343"/>
    <w:rsid w:val="0030443D"/>
    <w:rsid w:val="003045A8"/>
    <w:rsid w:val="00304DFE"/>
    <w:rsid w:val="00304F11"/>
    <w:rsid w:val="003050F3"/>
    <w:rsid w:val="00305384"/>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275"/>
    <w:rsid w:val="0030745C"/>
    <w:rsid w:val="003079D9"/>
    <w:rsid w:val="00307A81"/>
    <w:rsid w:val="00307DEB"/>
    <w:rsid w:val="00310056"/>
    <w:rsid w:val="003100FB"/>
    <w:rsid w:val="00310153"/>
    <w:rsid w:val="003101D3"/>
    <w:rsid w:val="003101D7"/>
    <w:rsid w:val="0031031F"/>
    <w:rsid w:val="003103C1"/>
    <w:rsid w:val="003105D8"/>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3F3"/>
    <w:rsid w:val="0031355B"/>
    <w:rsid w:val="003136BE"/>
    <w:rsid w:val="00313886"/>
    <w:rsid w:val="00313C91"/>
    <w:rsid w:val="00313D84"/>
    <w:rsid w:val="00313DC3"/>
    <w:rsid w:val="00313EA6"/>
    <w:rsid w:val="00313F39"/>
    <w:rsid w:val="003140C4"/>
    <w:rsid w:val="003140C8"/>
    <w:rsid w:val="00314162"/>
    <w:rsid w:val="00314297"/>
    <w:rsid w:val="0031442C"/>
    <w:rsid w:val="0031452C"/>
    <w:rsid w:val="0031486F"/>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F62"/>
    <w:rsid w:val="0032042E"/>
    <w:rsid w:val="0032055E"/>
    <w:rsid w:val="003205DA"/>
    <w:rsid w:val="00320863"/>
    <w:rsid w:val="003208C5"/>
    <w:rsid w:val="003208E6"/>
    <w:rsid w:val="0032096E"/>
    <w:rsid w:val="00320A07"/>
    <w:rsid w:val="00320A41"/>
    <w:rsid w:val="00320B73"/>
    <w:rsid w:val="00320D59"/>
    <w:rsid w:val="00321215"/>
    <w:rsid w:val="003213B2"/>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18"/>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3F"/>
    <w:rsid w:val="00334763"/>
    <w:rsid w:val="0033482F"/>
    <w:rsid w:val="003348F4"/>
    <w:rsid w:val="00334920"/>
    <w:rsid w:val="00334BBB"/>
    <w:rsid w:val="00334D16"/>
    <w:rsid w:val="00334FE7"/>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AB7"/>
    <w:rsid w:val="00340CF6"/>
    <w:rsid w:val="00340D3B"/>
    <w:rsid w:val="00340FC5"/>
    <w:rsid w:val="00341115"/>
    <w:rsid w:val="003412E4"/>
    <w:rsid w:val="003412EF"/>
    <w:rsid w:val="003415C0"/>
    <w:rsid w:val="003417E1"/>
    <w:rsid w:val="00341999"/>
    <w:rsid w:val="00341C0C"/>
    <w:rsid w:val="00341D33"/>
    <w:rsid w:val="00341F1B"/>
    <w:rsid w:val="00341F70"/>
    <w:rsid w:val="00341F81"/>
    <w:rsid w:val="00341FA8"/>
    <w:rsid w:val="00342458"/>
    <w:rsid w:val="003424C9"/>
    <w:rsid w:val="003426EA"/>
    <w:rsid w:val="003429C9"/>
    <w:rsid w:val="003429D0"/>
    <w:rsid w:val="00342A3B"/>
    <w:rsid w:val="00342A47"/>
    <w:rsid w:val="00342A5F"/>
    <w:rsid w:val="00342C11"/>
    <w:rsid w:val="00342EC6"/>
    <w:rsid w:val="00342ECD"/>
    <w:rsid w:val="0034300F"/>
    <w:rsid w:val="0034314F"/>
    <w:rsid w:val="00343542"/>
    <w:rsid w:val="00343554"/>
    <w:rsid w:val="0034358D"/>
    <w:rsid w:val="003435F4"/>
    <w:rsid w:val="003436A3"/>
    <w:rsid w:val="0034379A"/>
    <w:rsid w:val="00343AD7"/>
    <w:rsid w:val="00343BEE"/>
    <w:rsid w:val="00343CCD"/>
    <w:rsid w:val="00343DB3"/>
    <w:rsid w:val="00344180"/>
    <w:rsid w:val="00344374"/>
    <w:rsid w:val="0034452F"/>
    <w:rsid w:val="003445AC"/>
    <w:rsid w:val="003445F9"/>
    <w:rsid w:val="0034476B"/>
    <w:rsid w:val="0034485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628"/>
    <w:rsid w:val="00346746"/>
    <w:rsid w:val="003468B2"/>
    <w:rsid w:val="00346A09"/>
    <w:rsid w:val="00346A10"/>
    <w:rsid w:val="00346E1A"/>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A10"/>
    <w:rsid w:val="00353A2A"/>
    <w:rsid w:val="00353A48"/>
    <w:rsid w:val="00353B31"/>
    <w:rsid w:val="00353F5F"/>
    <w:rsid w:val="00353FB1"/>
    <w:rsid w:val="003541A5"/>
    <w:rsid w:val="003541CF"/>
    <w:rsid w:val="00354286"/>
    <w:rsid w:val="0035447D"/>
    <w:rsid w:val="003545E2"/>
    <w:rsid w:val="0035465C"/>
    <w:rsid w:val="0035474E"/>
    <w:rsid w:val="003548CC"/>
    <w:rsid w:val="00354A5A"/>
    <w:rsid w:val="00354C10"/>
    <w:rsid w:val="00354CAF"/>
    <w:rsid w:val="00354FE8"/>
    <w:rsid w:val="003551E0"/>
    <w:rsid w:val="003552A9"/>
    <w:rsid w:val="003552D6"/>
    <w:rsid w:val="00355310"/>
    <w:rsid w:val="003553A9"/>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F8"/>
    <w:rsid w:val="003579CD"/>
    <w:rsid w:val="00357A1A"/>
    <w:rsid w:val="00357C32"/>
    <w:rsid w:val="00357E25"/>
    <w:rsid w:val="00360667"/>
    <w:rsid w:val="00360814"/>
    <w:rsid w:val="003608CD"/>
    <w:rsid w:val="003609CB"/>
    <w:rsid w:val="00360A01"/>
    <w:rsid w:val="00360E72"/>
    <w:rsid w:val="0036114F"/>
    <w:rsid w:val="003612C8"/>
    <w:rsid w:val="00361371"/>
    <w:rsid w:val="0036166C"/>
    <w:rsid w:val="003616A4"/>
    <w:rsid w:val="00361823"/>
    <w:rsid w:val="003618EC"/>
    <w:rsid w:val="00361935"/>
    <w:rsid w:val="00361972"/>
    <w:rsid w:val="003619D2"/>
    <w:rsid w:val="00361C4E"/>
    <w:rsid w:val="00361D36"/>
    <w:rsid w:val="00361DAE"/>
    <w:rsid w:val="00361E62"/>
    <w:rsid w:val="003621A3"/>
    <w:rsid w:val="00362242"/>
    <w:rsid w:val="00362499"/>
    <w:rsid w:val="00362524"/>
    <w:rsid w:val="00362525"/>
    <w:rsid w:val="0036262D"/>
    <w:rsid w:val="003626EA"/>
    <w:rsid w:val="00362740"/>
    <w:rsid w:val="00362749"/>
    <w:rsid w:val="0036280D"/>
    <w:rsid w:val="003628E2"/>
    <w:rsid w:val="0036298A"/>
    <w:rsid w:val="00362AEA"/>
    <w:rsid w:val="00362C16"/>
    <w:rsid w:val="00362D3C"/>
    <w:rsid w:val="00362FEE"/>
    <w:rsid w:val="0036305C"/>
    <w:rsid w:val="00363104"/>
    <w:rsid w:val="00363175"/>
    <w:rsid w:val="003632CC"/>
    <w:rsid w:val="003633F1"/>
    <w:rsid w:val="00363489"/>
    <w:rsid w:val="00363885"/>
    <w:rsid w:val="003638AB"/>
    <w:rsid w:val="003639A9"/>
    <w:rsid w:val="00363A5D"/>
    <w:rsid w:val="00363BC5"/>
    <w:rsid w:val="00363FBC"/>
    <w:rsid w:val="00364319"/>
    <w:rsid w:val="003643D7"/>
    <w:rsid w:val="00364479"/>
    <w:rsid w:val="00364493"/>
    <w:rsid w:val="003644B1"/>
    <w:rsid w:val="0036461C"/>
    <w:rsid w:val="003649E5"/>
    <w:rsid w:val="00364D2E"/>
    <w:rsid w:val="00364EEE"/>
    <w:rsid w:val="00364F32"/>
    <w:rsid w:val="00365183"/>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BD7"/>
    <w:rsid w:val="00367D76"/>
    <w:rsid w:val="0037004C"/>
    <w:rsid w:val="003701FA"/>
    <w:rsid w:val="003702C0"/>
    <w:rsid w:val="003703CB"/>
    <w:rsid w:val="003705DC"/>
    <w:rsid w:val="003706CF"/>
    <w:rsid w:val="003707CC"/>
    <w:rsid w:val="003709F5"/>
    <w:rsid w:val="00370C3D"/>
    <w:rsid w:val="00371104"/>
    <w:rsid w:val="00371158"/>
    <w:rsid w:val="0037119B"/>
    <w:rsid w:val="003711EC"/>
    <w:rsid w:val="00371358"/>
    <w:rsid w:val="003716D6"/>
    <w:rsid w:val="003718EB"/>
    <w:rsid w:val="00371A72"/>
    <w:rsid w:val="00371A9D"/>
    <w:rsid w:val="00371C03"/>
    <w:rsid w:val="00371EED"/>
    <w:rsid w:val="00372041"/>
    <w:rsid w:val="003720D1"/>
    <w:rsid w:val="003720EE"/>
    <w:rsid w:val="00372263"/>
    <w:rsid w:val="003723B7"/>
    <w:rsid w:val="00372439"/>
    <w:rsid w:val="00372494"/>
    <w:rsid w:val="003726E9"/>
    <w:rsid w:val="00372A7D"/>
    <w:rsid w:val="00372C37"/>
    <w:rsid w:val="00372C53"/>
    <w:rsid w:val="00372D8A"/>
    <w:rsid w:val="00372DFF"/>
    <w:rsid w:val="00372E6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C4"/>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8E"/>
    <w:rsid w:val="003811C1"/>
    <w:rsid w:val="0038143D"/>
    <w:rsid w:val="0038145F"/>
    <w:rsid w:val="003819DC"/>
    <w:rsid w:val="00381C0D"/>
    <w:rsid w:val="00381C74"/>
    <w:rsid w:val="00381CB5"/>
    <w:rsid w:val="00381F17"/>
    <w:rsid w:val="00381F6C"/>
    <w:rsid w:val="00381FD4"/>
    <w:rsid w:val="003823E4"/>
    <w:rsid w:val="003824A6"/>
    <w:rsid w:val="0038285E"/>
    <w:rsid w:val="003828D8"/>
    <w:rsid w:val="00382931"/>
    <w:rsid w:val="0038293B"/>
    <w:rsid w:val="00382A22"/>
    <w:rsid w:val="00382B41"/>
    <w:rsid w:val="00382B8E"/>
    <w:rsid w:val="00382CEE"/>
    <w:rsid w:val="00382F9D"/>
    <w:rsid w:val="0038322D"/>
    <w:rsid w:val="0038326E"/>
    <w:rsid w:val="00383313"/>
    <w:rsid w:val="0038348C"/>
    <w:rsid w:val="003835C8"/>
    <w:rsid w:val="00383711"/>
    <w:rsid w:val="0038374D"/>
    <w:rsid w:val="0038378D"/>
    <w:rsid w:val="0038388E"/>
    <w:rsid w:val="0038389D"/>
    <w:rsid w:val="0038397E"/>
    <w:rsid w:val="00383CBE"/>
    <w:rsid w:val="00383D54"/>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E21"/>
    <w:rsid w:val="00387FA8"/>
    <w:rsid w:val="00390057"/>
    <w:rsid w:val="00390223"/>
    <w:rsid w:val="003908BE"/>
    <w:rsid w:val="003909AF"/>
    <w:rsid w:val="00390A24"/>
    <w:rsid w:val="00390ADA"/>
    <w:rsid w:val="00390C32"/>
    <w:rsid w:val="00390CC8"/>
    <w:rsid w:val="00390E71"/>
    <w:rsid w:val="00390EDA"/>
    <w:rsid w:val="00391110"/>
    <w:rsid w:val="00391202"/>
    <w:rsid w:val="0039133A"/>
    <w:rsid w:val="00391378"/>
    <w:rsid w:val="00391437"/>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E6"/>
    <w:rsid w:val="00392A11"/>
    <w:rsid w:val="00392ABA"/>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9E3"/>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B8E"/>
    <w:rsid w:val="00397C12"/>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EDE"/>
    <w:rsid w:val="003A1F51"/>
    <w:rsid w:val="003A241A"/>
    <w:rsid w:val="003A2A15"/>
    <w:rsid w:val="003A2A92"/>
    <w:rsid w:val="003A2A93"/>
    <w:rsid w:val="003A2B44"/>
    <w:rsid w:val="003A2DDD"/>
    <w:rsid w:val="003A2E9C"/>
    <w:rsid w:val="003A2EA1"/>
    <w:rsid w:val="003A3306"/>
    <w:rsid w:val="003A3748"/>
    <w:rsid w:val="003A37B8"/>
    <w:rsid w:val="003A38B6"/>
    <w:rsid w:val="003A38D8"/>
    <w:rsid w:val="003A3AB7"/>
    <w:rsid w:val="003A3C37"/>
    <w:rsid w:val="003A3EC2"/>
    <w:rsid w:val="003A3F82"/>
    <w:rsid w:val="003A3FA5"/>
    <w:rsid w:val="003A3FBE"/>
    <w:rsid w:val="003A3FC7"/>
    <w:rsid w:val="003A400D"/>
    <w:rsid w:val="003A402E"/>
    <w:rsid w:val="003A4139"/>
    <w:rsid w:val="003A41E4"/>
    <w:rsid w:val="003A47AA"/>
    <w:rsid w:val="003A47B4"/>
    <w:rsid w:val="003A48B2"/>
    <w:rsid w:val="003A48D5"/>
    <w:rsid w:val="003A4960"/>
    <w:rsid w:val="003A4AD0"/>
    <w:rsid w:val="003A4B3C"/>
    <w:rsid w:val="003A4FE1"/>
    <w:rsid w:val="003A5175"/>
    <w:rsid w:val="003A54F6"/>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EF4"/>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4B"/>
    <w:rsid w:val="003B0C2F"/>
    <w:rsid w:val="003B0C57"/>
    <w:rsid w:val="003B0C9E"/>
    <w:rsid w:val="003B0F0F"/>
    <w:rsid w:val="003B0F1A"/>
    <w:rsid w:val="003B0F26"/>
    <w:rsid w:val="003B0F57"/>
    <w:rsid w:val="003B120F"/>
    <w:rsid w:val="003B1487"/>
    <w:rsid w:val="003B1560"/>
    <w:rsid w:val="003B1A7A"/>
    <w:rsid w:val="003B1B8C"/>
    <w:rsid w:val="003B1BBD"/>
    <w:rsid w:val="003B1BDE"/>
    <w:rsid w:val="003B1C07"/>
    <w:rsid w:val="003B1E14"/>
    <w:rsid w:val="003B21B3"/>
    <w:rsid w:val="003B242A"/>
    <w:rsid w:val="003B24F2"/>
    <w:rsid w:val="003B26FA"/>
    <w:rsid w:val="003B290C"/>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186"/>
    <w:rsid w:val="003B56E2"/>
    <w:rsid w:val="003B5800"/>
    <w:rsid w:val="003B5824"/>
    <w:rsid w:val="003B586D"/>
    <w:rsid w:val="003B59E5"/>
    <w:rsid w:val="003B5DB6"/>
    <w:rsid w:val="003B5FE8"/>
    <w:rsid w:val="003B6040"/>
    <w:rsid w:val="003B60B4"/>
    <w:rsid w:val="003B6399"/>
    <w:rsid w:val="003B6C09"/>
    <w:rsid w:val="003B71F9"/>
    <w:rsid w:val="003B75BF"/>
    <w:rsid w:val="003B7607"/>
    <w:rsid w:val="003B7837"/>
    <w:rsid w:val="003B7BF6"/>
    <w:rsid w:val="003B7C7F"/>
    <w:rsid w:val="003B7E30"/>
    <w:rsid w:val="003B7ECB"/>
    <w:rsid w:val="003B7EEE"/>
    <w:rsid w:val="003C0019"/>
    <w:rsid w:val="003C05EB"/>
    <w:rsid w:val="003C0836"/>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39"/>
    <w:rsid w:val="003C3AB8"/>
    <w:rsid w:val="003C3C3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761"/>
    <w:rsid w:val="003C6910"/>
    <w:rsid w:val="003C6B6C"/>
    <w:rsid w:val="003C6C26"/>
    <w:rsid w:val="003C6D51"/>
    <w:rsid w:val="003C6D6B"/>
    <w:rsid w:val="003C6D83"/>
    <w:rsid w:val="003C6DD4"/>
    <w:rsid w:val="003C6E9C"/>
    <w:rsid w:val="003C7216"/>
    <w:rsid w:val="003C75F6"/>
    <w:rsid w:val="003C76DE"/>
    <w:rsid w:val="003C76F4"/>
    <w:rsid w:val="003C78FA"/>
    <w:rsid w:val="003C7A1A"/>
    <w:rsid w:val="003C7A55"/>
    <w:rsid w:val="003C7DAB"/>
    <w:rsid w:val="003C7DD9"/>
    <w:rsid w:val="003C7FAD"/>
    <w:rsid w:val="003D02D1"/>
    <w:rsid w:val="003D0562"/>
    <w:rsid w:val="003D07BA"/>
    <w:rsid w:val="003D08DD"/>
    <w:rsid w:val="003D0A53"/>
    <w:rsid w:val="003D0BA3"/>
    <w:rsid w:val="003D0C1F"/>
    <w:rsid w:val="003D0C27"/>
    <w:rsid w:val="003D0F1F"/>
    <w:rsid w:val="003D135A"/>
    <w:rsid w:val="003D1372"/>
    <w:rsid w:val="003D1682"/>
    <w:rsid w:val="003D17A2"/>
    <w:rsid w:val="003D1854"/>
    <w:rsid w:val="003D1A37"/>
    <w:rsid w:val="003D1BD6"/>
    <w:rsid w:val="003D1D70"/>
    <w:rsid w:val="003D2046"/>
    <w:rsid w:val="003D2128"/>
    <w:rsid w:val="003D2368"/>
    <w:rsid w:val="003D26CB"/>
    <w:rsid w:val="003D2819"/>
    <w:rsid w:val="003D2881"/>
    <w:rsid w:val="003D2AF9"/>
    <w:rsid w:val="003D2D68"/>
    <w:rsid w:val="003D2DF1"/>
    <w:rsid w:val="003D2F5B"/>
    <w:rsid w:val="003D33B3"/>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C75"/>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CFA"/>
    <w:rsid w:val="003E0DE7"/>
    <w:rsid w:val="003E0E02"/>
    <w:rsid w:val="003E0E80"/>
    <w:rsid w:val="003E0FF9"/>
    <w:rsid w:val="003E1350"/>
    <w:rsid w:val="003E14A1"/>
    <w:rsid w:val="003E1742"/>
    <w:rsid w:val="003E17BC"/>
    <w:rsid w:val="003E1AB2"/>
    <w:rsid w:val="003E1B34"/>
    <w:rsid w:val="003E1B85"/>
    <w:rsid w:val="003E1F7B"/>
    <w:rsid w:val="003E2164"/>
    <w:rsid w:val="003E240A"/>
    <w:rsid w:val="003E2447"/>
    <w:rsid w:val="003E2548"/>
    <w:rsid w:val="003E289E"/>
    <w:rsid w:val="003E29BA"/>
    <w:rsid w:val="003E29BC"/>
    <w:rsid w:val="003E2BF3"/>
    <w:rsid w:val="003E2C4D"/>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F0B"/>
    <w:rsid w:val="003E4FC5"/>
    <w:rsid w:val="003E4FF3"/>
    <w:rsid w:val="003E576C"/>
    <w:rsid w:val="003E5A29"/>
    <w:rsid w:val="003E5CBD"/>
    <w:rsid w:val="003E5D0F"/>
    <w:rsid w:val="003E5EA0"/>
    <w:rsid w:val="003E5EE9"/>
    <w:rsid w:val="003E5F3C"/>
    <w:rsid w:val="003E5F58"/>
    <w:rsid w:val="003E5FD6"/>
    <w:rsid w:val="003E607E"/>
    <w:rsid w:val="003E60AD"/>
    <w:rsid w:val="003E61A6"/>
    <w:rsid w:val="003E64F0"/>
    <w:rsid w:val="003E6606"/>
    <w:rsid w:val="003E674B"/>
    <w:rsid w:val="003E6759"/>
    <w:rsid w:val="003E69F6"/>
    <w:rsid w:val="003E6B09"/>
    <w:rsid w:val="003E6BD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2DF6"/>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17E"/>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3EE"/>
    <w:rsid w:val="003F651E"/>
    <w:rsid w:val="003F6697"/>
    <w:rsid w:val="003F66A5"/>
    <w:rsid w:val="003F6714"/>
    <w:rsid w:val="003F67B9"/>
    <w:rsid w:val="003F6A59"/>
    <w:rsid w:val="003F6B1A"/>
    <w:rsid w:val="003F6B41"/>
    <w:rsid w:val="003F6D04"/>
    <w:rsid w:val="003F6F25"/>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3D4"/>
    <w:rsid w:val="004013F3"/>
    <w:rsid w:val="004014EF"/>
    <w:rsid w:val="004015E2"/>
    <w:rsid w:val="00401914"/>
    <w:rsid w:val="0040196D"/>
    <w:rsid w:val="00401AB6"/>
    <w:rsid w:val="00401DBC"/>
    <w:rsid w:val="00402138"/>
    <w:rsid w:val="00402210"/>
    <w:rsid w:val="004022A6"/>
    <w:rsid w:val="004026C2"/>
    <w:rsid w:val="00402B49"/>
    <w:rsid w:val="00402BC5"/>
    <w:rsid w:val="00402BEC"/>
    <w:rsid w:val="00402C2A"/>
    <w:rsid w:val="00402DD5"/>
    <w:rsid w:val="00402F55"/>
    <w:rsid w:val="0040320C"/>
    <w:rsid w:val="004035AB"/>
    <w:rsid w:val="00403A45"/>
    <w:rsid w:val="00403F77"/>
    <w:rsid w:val="00404007"/>
    <w:rsid w:val="00404193"/>
    <w:rsid w:val="0040420F"/>
    <w:rsid w:val="00404295"/>
    <w:rsid w:val="004042B7"/>
    <w:rsid w:val="00404402"/>
    <w:rsid w:val="004047B1"/>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5F9E"/>
    <w:rsid w:val="0040604D"/>
    <w:rsid w:val="00406478"/>
    <w:rsid w:val="0040661A"/>
    <w:rsid w:val="004066C8"/>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99"/>
    <w:rsid w:val="00410ADF"/>
    <w:rsid w:val="00410B1D"/>
    <w:rsid w:val="004110B8"/>
    <w:rsid w:val="00411121"/>
    <w:rsid w:val="0041129A"/>
    <w:rsid w:val="00411ADF"/>
    <w:rsid w:val="00412030"/>
    <w:rsid w:val="00412100"/>
    <w:rsid w:val="004122AC"/>
    <w:rsid w:val="004122AD"/>
    <w:rsid w:val="004122BC"/>
    <w:rsid w:val="004123C4"/>
    <w:rsid w:val="004127FA"/>
    <w:rsid w:val="0041281D"/>
    <w:rsid w:val="00412855"/>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82"/>
    <w:rsid w:val="004145DB"/>
    <w:rsid w:val="0041479B"/>
    <w:rsid w:val="00414A82"/>
    <w:rsid w:val="00414BB3"/>
    <w:rsid w:val="00414DA0"/>
    <w:rsid w:val="00414F97"/>
    <w:rsid w:val="004154D1"/>
    <w:rsid w:val="004156F0"/>
    <w:rsid w:val="00415963"/>
    <w:rsid w:val="00415B16"/>
    <w:rsid w:val="00415BE4"/>
    <w:rsid w:val="00415C71"/>
    <w:rsid w:val="00416056"/>
    <w:rsid w:val="00416324"/>
    <w:rsid w:val="00416387"/>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16"/>
    <w:rsid w:val="00417E25"/>
    <w:rsid w:val="00417FC4"/>
    <w:rsid w:val="00417FDD"/>
    <w:rsid w:val="004201F7"/>
    <w:rsid w:val="00420251"/>
    <w:rsid w:val="004204D3"/>
    <w:rsid w:val="00420513"/>
    <w:rsid w:val="004206E6"/>
    <w:rsid w:val="00420783"/>
    <w:rsid w:val="00420856"/>
    <w:rsid w:val="00420A08"/>
    <w:rsid w:val="00420BD3"/>
    <w:rsid w:val="00420DA3"/>
    <w:rsid w:val="00420EC5"/>
    <w:rsid w:val="00421298"/>
    <w:rsid w:val="0042133E"/>
    <w:rsid w:val="0042173B"/>
    <w:rsid w:val="004219DB"/>
    <w:rsid w:val="00421A42"/>
    <w:rsid w:val="00421AE3"/>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7E4"/>
    <w:rsid w:val="00423888"/>
    <w:rsid w:val="00423ACF"/>
    <w:rsid w:val="00423D29"/>
    <w:rsid w:val="00423E8A"/>
    <w:rsid w:val="00423EDC"/>
    <w:rsid w:val="004240E8"/>
    <w:rsid w:val="004240F5"/>
    <w:rsid w:val="00424102"/>
    <w:rsid w:val="004241A4"/>
    <w:rsid w:val="004243AF"/>
    <w:rsid w:val="00424423"/>
    <w:rsid w:val="00424444"/>
    <w:rsid w:val="00424459"/>
    <w:rsid w:val="004244F0"/>
    <w:rsid w:val="004245B1"/>
    <w:rsid w:val="00424612"/>
    <w:rsid w:val="0042475A"/>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DD"/>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6A0"/>
    <w:rsid w:val="00431969"/>
    <w:rsid w:val="00431BA6"/>
    <w:rsid w:val="00431CF5"/>
    <w:rsid w:val="00431D22"/>
    <w:rsid w:val="00431E80"/>
    <w:rsid w:val="00431FA8"/>
    <w:rsid w:val="00432202"/>
    <w:rsid w:val="00432AE7"/>
    <w:rsid w:val="00432C7D"/>
    <w:rsid w:val="0043301E"/>
    <w:rsid w:val="00433240"/>
    <w:rsid w:val="004334C1"/>
    <w:rsid w:val="004336B5"/>
    <w:rsid w:val="004338E3"/>
    <w:rsid w:val="00433922"/>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638"/>
    <w:rsid w:val="0043573A"/>
    <w:rsid w:val="004359AD"/>
    <w:rsid w:val="00435C42"/>
    <w:rsid w:val="00435D3D"/>
    <w:rsid w:val="00435F39"/>
    <w:rsid w:val="004362E2"/>
    <w:rsid w:val="00436383"/>
    <w:rsid w:val="004366E1"/>
    <w:rsid w:val="00436A19"/>
    <w:rsid w:val="00436A46"/>
    <w:rsid w:val="00436A59"/>
    <w:rsid w:val="00436D88"/>
    <w:rsid w:val="00436FEA"/>
    <w:rsid w:val="00437000"/>
    <w:rsid w:val="0043715A"/>
    <w:rsid w:val="00437345"/>
    <w:rsid w:val="00437360"/>
    <w:rsid w:val="00437711"/>
    <w:rsid w:val="00437A99"/>
    <w:rsid w:val="00437ACC"/>
    <w:rsid w:val="00437D4E"/>
    <w:rsid w:val="004401F1"/>
    <w:rsid w:val="004402CF"/>
    <w:rsid w:val="0044044E"/>
    <w:rsid w:val="0044046E"/>
    <w:rsid w:val="004405B0"/>
    <w:rsid w:val="00440625"/>
    <w:rsid w:val="0044072D"/>
    <w:rsid w:val="00440A5B"/>
    <w:rsid w:val="00440B42"/>
    <w:rsid w:val="00440B5C"/>
    <w:rsid w:val="00440C38"/>
    <w:rsid w:val="00440DA5"/>
    <w:rsid w:val="00440E7B"/>
    <w:rsid w:val="00440FC3"/>
    <w:rsid w:val="00441083"/>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602"/>
    <w:rsid w:val="004436E1"/>
    <w:rsid w:val="00443BA9"/>
    <w:rsid w:val="00443BF7"/>
    <w:rsid w:val="0044409A"/>
    <w:rsid w:val="0044415B"/>
    <w:rsid w:val="00444448"/>
    <w:rsid w:val="00444613"/>
    <w:rsid w:val="004447D2"/>
    <w:rsid w:val="00444983"/>
    <w:rsid w:val="00444A7F"/>
    <w:rsid w:val="00444AB9"/>
    <w:rsid w:val="00444BEE"/>
    <w:rsid w:val="00444C80"/>
    <w:rsid w:val="00444D94"/>
    <w:rsid w:val="00444F33"/>
    <w:rsid w:val="00444F8C"/>
    <w:rsid w:val="00444FCB"/>
    <w:rsid w:val="0044539B"/>
    <w:rsid w:val="004453C9"/>
    <w:rsid w:val="00445677"/>
    <w:rsid w:val="00445732"/>
    <w:rsid w:val="0044580E"/>
    <w:rsid w:val="0044582C"/>
    <w:rsid w:val="0044583F"/>
    <w:rsid w:val="004458C9"/>
    <w:rsid w:val="00445A1C"/>
    <w:rsid w:val="00445BAE"/>
    <w:rsid w:val="00445D8F"/>
    <w:rsid w:val="00445DB8"/>
    <w:rsid w:val="004460EF"/>
    <w:rsid w:val="004462A2"/>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4FF"/>
    <w:rsid w:val="004517A9"/>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B1A"/>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364"/>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CE5"/>
    <w:rsid w:val="00462F52"/>
    <w:rsid w:val="004630E6"/>
    <w:rsid w:val="004631E5"/>
    <w:rsid w:val="00463438"/>
    <w:rsid w:val="00463972"/>
    <w:rsid w:val="004639D7"/>
    <w:rsid w:val="0046409A"/>
    <w:rsid w:val="004640ED"/>
    <w:rsid w:val="004641ED"/>
    <w:rsid w:val="0046423F"/>
    <w:rsid w:val="0046458B"/>
    <w:rsid w:val="004645EA"/>
    <w:rsid w:val="004645F2"/>
    <w:rsid w:val="0046473C"/>
    <w:rsid w:val="0046482D"/>
    <w:rsid w:val="00464A74"/>
    <w:rsid w:val="00464DBE"/>
    <w:rsid w:val="00464DCF"/>
    <w:rsid w:val="00464DD4"/>
    <w:rsid w:val="00465150"/>
    <w:rsid w:val="004658BB"/>
    <w:rsid w:val="004658E3"/>
    <w:rsid w:val="004659DA"/>
    <w:rsid w:val="00465ECA"/>
    <w:rsid w:val="00465FDF"/>
    <w:rsid w:val="004660B6"/>
    <w:rsid w:val="0046622D"/>
    <w:rsid w:val="004664CB"/>
    <w:rsid w:val="004667D7"/>
    <w:rsid w:val="00466947"/>
    <w:rsid w:val="00466B68"/>
    <w:rsid w:val="00466C57"/>
    <w:rsid w:val="00466CA1"/>
    <w:rsid w:val="00466CDA"/>
    <w:rsid w:val="00467069"/>
    <w:rsid w:val="0046706E"/>
    <w:rsid w:val="0046721B"/>
    <w:rsid w:val="00467257"/>
    <w:rsid w:val="004675C0"/>
    <w:rsid w:val="0046781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4291"/>
    <w:rsid w:val="00474553"/>
    <w:rsid w:val="00474581"/>
    <w:rsid w:val="004745C1"/>
    <w:rsid w:val="00474687"/>
    <w:rsid w:val="00474B08"/>
    <w:rsid w:val="00474B0E"/>
    <w:rsid w:val="00474B7C"/>
    <w:rsid w:val="00474C05"/>
    <w:rsid w:val="00474C1B"/>
    <w:rsid w:val="00474F1B"/>
    <w:rsid w:val="0047509A"/>
    <w:rsid w:val="00475333"/>
    <w:rsid w:val="004753FC"/>
    <w:rsid w:val="0047550E"/>
    <w:rsid w:val="00475556"/>
    <w:rsid w:val="004756D1"/>
    <w:rsid w:val="00475754"/>
    <w:rsid w:val="004758F0"/>
    <w:rsid w:val="00475957"/>
    <w:rsid w:val="00475AA2"/>
    <w:rsid w:val="00475AB0"/>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92A"/>
    <w:rsid w:val="004839E0"/>
    <w:rsid w:val="00483B16"/>
    <w:rsid w:val="00483B33"/>
    <w:rsid w:val="00483B96"/>
    <w:rsid w:val="00483CF4"/>
    <w:rsid w:val="00483D3E"/>
    <w:rsid w:val="00483E87"/>
    <w:rsid w:val="00483ED7"/>
    <w:rsid w:val="0048426A"/>
    <w:rsid w:val="0048487C"/>
    <w:rsid w:val="00484978"/>
    <w:rsid w:val="00484C64"/>
    <w:rsid w:val="00484C73"/>
    <w:rsid w:val="00484CAA"/>
    <w:rsid w:val="00484D71"/>
    <w:rsid w:val="00484F11"/>
    <w:rsid w:val="00484FB6"/>
    <w:rsid w:val="00485338"/>
    <w:rsid w:val="004853A8"/>
    <w:rsid w:val="004855DC"/>
    <w:rsid w:val="00485939"/>
    <w:rsid w:val="00485A7F"/>
    <w:rsid w:val="00485B81"/>
    <w:rsid w:val="00485DFA"/>
    <w:rsid w:val="0048636A"/>
    <w:rsid w:val="00486411"/>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9F9"/>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56"/>
    <w:rsid w:val="004971B7"/>
    <w:rsid w:val="004971DF"/>
    <w:rsid w:val="00497554"/>
    <w:rsid w:val="0049768F"/>
    <w:rsid w:val="004976D6"/>
    <w:rsid w:val="004978A1"/>
    <w:rsid w:val="00497D3E"/>
    <w:rsid w:val="00497DFD"/>
    <w:rsid w:val="004A0057"/>
    <w:rsid w:val="004A0083"/>
    <w:rsid w:val="004A0133"/>
    <w:rsid w:val="004A053A"/>
    <w:rsid w:val="004A057E"/>
    <w:rsid w:val="004A07A3"/>
    <w:rsid w:val="004A0B6C"/>
    <w:rsid w:val="004A0BDA"/>
    <w:rsid w:val="004A0CB4"/>
    <w:rsid w:val="004A0DB3"/>
    <w:rsid w:val="004A0EB0"/>
    <w:rsid w:val="004A0ECB"/>
    <w:rsid w:val="004A0FF8"/>
    <w:rsid w:val="004A0FF9"/>
    <w:rsid w:val="004A106B"/>
    <w:rsid w:val="004A14E0"/>
    <w:rsid w:val="004A150E"/>
    <w:rsid w:val="004A17E7"/>
    <w:rsid w:val="004A1824"/>
    <w:rsid w:val="004A19E8"/>
    <w:rsid w:val="004A1A15"/>
    <w:rsid w:val="004A1A67"/>
    <w:rsid w:val="004A1E3C"/>
    <w:rsid w:val="004A1EF8"/>
    <w:rsid w:val="004A2132"/>
    <w:rsid w:val="004A2182"/>
    <w:rsid w:val="004A22C0"/>
    <w:rsid w:val="004A251A"/>
    <w:rsid w:val="004A2841"/>
    <w:rsid w:val="004A2A16"/>
    <w:rsid w:val="004A2E75"/>
    <w:rsid w:val="004A2EF8"/>
    <w:rsid w:val="004A2F37"/>
    <w:rsid w:val="004A301E"/>
    <w:rsid w:val="004A322B"/>
    <w:rsid w:val="004A3271"/>
    <w:rsid w:val="004A329D"/>
    <w:rsid w:val="004A3363"/>
    <w:rsid w:val="004A33C5"/>
    <w:rsid w:val="004A33D8"/>
    <w:rsid w:val="004A35BF"/>
    <w:rsid w:val="004A3677"/>
    <w:rsid w:val="004A3876"/>
    <w:rsid w:val="004A3C47"/>
    <w:rsid w:val="004A3F20"/>
    <w:rsid w:val="004A421F"/>
    <w:rsid w:val="004A4282"/>
    <w:rsid w:val="004A437D"/>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093"/>
    <w:rsid w:val="004A6183"/>
    <w:rsid w:val="004A61AF"/>
    <w:rsid w:val="004A6323"/>
    <w:rsid w:val="004A633A"/>
    <w:rsid w:val="004A654D"/>
    <w:rsid w:val="004A6582"/>
    <w:rsid w:val="004A667E"/>
    <w:rsid w:val="004A66C7"/>
    <w:rsid w:val="004A670D"/>
    <w:rsid w:val="004A6735"/>
    <w:rsid w:val="004A6A19"/>
    <w:rsid w:val="004A6A62"/>
    <w:rsid w:val="004A6B86"/>
    <w:rsid w:val="004A6C23"/>
    <w:rsid w:val="004A6E92"/>
    <w:rsid w:val="004A6FCE"/>
    <w:rsid w:val="004A715A"/>
    <w:rsid w:val="004A724B"/>
    <w:rsid w:val="004A7556"/>
    <w:rsid w:val="004A776C"/>
    <w:rsid w:val="004A7C06"/>
    <w:rsid w:val="004A7D6C"/>
    <w:rsid w:val="004A7E47"/>
    <w:rsid w:val="004A7F7E"/>
    <w:rsid w:val="004A7FBC"/>
    <w:rsid w:val="004B01F5"/>
    <w:rsid w:val="004B01F9"/>
    <w:rsid w:val="004B03D9"/>
    <w:rsid w:val="004B0541"/>
    <w:rsid w:val="004B0687"/>
    <w:rsid w:val="004B069B"/>
    <w:rsid w:val="004B06E0"/>
    <w:rsid w:val="004B06E8"/>
    <w:rsid w:val="004B075A"/>
    <w:rsid w:val="004B0787"/>
    <w:rsid w:val="004B080D"/>
    <w:rsid w:val="004B0A57"/>
    <w:rsid w:val="004B0B2C"/>
    <w:rsid w:val="004B0C8C"/>
    <w:rsid w:val="004B0DB4"/>
    <w:rsid w:val="004B0DDE"/>
    <w:rsid w:val="004B0F9D"/>
    <w:rsid w:val="004B10BA"/>
    <w:rsid w:val="004B18C9"/>
    <w:rsid w:val="004B1962"/>
    <w:rsid w:val="004B19F3"/>
    <w:rsid w:val="004B19F7"/>
    <w:rsid w:val="004B1C96"/>
    <w:rsid w:val="004B1E05"/>
    <w:rsid w:val="004B1EC9"/>
    <w:rsid w:val="004B203C"/>
    <w:rsid w:val="004B21F2"/>
    <w:rsid w:val="004B226F"/>
    <w:rsid w:val="004B2486"/>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3E57"/>
    <w:rsid w:val="004B40E0"/>
    <w:rsid w:val="004B41BB"/>
    <w:rsid w:val="004B424F"/>
    <w:rsid w:val="004B464C"/>
    <w:rsid w:val="004B49AB"/>
    <w:rsid w:val="004B4C38"/>
    <w:rsid w:val="004B4FD4"/>
    <w:rsid w:val="004B52DF"/>
    <w:rsid w:val="004B53C9"/>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0B7"/>
    <w:rsid w:val="004C037B"/>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503"/>
    <w:rsid w:val="004C26FD"/>
    <w:rsid w:val="004C289A"/>
    <w:rsid w:val="004C28C2"/>
    <w:rsid w:val="004C2BE9"/>
    <w:rsid w:val="004C2DE0"/>
    <w:rsid w:val="004C34A2"/>
    <w:rsid w:val="004C34D9"/>
    <w:rsid w:val="004C36A0"/>
    <w:rsid w:val="004C3BCC"/>
    <w:rsid w:val="004C3C3B"/>
    <w:rsid w:val="004C3CCB"/>
    <w:rsid w:val="004C3D11"/>
    <w:rsid w:val="004C3E39"/>
    <w:rsid w:val="004C40C4"/>
    <w:rsid w:val="004C40ED"/>
    <w:rsid w:val="004C424A"/>
    <w:rsid w:val="004C4501"/>
    <w:rsid w:val="004C4864"/>
    <w:rsid w:val="004C48F6"/>
    <w:rsid w:val="004C4A4C"/>
    <w:rsid w:val="004C4E99"/>
    <w:rsid w:val="004C4FA4"/>
    <w:rsid w:val="004C50CC"/>
    <w:rsid w:val="004C524E"/>
    <w:rsid w:val="004C5273"/>
    <w:rsid w:val="004C531C"/>
    <w:rsid w:val="004C53B2"/>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A8C"/>
    <w:rsid w:val="004D0B9F"/>
    <w:rsid w:val="004D0C80"/>
    <w:rsid w:val="004D0EC3"/>
    <w:rsid w:val="004D0ED5"/>
    <w:rsid w:val="004D10A1"/>
    <w:rsid w:val="004D132D"/>
    <w:rsid w:val="004D1493"/>
    <w:rsid w:val="004D14D6"/>
    <w:rsid w:val="004D1BEB"/>
    <w:rsid w:val="004D1C48"/>
    <w:rsid w:val="004D1EC4"/>
    <w:rsid w:val="004D2162"/>
    <w:rsid w:val="004D221A"/>
    <w:rsid w:val="004D23F2"/>
    <w:rsid w:val="004D2405"/>
    <w:rsid w:val="004D244F"/>
    <w:rsid w:val="004D247E"/>
    <w:rsid w:val="004D26B3"/>
    <w:rsid w:val="004D2A79"/>
    <w:rsid w:val="004D2B03"/>
    <w:rsid w:val="004D2BE9"/>
    <w:rsid w:val="004D2E86"/>
    <w:rsid w:val="004D2FC7"/>
    <w:rsid w:val="004D2FE1"/>
    <w:rsid w:val="004D3077"/>
    <w:rsid w:val="004D317B"/>
    <w:rsid w:val="004D3288"/>
    <w:rsid w:val="004D3293"/>
    <w:rsid w:val="004D32FF"/>
    <w:rsid w:val="004D3306"/>
    <w:rsid w:val="004D338D"/>
    <w:rsid w:val="004D3489"/>
    <w:rsid w:val="004D34E1"/>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6DAD"/>
    <w:rsid w:val="004D7211"/>
    <w:rsid w:val="004D7289"/>
    <w:rsid w:val="004D752A"/>
    <w:rsid w:val="004D76F9"/>
    <w:rsid w:val="004D7820"/>
    <w:rsid w:val="004D79FF"/>
    <w:rsid w:val="004D7AB6"/>
    <w:rsid w:val="004D7B84"/>
    <w:rsid w:val="004D7F09"/>
    <w:rsid w:val="004D7FD0"/>
    <w:rsid w:val="004E0321"/>
    <w:rsid w:val="004E0347"/>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3A0"/>
    <w:rsid w:val="004E241E"/>
    <w:rsid w:val="004E2A82"/>
    <w:rsid w:val="004E2BD0"/>
    <w:rsid w:val="004E328C"/>
    <w:rsid w:val="004E3718"/>
    <w:rsid w:val="004E389A"/>
    <w:rsid w:val="004E394D"/>
    <w:rsid w:val="004E39CE"/>
    <w:rsid w:val="004E3B09"/>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E43"/>
    <w:rsid w:val="004E5EA0"/>
    <w:rsid w:val="004E5F65"/>
    <w:rsid w:val="004E6273"/>
    <w:rsid w:val="004E63ED"/>
    <w:rsid w:val="004E6566"/>
    <w:rsid w:val="004E67CC"/>
    <w:rsid w:val="004E683E"/>
    <w:rsid w:val="004E68B6"/>
    <w:rsid w:val="004E6920"/>
    <w:rsid w:val="004E69CB"/>
    <w:rsid w:val="004E69E5"/>
    <w:rsid w:val="004E6D48"/>
    <w:rsid w:val="004E6E1E"/>
    <w:rsid w:val="004E6FC7"/>
    <w:rsid w:val="004E6FF7"/>
    <w:rsid w:val="004E7319"/>
    <w:rsid w:val="004E7383"/>
    <w:rsid w:val="004E73C7"/>
    <w:rsid w:val="004E7733"/>
    <w:rsid w:val="004E7917"/>
    <w:rsid w:val="004E7A0A"/>
    <w:rsid w:val="004E7AB6"/>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40B8"/>
    <w:rsid w:val="004F4117"/>
    <w:rsid w:val="004F41F7"/>
    <w:rsid w:val="004F441E"/>
    <w:rsid w:val="004F45AF"/>
    <w:rsid w:val="004F468B"/>
    <w:rsid w:val="004F4702"/>
    <w:rsid w:val="004F47C7"/>
    <w:rsid w:val="004F49A4"/>
    <w:rsid w:val="004F4AE8"/>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774"/>
    <w:rsid w:val="004F695F"/>
    <w:rsid w:val="004F6965"/>
    <w:rsid w:val="004F6CEF"/>
    <w:rsid w:val="004F6F3D"/>
    <w:rsid w:val="004F702B"/>
    <w:rsid w:val="004F70FA"/>
    <w:rsid w:val="004F7370"/>
    <w:rsid w:val="004F73A5"/>
    <w:rsid w:val="004F7458"/>
    <w:rsid w:val="004F761D"/>
    <w:rsid w:val="004F76F4"/>
    <w:rsid w:val="004F78A4"/>
    <w:rsid w:val="004F7B75"/>
    <w:rsid w:val="00500014"/>
    <w:rsid w:val="00500163"/>
    <w:rsid w:val="00500526"/>
    <w:rsid w:val="005005E1"/>
    <w:rsid w:val="005006F8"/>
    <w:rsid w:val="00500930"/>
    <w:rsid w:val="00500B50"/>
    <w:rsid w:val="00500BC7"/>
    <w:rsid w:val="00500D45"/>
    <w:rsid w:val="00500FFD"/>
    <w:rsid w:val="00501087"/>
    <w:rsid w:val="005011D4"/>
    <w:rsid w:val="00501285"/>
    <w:rsid w:val="0050128A"/>
    <w:rsid w:val="0050138E"/>
    <w:rsid w:val="00501487"/>
    <w:rsid w:val="00501552"/>
    <w:rsid w:val="005016C1"/>
    <w:rsid w:val="00501A18"/>
    <w:rsid w:val="00501A7C"/>
    <w:rsid w:val="00501B7F"/>
    <w:rsid w:val="00501B93"/>
    <w:rsid w:val="00501C43"/>
    <w:rsid w:val="00501E23"/>
    <w:rsid w:val="00501EBB"/>
    <w:rsid w:val="0050220E"/>
    <w:rsid w:val="00502366"/>
    <w:rsid w:val="00502731"/>
    <w:rsid w:val="0050278C"/>
    <w:rsid w:val="005028A0"/>
    <w:rsid w:val="00502CE9"/>
    <w:rsid w:val="00502DBB"/>
    <w:rsid w:val="00502FEE"/>
    <w:rsid w:val="00503147"/>
    <w:rsid w:val="00503267"/>
    <w:rsid w:val="005037D3"/>
    <w:rsid w:val="00503992"/>
    <w:rsid w:val="00503A63"/>
    <w:rsid w:val="00503A7B"/>
    <w:rsid w:val="00503AA5"/>
    <w:rsid w:val="00503ADC"/>
    <w:rsid w:val="00503C4A"/>
    <w:rsid w:val="00503E99"/>
    <w:rsid w:val="00503F2B"/>
    <w:rsid w:val="00504003"/>
    <w:rsid w:val="005043B5"/>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140"/>
    <w:rsid w:val="00506733"/>
    <w:rsid w:val="0050679A"/>
    <w:rsid w:val="005069AB"/>
    <w:rsid w:val="00506B64"/>
    <w:rsid w:val="00506CEC"/>
    <w:rsid w:val="00506E90"/>
    <w:rsid w:val="00506F4D"/>
    <w:rsid w:val="005071C2"/>
    <w:rsid w:val="00507554"/>
    <w:rsid w:val="00507790"/>
    <w:rsid w:val="00507935"/>
    <w:rsid w:val="005079D4"/>
    <w:rsid w:val="00507A08"/>
    <w:rsid w:val="00507A7B"/>
    <w:rsid w:val="00507AFA"/>
    <w:rsid w:val="00510057"/>
    <w:rsid w:val="00510125"/>
    <w:rsid w:val="0051034C"/>
    <w:rsid w:val="0051039A"/>
    <w:rsid w:val="005104FD"/>
    <w:rsid w:val="005105FE"/>
    <w:rsid w:val="00510640"/>
    <w:rsid w:val="0051083C"/>
    <w:rsid w:val="00510872"/>
    <w:rsid w:val="00510910"/>
    <w:rsid w:val="00510930"/>
    <w:rsid w:val="00510C99"/>
    <w:rsid w:val="00510D77"/>
    <w:rsid w:val="00510E32"/>
    <w:rsid w:val="00510EEA"/>
    <w:rsid w:val="00510F24"/>
    <w:rsid w:val="00510F75"/>
    <w:rsid w:val="00510FA1"/>
    <w:rsid w:val="0051117E"/>
    <w:rsid w:val="005111DF"/>
    <w:rsid w:val="00511257"/>
    <w:rsid w:val="0051152A"/>
    <w:rsid w:val="0051177E"/>
    <w:rsid w:val="00511804"/>
    <w:rsid w:val="005119F0"/>
    <w:rsid w:val="00511A0B"/>
    <w:rsid w:val="00511B1E"/>
    <w:rsid w:val="00511D0D"/>
    <w:rsid w:val="00511D46"/>
    <w:rsid w:val="00511E9E"/>
    <w:rsid w:val="00511F0C"/>
    <w:rsid w:val="00511F73"/>
    <w:rsid w:val="00511F90"/>
    <w:rsid w:val="0051211C"/>
    <w:rsid w:val="00512469"/>
    <w:rsid w:val="0051258E"/>
    <w:rsid w:val="005125BC"/>
    <w:rsid w:val="005125DD"/>
    <w:rsid w:val="0051266C"/>
    <w:rsid w:val="00512908"/>
    <w:rsid w:val="00512973"/>
    <w:rsid w:val="00512A37"/>
    <w:rsid w:val="00512B4A"/>
    <w:rsid w:val="00512F77"/>
    <w:rsid w:val="00513045"/>
    <w:rsid w:val="00513311"/>
    <w:rsid w:val="00513395"/>
    <w:rsid w:val="005133EB"/>
    <w:rsid w:val="0051371E"/>
    <w:rsid w:val="00513783"/>
    <w:rsid w:val="005137E7"/>
    <w:rsid w:val="0051385E"/>
    <w:rsid w:val="00513A46"/>
    <w:rsid w:val="00513A69"/>
    <w:rsid w:val="00513A92"/>
    <w:rsid w:val="00513F0F"/>
    <w:rsid w:val="00513F90"/>
    <w:rsid w:val="00513FB8"/>
    <w:rsid w:val="00513FBF"/>
    <w:rsid w:val="00513FC8"/>
    <w:rsid w:val="005141C5"/>
    <w:rsid w:val="005144AD"/>
    <w:rsid w:val="005147BF"/>
    <w:rsid w:val="0051483C"/>
    <w:rsid w:val="005148CD"/>
    <w:rsid w:val="00514A35"/>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BA3"/>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3A1"/>
    <w:rsid w:val="00521765"/>
    <w:rsid w:val="00521792"/>
    <w:rsid w:val="005217CA"/>
    <w:rsid w:val="005218F3"/>
    <w:rsid w:val="005219B8"/>
    <w:rsid w:val="005219E2"/>
    <w:rsid w:val="005219EF"/>
    <w:rsid w:val="005219F9"/>
    <w:rsid w:val="00521D42"/>
    <w:rsid w:val="00521E63"/>
    <w:rsid w:val="0052209A"/>
    <w:rsid w:val="005223B0"/>
    <w:rsid w:val="005223F3"/>
    <w:rsid w:val="0052251B"/>
    <w:rsid w:val="00522522"/>
    <w:rsid w:val="00522A48"/>
    <w:rsid w:val="00522A4F"/>
    <w:rsid w:val="00522AE1"/>
    <w:rsid w:val="00522BDE"/>
    <w:rsid w:val="00522F84"/>
    <w:rsid w:val="00522FEB"/>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E7B"/>
    <w:rsid w:val="00527F2E"/>
    <w:rsid w:val="00527FAB"/>
    <w:rsid w:val="005301CC"/>
    <w:rsid w:val="005304D0"/>
    <w:rsid w:val="0053064D"/>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AE2"/>
    <w:rsid w:val="00535F9E"/>
    <w:rsid w:val="005362D6"/>
    <w:rsid w:val="00536594"/>
    <w:rsid w:val="005365BE"/>
    <w:rsid w:val="00536751"/>
    <w:rsid w:val="0053675E"/>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168"/>
    <w:rsid w:val="0054336A"/>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272"/>
    <w:rsid w:val="0054745E"/>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E6"/>
    <w:rsid w:val="00554A12"/>
    <w:rsid w:val="00554A78"/>
    <w:rsid w:val="00554AA6"/>
    <w:rsid w:val="00554B1E"/>
    <w:rsid w:val="00554CA7"/>
    <w:rsid w:val="00554D76"/>
    <w:rsid w:val="00554DAD"/>
    <w:rsid w:val="00554E1A"/>
    <w:rsid w:val="00555003"/>
    <w:rsid w:val="00555282"/>
    <w:rsid w:val="005554DB"/>
    <w:rsid w:val="0055564D"/>
    <w:rsid w:val="0055573E"/>
    <w:rsid w:val="00555983"/>
    <w:rsid w:val="00555AD1"/>
    <w:rsid w:val="00555B51"/>
    <w:rsid w:val="00555C08"/>
    <w:rsid w:val="00555C5A"/>
    <w:rsid w:val="00555E34"/>
    <w:rsid w:val="00556188"/>
    <w:rsid w:val="0055640F"/>
    <w:rsid w:val="005564F8"/>
    <w:rsid w:val="0055697C"/>
    <w:rsid w:val="00556A51"/>
    <w:rsid w:val="00556B36"/>
    <w:rsid w:val="00556B5F"/>
    <w:rsid w:val="00556B77"/>
    <w:rsid w:val="00556C69"/>
    <w:rsid w:val="00556C9F"/>
    <w:rsid w:val="00556D98"/>
    <w:rsid w:val="00557048"/>
    <w:rsid w:val="005571AA"/>
    <w:rsid w:val="00557550"/>
    <w:rsid w:val="005578EA"/>
    <w:rsid w:val="00557928"/>
    <w:rsid w:val="005579DB"/>
    <w:rsid w:val="005579DF"/>
    <w:rsid w:val="00557A11"/>
    <w:rsid w:val="00557AAA"/>
    <w:rsid w:val="00557C6C"/>
    <w:rsid w:val="00557CC7"/>
    <w:rsid w:val="00557CD4"/>
    <w:rsid w:val="00557E9A"/>
    <w:rsid w:val="00557EAB"/>
    <w:rsid w:val="00557F54"/>
    <w:rsid w:val="00557FAC"/>
    <w:rsid w:val="0056020E"/>
    <w:rsid w:val="00560281"/>
    <w:rsid w:val="005602B5"/>
    <w:rsid w:val="00560322"/>
    <w:rsid w:val="00560660"/>
    <w:rsid w:val="005609CE"/>
    <w:rsid w:val="00560B03"/>
    <w:rsid w:val="00560C6C"/>
    <w:rsid w:val="00560EE2"/>
    <w:rsid w:val="00560F5A"/>
    <w:rsid w:val="00561083"/>
    <w:rsid w:val="00561251"/>
    <w:rsid w:val="00561876"/>
    <w:rsid w:val="00561905"/>
    <w:rsid w:val="0056192E"/>
    <w:rsid w:val="00561A15"/>
    <w:rsid w:val="00561EA7"/>
    <w:rsid w:val="00562412"/>
    <w:rsid w:val="00562417"/>
    <w:rsid w:val="00562861"/>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5F0"/>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11"/>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3F4"/>
    <w:rsid w:val="005676AA"/>
    <w:rsid w:val="005676C4"/>
    <w:rsid w:val="0056771B"/>
    <w:rsid w:val="00567800"/>
    <w:rsid w:val="00567895"/>
    <w:rsid w:val="0056791E"/>
    <w:rsid w:val="00567BB2"/>
    <w:rsid w:val="00567EB3"/>
    <w:rsid w:val="00570186"/>
    <w:rsid w:val="00570245"/>
    <w:rsid w:val="00570407"/>
    <w:rsid w:val="00570527"/>
    <w:rsid w:val="0057052B"/>
    <w:rsid w:val="00570646"/>
    <w:rsid w:val="00570736"/>
    <w:rsid w:val="005709A6"/>
    <w:rsid w:val="00570A6A"/>
    <w:rsid w:val="00570F8D"/>
    <w:rsid w:val="00571492"/>
    <w:rsid w:val="00571543"/>
    <w:rsid w:val="00571649"/>
    <w:rsid w:val="005716F3"/>
    <w:rsid w:val="005718D1"/>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06"/>
    <w:rsid w:val="00576BD1"/>
    <w:rsid w:val="0057703D"/>
    <w:rsid w:val="0057709A"/>
    <w:rsid w:val="005770B9"/>
    <w:rsid w:val="00577354"/>
    <w:rsid w:val="00577472"/>
    <w:rsid w:val="0057772C"/>
    <w:rsid w:val="00577754"/>
    <w:rsid w:val="0057793D"/>
    <w:rsid w:val="00577CD2"/>
    <w:rsid w:val="00577D74"/>
    <w:rsid w:val="00577F10"/>
    <w:rsid w:val="00580050"/>
    <w:rsid w:val="00580531"/>
    <w:rsid w:val="0058065E"/>
    <w:rsid w:val="00580721"/>
    <w:rsid w:val="005807B7"/>
    <w:rsid w:val="005808B2"/>
    <w:rsid w:val="005808FB"/>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72F"/>
    <w:rsid w:val="005847A6"/>
    <w:rsid w:val="00584912"/>
    <w:rsid w:val="00584942"/>
    <w:rsid w:val="00584A14"/>
    <w:rsid w:val="00584A29"/>
    <w:rsid w:val="00584BE7"/>
    <w:rsid w:val="00584C71"/>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60"/>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0FAA"/>
    <w:rsid w:val="0059100F"/>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3E2E"/>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4B1"/>
    <w:rsid w:val="00595B7C"/>
    <w:rsid w:val="00595C64"/>
    <w:rsid w:val="00595E28"/>
    <w:rsid w:val="00595F5C"/>
    <w:rsid w:val="005960F2"/>
    <w:rsid w:val="0059611C"/>
    <w:rsid w:val="00596179"/>
    <w:rsid w:val="00596235"/>
    <w:rsid w:val="005963A2"/>
    <w:rsid w:val="005965E5"/>
    <w:rsid w:val="005965EE"/>
    <w:rsid w:val="005968C4"/>
    <w:rsid w:val="00596C93"/>
    <w:rsid w:val="0059715A"/>
    <w:rsid w:val="0059740A"/>
    <w:rsid w:val="0059756F"/>
    <w:rsid w:val="0059760D"/>
    <w:rsid w:val="005976BC"/>
    <w:rsid w:val="0059787E"/>
    <w:rsid w:val="00597C56"/>
    <w:rsid w:val="00597D22"/>
    <w:rsid w:val="00597D7E"/>
    <w:rsid w:val="00597DC6"/>
    <w:rsid w:val="00597F2A"/>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0CD"/>
    <w:rsid w:val="005A129B"/>
    <w:rsid w:val="005A152F"/>
    <w:rsid w:val="005A156E"/>
    <w:rsid w:val="005A1B1E"/>
    <w:rsid w:val="005A1C26"/>
    <w:rsid w:val="005A1C29"/>
    <w:rsid w:val="005A1C67"/>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4BD"/>
    <w:rsid w:val="005A35D5"/>
    <w:rsid w:val="005A36ED"/>
    <w:rsid w:val="005A374D"/>
    <w:rsid w:val="005A377F"/>
    <w:rsid w:val="005A3D52"/>
    <w:rsid w:val="005A3E77"/>
    <w:rsid w:val="005A3EDA"/>
    <w:rsid w:val="005A3F5C"/>
    <w:rsid w:val="005A3F89"/>
    <w:rsid w:val="005A411A"/>
    <w:rsid w:val="005A4232"/>
    <w:rsid w:val="005A4292"/>
    <w:rsid w:val="005A42A7"/>
    <w:rsid w:val="005A4369"/>
    <w:rsid w:val="005A4382"/>
    <w:rsid w:val="005A455C"/>
    <w:rsid w:val="005A4588"/>
    <w:rsid w:val="005A4654"/>
    <w:rsid w:val="005A469E"/>
    <w:rsid w:val="005A46E3"/>
    <w:rsid w:val="005A486B"/>
    <w:rsid w:val="005A4946"/>
    <w:rsid w:val="005A4A95"/>
    <w:rsid w:val="005A4ADF"/>
    <w:rsid w:val="005A4DA2"/>
    <w:rsid w:val="005A4EA6"/>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75"/>
    <w:rsid w:val="005A65E3"/>
    <w:rsid w:val="005A662F"/>
    <w:rsid w:val="005A6818"/>
    <w:rsid w:val="005A68DC"/>
    <w:rsid w:val="005A6AD6"/>
    <w:rsid w:val="005A6F63"/>
    <w:rsid w:val="005A6FA4"/>
    <w:rsid w:val="005A7236"/>
    <w:rsid w:val="005A773F"/>
    <w:rsid w:val="005A7763"/>
    <w:rsid w:val="005A77C6"/>
    <w:rsid w:val="005A7A93"/>
    <w:rsid w:val="005A7C66"/>
    <w:rsid w:val="005A7F28"/>
    <w:rsid w:val="005A7F5A"/>
    <w:rsid w:val="005A7F7F"/>
    <w:rsid w:val="005B006E"/>
    <w:rsid w:val="005B01C2"/>
    <w:rsid w:val="005B01CA"/>
    <w:rsid w:val="005B062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7D2"/>
    <w:rsid w:val="005B6806"/>
    <w:rsid w:val="005B6AAA"/>
    <w:rsid w:val="005B6C28"/>
    <w:rsid w:val="005B6CB1"/>
    <w:rsid w:val="005B7015"/>
    <w:rsid w:val="005B7136"/>
    <w:rsid w:val="005B71B3"/>
    <w:rsid w:val="005B728B"/>
    <w:rsid w:val="005B746A"/>
    <w:rsid w:val="005B7590"/>
    <w:rsid w:val="005B7684"/>
    <w:rsid w:val="005B784C"/>
    <w:rsid w:val="005B79EA"/>
    <w:rsid w:val="005B7A85"/>
    <w:rsid w:val="005B7B0D"/>
    <w:rsid w:val="005B7C47"/>
    <w:rsid w:val="005B7D68"/>
    <w:rsid w:val="005B7E5F"/>
    <w:rsid w:val="005B7ED5"/>
    <w:rsid w:val="005B7FF7"/>
    <w:rsid w:val="005C0004"/>
    <w:rsid w:val="005C05B9"/>
    <w:rsid w:val="005C05BC"/>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23"/>
    <w:rsid w:val="005C293C"/>
    <w:rsid w:val="005C2ACF"/>
    <w:rsid w:val="005C2B53"/>
    <w:rsid w:val="005C2C91"/>
    <w:rsid w:val="005C3149"/>
    <w:rsid w:val="005C32B1"/>
    <w:rsid w:val="005C3921"/>
    <w:rsid w:val="005C39B4"/>
    <w:rsid w:val="005C39C1"/>
    <w:rsid w:val="005C3B82"/>
    <w:rsid w:val="005C3B8E"/>
    <w:rsid w:val="005C3C9C"/>
    <w:rsid w:val="005C3D3D"/>
    <w:rsid w:val="005C3D65"/>
    <w:rsid w:val="005C3DAE"/>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0DC"/>
    <w:rsid w:val="005C7656"/>
    <w:rsid w:val="005C7861"/>
    <w:rsid w:val="005C7A45"/>
    <w:rsid w:val="005C7B3B"/>
    <w:rsid w:val="005C7EAE"/>
    <w:rsid w:val="005D0139"/>
    <w:rsid w:val="005D0288"/>
    <w:rsid w:val="005D03F0"/>
    <w:rsid w:val="005D0470"/>
    <w:rsid w:val="005D048E"/>
    <w:rsid w:val="005D0520"/>
    <w:rsid w:val="005D0765"/>
    <w:rsid w:val="005D0774"/>
    <w:rsid w:val="005D0847"/>
    <w:rsid w:val="005D0A22"/>
    <w:rsid w:val="005D0A7B"/>
    <w:rsid w:val="005D0B4A"/>
    <w:rsid w:val="005D1122"/>
    <w:rsid w:val="005D12AD"/>
    <w:rsid w:val="005D1400"/>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578"/>
    <w:rsid w:val="005D2784"/>
    <w:rsid w:val="005D2881"/>
    <w:rsid w:val="005D2A2D"/>
    <w:rsid w:val="005D2AB4"/>
    <w:rsid w:val="005D2B41"/>
    <w:rsid w:val="005D2B5C"/>
    <w:rsid w:val="005D2BE6"/>
    <w:rsid w:val="005D2C04"/>
    <w:rsid w:val="005D2CF9"/>
    <w:rsid w:val="005D2E26"/>
    <w:rsid w:val="005D2E91"/>
    <w:rsid w:val="005D2F79"/>
    <w:rsid w:val="005D2FD7"/>
    <w:rsid w:val="005D30ED"/>
    <w:rsid w:val="005D3109"/>
    <w:rsid w:val="005D31C9"/>
    <w:rsid w:val="005D32E7"/>
    <w:rsid w:val="005D354E"/>
    <w:rsid w:val="005D35B3"/>
    <w:rsid w:val="005D3683"/>
    <w:rsid w:val="005D38FB"/>
    <w:rsid w:val="005D3E5C"/>
    <w:rsid w:val="005D3FC7"/>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7D2"/>
    <w:rsid w:val="005D58CB"/>
    <w:rsid w:val="005D5932"/>
    <w:rsid w:val="005D59A4"/>
    <w:rsid w:val="005D59CC"/>
    <w:rsid w:val="005D5A2E"/>
    <w:rsid w:val="005D5AD6"/>
    <w:rsid w:val="005D5AFB"/>
    <w:rsid w:val="005D5DA5"/>
    <w:rsid w:val="005D5DD4"/>
    <w:rsid w:val="005D5EF7"/>
    <w:rsid w:val="005D5EFF"/>
    <w:rsid w:val="005D5F18"/>
    <w:rsid w:val="005D6308"/>
    <w:rsid w:val="005D6385"/>
    <w:rsid w:val="005D65DE"/>
    <w:rsid w:val="005D6728"/>
    <w:rsid w:val="005D6A52"/>
    <w:rsid w:val="005D6F2D"/>
    <w:rsid w:val="005D6FDA"/>
    <w:rsid w:val="005D7324"/>
    <w:rsid w:val="005D7376"/>
    <w:rsid w:val="005D743C"/>
    <w:rsid w:val="005D7473"/>
    <w:rsid w:val="005D755E"/>
    <w:rsid w:val="005D7790"/>
    <w:rsid w:val="005D7841"/>
    <w:rsid w:val="005D7F8A"/>
    <w:rsid w:val="005E004A"/>
    <w:rsid w:val="005E0079"/>
    <w:rsid w:val="005E05A8"/>
    <w:rsid w:val="005E061E"/>
    <w:rsid w:val="005E063C"/>
    <w:rsid w:val="005E066C"/>
    <w:rsid w:val="005E0798"/>
    <w:rsid w:val="005E08A4"/>
    <w:rsid w:val="005E0DDC"/>
    <w:rsid w:val="005E1076"/>
    <w:rsid w:val="005E10DC"/>
    <w:rsid w:val="005E1273"/>
    <w:rsid w:val="005E127B"/>
    <w:rsid w:val="005E133A"/>
    <w:rsid w:val="005E1481"/>
    <w:rsid w:val="005E15B2"/>
    <w:rsid w:val="005E1994"/>
    <w:rsid w:val="005E1B14"/>
    <w:rsid w:val="005E1BC6"/>
    <w:rsid w:val="005E1CB4"/>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A9"/>
    <w:rsid w:val="005E51C7"/>
    <w:rsid w:val="005E51F5"/>
    <w:rsid w:val="005E5508"/>
    <w:rsid w:val="005E5785"/>
    <w:rsid w:val="005E59A8"/>
    <w:rsid w:val="005E5A4E"/>
    <w:rsid w:val="005E61B7"/>
    <w:rsid w:val="005E6204"/>
    <w:rsid w:val="005E64D8"/>
    <w:rsid w:val="005E6CC6"/>
    <w:rsid w:val="005E6E95"/>
    <w:rsid w:val="005E6F12"/>
    <w:rsid w:val="005E6F87"/>
    <w:rsid w:val="005E71C7"/>
    <w:rsid w:val="005E767C"/>
    <w:rsid w:val="005E7913"/>
    <w:rsid w:val="005E798E"/>
    <w:rsid w:val="005E7B02"/>
    <w:rsid w:val="005E7B1C"/>
    <w:rsid w:val="005E7B89"/>
    <w:rsid w:val="005E7B95"/>
    <w:rsid w:val="005F0860"/>
    <w:rsid w:val="005F0932"/>
    <w:rsid w:val="005F0A69"/>
    <w:rsid w:val="005F0C14"/>
    <w:rsid w:val="005F0D09"/>
    <w:rsid w:val="005F0DB8"/>
    <w:rsid w:val="005F0E08"/>
    <w:rsid w:val="005F10BD"/>
    <w:rsid w:val="005F1331"/>
    <w:rsid w:val="005F1590"/>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783"/>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5FB"/>
    <w:rsid w:val="005F6D23"/>
    <w:rsid w:val="005F6DD5"/>
    <w:rsid w:val="005F7017"/>
    <w:rsid w:val="005F70E2"/>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47C"/>
    <w:rsid w:val="00600853"/>
    <w:rsid w:val="006008BC"/>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5C5"/>
    <w:rsid w:val="0060298D"/>
    <w:rsid w:val="00602F7D"/>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4DC"/>
    <w:rsid w:val="006057FB"/>
    <w:rsid w:val="00605AB5"/>
    <w:rsid w:val="00605F28"/>
    <w:rsid w:val="00605F98"/>
    <w:rsid w:val="00605FA0"/>
    <w:rsid w:val="00605FEB"/>
    <w:rsid w:val="006064DE"/>
    <w:rsid w:val="00606692"/>
    <w:rsid w:val="006068D7"/>
    <w:rsid w:val="00606926"/>
    <w:rsid w:val="00606F7E"/>
    <w:rsid w:val="00607113"/>
    <w:rsid w:val="006073D1"/>
    <w:rsid w:val="0060743C"/>
    <w:rsid w:val="006075AB"/>
    <w:rsid w:val="006078D4"/>
    <w:rsid w:val="006079D9"/>
    <w:rsid w:val="006079DE"/>
    <w:rsid w:val="00607B47"/>
    <w:rsid w:val="00607E8B"/>
    <w:rsid w:val="00607F6B"/>
    <w:rsid w:val="0061030D"/>
    <w:rsid w:val="0061060A"/>
    <w:rsid w:val="006106B8"/>
    <w:rsid w:val="00610758"/>
    <w:rsid w:val="0061083C"/>
    <w:rsid w:val="0061099D"/>
    <w:rsid w:val="00610C93"/>
    <w:rsid w:val="00610DAC"/>
    <w:rsid w:val="00610E2C"/>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2CB"/>
    <w:rsid w:val="00613399"/>
    <w:rsid w:val="006133B2"/>
    <w:rsid w:val="00613C69"/>
    <w:rsid w:val="00613CBC"/>
    <w:rsid w:val="006140C5"/>
    <w:rsid w:val="00614148"/>
    <w:rsid w:val="006142CF"/>
    <w:rsid w:val="006143A0"/>
    <w:rsid w:val="0061443B"/>
    <w:rsid w:val="006145E9"/>
    <w:rsid w:val="006147B4"/>
    <w:rsid w:val="006148AC"/>
    <w:rsid w:val="00614991"/>
    <w:rsid w:val="00614A89"/>
    <w:rsid w:val="00614A91"/>
    <w:rsid w:val="00614CC0"/>
    <w:rsid w:val="00614D61"/>
    <w:rsid w:val="00614DF2"/>
    <w:rsid w:val="00615149"/>
    <w:rsid w:val="00615250"/>
    <w:rsid w:val="006152ED"/>
    <w:rsid w:val="00615302"/>
    <w:rsid w:val="006153D7"/>
    <w:rsid w:val="0061561F"/>
    <w:rsid w:val="00615984"/>
    <w:rsid w:val="00615B88"/>
    <w:rsid w:val="00615BE3"/>
    <w:rsid w:val="00615C80"/>
    <w:rsid w:val="00615EEE"/>
    <w:rsid w:val="006161BC"/>
    <w:rsid w:val="0061625D"/>
    <w:rsid w:val="0061630F"/>
    <w:rsid w:val="00616328"/>
    <w:rsid w:val="006163A3"/>
    <w:rsid w:val="006165FC"/>
    <w:rsid w:val="00616663"/>
    <w:rsid w:val="006166F0"/>
    <w:rsid w:val="0061682D"/>
    <w:rsid w:val="00616941"/>
    <w:rsid w:val="00616EF5"/>
    <w:rsid w:val="00616F4E"/>
    <w:rsid w:val="00617498"/>
    <w:rsid w:val="00617663"/>
    <w:rsid w:val="00617CA1"/>
    <w:rsid w:val="00617CBF"/>
    <w:rsid w:val="00620334"/>
    <w:rsid w:val="0062043B"/>
    <w:rsid w:val="00620471"/>
    <w:rsid w:val="00620628"/>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B7"/>
    <w:rsid w:val="006230C9"/>
    <w:rsid w:val="0062328C"/>
    <w:rsid w:val="0062363D"/>
    <w:rsid w:val="00623C18"/>
    <w:rsid w:val="00623C58"/>
    <w:rsid w:val="00623CD1"/>
    <w:rsid w:val="00623EA0"/>
    <w:rsid w:val="00623F6A"/>
    <w:rsid w:val="00623FA7"/>
    <w:rsid w:val="006243FD"/>
    <w:rsid w:val="0062447B"/>
    <w:rsid w:val="0062484F"/>
    <w:rsid w:val="006248AB"/>
    <w:rsid w:val="00624A32"/>
    <w:rsid w:val="00624B49"/>
    <w:rsid w:val="00624BF7"/>
    <w:rsid w:val="00624CEA"/>
    <w:rsid w:val="00624E5F"/>
    <w:rsid w:val="006252CD"/>
    <w:rsid w:val="006252F8"/>
    <w:rsid w:val="0062532A"/>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87C"/>
    <w:rsid w:val="00626ACD"/>
    <w:rsid w:val="00626F25"/>
    <w:rsid w:val="006270BF"/>
    <w:rsid w:val="006270DF"/>
    <w:rsid w:val="00627356"/>
    <w:rsid w:val="006273A3"/>
    <w:rsid w:val="006276DB"/>
    <w:rsid w:val="0062772E"/>
    <w:rsid w:val="0062772F"/>
    <w:rsid w:val="006277CC"/>
    <w:rsid w:val="00627803"/>
    <w:rsid w:val="00627890"/>
    <w:rsid w:val="006279EC"/>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8D9"/>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226"/>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505"/>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A23"/>
    <w:rsid w:val="00640C4B"/>
    <w:rsid w:val="00640D9A"/>
    <w:rsid w:val="00640E77"/>
    <w:rsid w:val="006410B0"/>
    <w:rsid w:val="00641134"/>
    <w:rsid w:val="00641153"/>
    <w:rsid w:val="00641575"/>
    <w:rsid w:val="006415C8"/>
    <w:rsid w:val="006416A3"/>
    <w:rsid w:val="006418C1"/>
    <w:rsid w:val="006418C7"/>
    <w:rsid w:val="006418F4"/>
    <w:rsid w:val="00641A6E"/>
    <w:rsid w:val="00641ACC"/>
    <w:rsid w:val="00641C44"/>
    <w:rsid w:val="00641CE7"/>
    <w:rsid w:val="00641DBE"/>
    <w:rsid w:val="00641F00"/>
    <w:rsid w:val="00641F73"/>
    <w:rsid w:val="006422F6"/>
    <w:rsid w:val="0064231F"/>
    <w:rsid w:val="00642323"/>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3D"/>
    <w:rsid w:val="00645061"/>
    <w:rsid w:val="0064512C"/>
    <w:rsid w:val="00645208"/>
    <w:rsid w:val="0064528E"/>
    <w:rsid w:val="006454B5"/>
    <w:rsid w:val="006455AB"/>
    <w:rsid w:val="00645818"/>
    <w:rsid w:val="0064597D"/>
    <w:rsid w:val="00645D33"/>
    <w:rsid w:val="006460DD"/>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4D"/>
    <w:rsid w:val="00647F51"/>
    <w:rsid w:val="00647FBA"/>
    <w:rsid w:val="00647FDB"/>
    <w:rsid w:val="0065013B"/>
    <w:rsid w:val="0065055E"/>
    <w:rsid w:val="0065059A"/>
    <w:rsid w:val="0065078F"/>
    <w:rsid w:val="006507FE"/>
    <w:rsid w:val="0065092B"/>
    <w:rsid w:val="006509DF"/>
    <w:rsid w:val="00650CFB"/>
    <w:rsid w:val="00650DB6"/>
    <w:rsid w:val="00650E18"/>
    <w:rsid w:val="00651058"/>
    <w:rsid w:val="0065120A"/>
    <w:rsid w:val="00651341"/>
    <w:rsid w:val="00651368"/>
    <w:rsid w:val="006513C4"/>
    <w:rsid w:val="006513D8"/>
    <w:rsid w:val="006515EE"/>
    <w:rsid w:val="00651612"/>
    <w:rsid w:val="00651916"/>
    <w:rsid w:val="00651F9F"/>
    <w:rsid w:val="00651FB2"/>
    <w:rsid w:val="00651FE3"/>
    <w:rsid w:val="00652491"/>
    <w:rsid w:val="00652800"/>
    <w:rsid w:val="006528D2"/>
    <w:rsid w:val="00652BCE"/>
    <w:rsid w:val="00652E41"/>
    <w:rsid w:val="00653325"/>
    <w:rsid w:val="0065333D"/>
    <w:rsid w:val="006533D7"/>
    <w:rsid w:val="00653462"/>
    <w:rsid w:val="00653530"/>
    <w:rsid w:val="006536F9"/>
    <w:rsid w:val="00653869"/>
    <w:rsid w:val="006538D7"/>
    <w:rsid w:val="00653907"/>
    <w:rsid w:val="00653AE3"/>
    <w:rsid w:val="00653B17"/>
    <w:rsid w:val="00653C6D"/>
    <w:rsid w:val="00653D47"/>
    <w:rsid w:val="00653DF4"/>
    <w:rsid w:val="00653ECB"/>
    <w:rsid w:val="00653F35"/>
    <w:rsid w:val="00653F42"/>
    <w:rsid w:val="0065407D"/>
    <w:rsid w:val="006542FC"/>
    <w:rsid w:val="006543B5"/>
    <w:rsid w:val="006545E2"/>
    <w:rsid w:val="00654906"/>
    <w:rsid w:val="00654A08"/>
    <w:rsid w:val="00654A1C"/>
    <w:rsid w:val="00654E53"/>
    <w:rsid w:val="00654E71"/>
    <w:rsid w:val="0065506D"/>
    <w:rsid w:val="0065524A"/>
    <w:rsid w:val="006553AE"/>
    <w:rsid w:val="006554A6"/>
    <w:rsid w:val="0065595B"/>
    <w:rsid w:val="0065599D"/>
    <w:rsid w:val="00655A97"/>
    <w:rsid w:val="00655AB5"/>
    <w:rsid w:val="00655C96"/>
    <w:rsid w:val="00655D24"/>
    <w:rsid w:val="00656298"/>
    <w:rsid w:val="00656435"/>
    <w:rsid w:val="00656462"/>
    <w:rsid w:val="00656512"/>
    <w:rsid w:val="0065652A"/>
    <w:rsid w:val="00656559"/>
    <w:rsid w:val="006565B3"/>
    <w:rsid w:val="006566B9"/>
    <w:rsid w:val="00656730"/>
    <w:rsid w:val="0065681F"/>
    <w:rsid w:val="0065689F"/>
    <w:rsid w:val="006568CC"/>
    <w:rsid w:val="0065696F"/>
    <w:rsid w:val="00656CA8"/>
    <w:rsid w:val="00656F3E"/>
    <w:rsid w:val="00657108"/>
    <w:rsid w:val="00657204"/>
    <w:rsid w:val="0065729E"/>
    <w:rsid w:val="006574C1"/>
    <w:rsid w:val="00657536"/>
    <w:rsid w:val="0065775C"/>
    <w:rsid w:val="006578AC"/>
    <w:rsid w:val="006578B9"/>
    <w:rsid w:val="00657C1B"/>
    <w:rsid w:val="00657D21"/>
    <w:rsid w:val="00657D22"/>
    <w:rsid w:val="00657DAA"/>
    <w:rsid w:val="00657DFE"/>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145"/>
    <w:rsid w:val="00662377"/>
    <w:rsid w:val="00662420"/>
    <w:rsid w:val="006624BD"/>
    <w:rsid w:val="00662653"/>
    <w:rsid w:val="00662655"/>
    <w:rsid w:val="006629E2"/>
    <w:rsid w:val="00662A2D"/>
    <w:rsid w:val="00662CB8"/>
    <w:rsid w:val="00662EDF"/>
    <w:rsid w:val="00663153"/>
    <w:rsid w:val="006631D6"/>
    <w:rsid w:val="006631D9"/>
    <w:rsid w:val="00663305"/>
    <w:rsid w:val="00663363"/>
    <w:rsid w:val="006634ED"/>
    <w:rsid w:val="00663599"/>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A36"/>
    <w:rsid w:val="00665B9D"/>
    <w:rsid w:val="00665BAA"/>
    <w:rsid w:val="00665BD3"/>
    <w:rsid w:val="00665C27"/>
    <w:rsid w:val="00665CCC"/>
    <w:rsid w:val="00665FAE"/>
    <w:rsid w:val="0066605D"/>
    <w:rsid w:val="0066608F"/>
    <w:rsid w:val="006660C6"/>
    <w:rsid w:val="006660CE"/>
    <w:rsid w:val="00666172"/>
    <w:rsid w:val="006661C8"/>
    <w:rsid w:val="00666395"/>
    <w:rsid w:val="00666476"/>
    <w:rsid w:val="006666C6"/>
    <w:rsid w:val="006668F3"/>
    <w:rsid w:val="006669C5"/>
    <w:rsid w:val="00666A43"/>
    <w:rsid w:val="00666A68"/>
    <w:rsid w:val="00666A81"/>
    <w:rsid w:val="00666AAC"/>
    <w:rsid w:val="00666DD8"/>
    <w:rsid w:val="00666EB7"/>
    <w:rsid w:val="00666ED2"/>
    <w:rsid w:val="00666F74"/>
    <w:rsid w:val="00666FC8"/>
    <w:rsid w:val="006672C7"/>
    <w:rsid w:val="006673B8"/>
    <w:rsid w:val="00667675"/>
    <w:rsid w:val="00667765"/>
    <w:rsid w:val="00667845"/>
    <w:rsid w:val="00667929"/>
    <w:rsid w:val="00667A56"/>
    <w:rsid w:val="00670026"/>
    <w:rsid w:val="0067045D"/>
    <w:rsid w:val="00670523"/>
    <w:rsid w:val="006705F0"/>
    <w:rsid w:val="006706F6"/>
    <w:rsid w:val="006707CC"/>
    <w:rsid w:val="00670804"/>
    <w:rsid w:val="006709E3"/>
    <w:rsid w:val="00670A1C"/>
    <w:rsid w:val="00670B5A"/>
    <w:rsid w:val="00670B7C"/>
    <w:rsid w:val="00670BAE"/>
    <w:rsid w:val="00670BE3"/>
    <w:rsid w:val="00670CD8"/>
    <w:rsid w:val="00670E91"/>
    <w:rsid w:val="006710D4"/>
    <w:rsid w:val="00671165"/>
    <w:rsid w:val="006711CE"/>
    <w:rsid w:val="00671283"/>
    <w:rsid w:val="00671622"/>
    <w:rsid w:val="006717F3"/>
    <w:rsid w:val="0067196B"/>
    <w:rsid w:val="00671A33"/>
    <w:rsid w:val="00671A88"/>
    <w:rsid w:val="00671CD7"/>
    <w:rsid w:val="0067269B"/>
    <w:rsid w:val="006726F4"/>
    <w:rsid w:val="006726F6"/>
    <w:rsid w:val="00672A31"/>
    <w:rsid w:val="00672AFA"/>
    <w:rsid w:val="00672B0E"/>
    <w:rsid w:val="00672B77"/>
    <w:rsid w:val="00672D55"/>
    <w:rsid w:val="00672D6D"/>
    <w:rsid w:val="00672E4A"/>
    <w:rsid w:val="006731BF"/>
    <w:rsid w:val="00673227"/>
    <w:rsid w:val="006733B4"/>
    <w:rsid w:val="006736AF"/>
    <w:rsid w:val="00673716"/>
    <w:rsid w:val="00673887"/>
    <w:rsid w:val="00673982"/>
    <w:rsid w:val="00673A20"/>
    <w:rsid w:val="00673ACA"/>
    <w:rsid w:val="00673B4E"/>
    <w:rsid w:val="00673E6D"/>
    <w:rsid w:val="00673F38"/>
    <w:rsid w:val="00673F6B"/>
    <w:rsid w:val="0067409F"/>
    <w:rsid w:val="006740F1"/>
    <w:rsid w:val="00674165"/>
    <w:rsid w:val="0067453C"/>
    <w:rsid w:val="00674603"/>
    <w:rsid w:val="0067475E"/>
    <w:rsid w:val="0067481A"/>
    <w:rsid w:val="00674995"/>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6EBA"/>
    <w:rsid w:val="00676FDF"/>
    <w:rsid w:val="006770AA"/>
    <w:rsid w:val="00677212"/>
    <w:rsid w:val="00677310"/>
    <w:rsid w:val="00677466"/>
    <w:rsid w:val="00677746"/>
    <w:rsid w:val="006777F7"/>
    <w:rsid w:val="00677AE4"/>
    <w:rsid w:val="00677E1F"/>
    <w:rsid w:val="00677EAA"/>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3C1"/>
    <w:rsid w:val="0068648E"/>
    <w:rsid w:val="006864E1"/>
    <w:rsid w:val="00686770"/>
    <w:rsid w:val="0068684A"/>
    <w:rsid w:val="00686873"/>
    <w:rsid w:val="00686878"/>
    <w:rsid w:val="00686A58"/>
    <w:rsid w:val="00686A61"/>
    <w:rsid w:val="00686A9E"/>
    <w:rsid w:val="00686BE7"/>
    <w:rsid w:val="00686C33"/>
    <w:rsid w:val="00686C93"/>
    <w:rsid w:val="00686D34"/>
    <w:rsid w:val="00686F33"/>
    <w:rsid w:val="00686F7D"/>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059"/>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41A2"/>
    <w:rsid w:val="00694222"/>
    <w:rsid w:val="0069436A"/>
    <w:rsid w:val="006943C5"/>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456"/>
    <w:rsid w:val="00695616"/>
    <w:rsid w:val="0069577D"/>
    <w:rsid w:val="006959B5"/>
    <w:rsid w:val="006959EB"/>
    <w:rsid w:val="00695B0F"/>
    <w:rsid w:val="00695C5D"/>
    <w:rsid w:val="00695E1A"/>
    <w:rsid w:val="00695F0E"/>
    <w:rsid w:val="00695FE2"/>
    <w:rsid w:val="00696212"/>
    <w:rsid w:val="00696285"/>
    <w:rsid w:val="006968D9"/>
    <w:rsid w:val="006969E3"/>
    <w:rsid w:val="00696A27"/>
    <w:rsid w:val="00696AA8"/>
    <w:rsid w:val="00696AF6"/>
    <w:rsid w:val="00696DD6"/>
    <w:rsid w:val="00696FBF"/>
    <w:rsid w:val="006971EC"/>
    <w:rsid w:val="00697277"/>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CBF"/>
    <w:rsid w:val="006A0EF1"/>
    <w:rsid w:val="006A1392"/>
    <w:rsid w:val="006A1608"/>
    <w:rsid w:val="006A1999"/>
    <w:rsid w:val="006A1A70"/>
    <w:rsid w:val="006A1ABD"/>
    <w:rsid w:val="006A1AC3"/>
    <w:rsid w:val="006A1B28"/>
    <w:rsid w:val="006A1CC3"/>
    <w:rsid w:val="006A1DB7"/>
    <w:rsid w:val="006A1E65"/>
    <w:rsid w:val="006A20E3"/>
    <w:rsid w:val="006A2530"/>
    <w:rsid w:val="006A2796"/>
    <w:rsid w:val="006A28B0"/>
    <w:rsid w:val="006A2A12"/>
    <w:rsid w:val="006A2B42"/>
    <w:rsid w:val="006A2F6D"/>
    <w:rsid w:val="006A2FDE"/>
    <w:rsid w:val="006A327E"/>
    <w:rsid w:val="006A3397"/>
    <w:rsid w:val="006A33A0"/>
    <w:rsid w:val="006A347C"/>
    <w:rsid w:val="006A347D"/>
    <w:rsid w:val="006A34C5"/>
    <w:rsid w:val="006A34DE"/>
    <w:rsid w:val="006A3925"/>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71E"/>
    <w:rsid w:val="006A47E0"/>
    <w:rsid w:val="006A480D"/>
    <w:rsid w:val="006A4BC4"/>
    <w:rsid w:val="006A4C0E"/>
    <w:rsid w:val="006A4DC5"/>
    <w:rsid w:val="006A4E10"/>
    <w:rsid w:val="006A510C"/>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DAE"/>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A"/>
    <w:rsid w:val="006B6D36"/>
    <w:rsid w:val="006B6E33"/>
    <w:rsid w:val="006B6F28"/>
    <w:rsid w:val="006B6F7D"/>
    <w:rsid w:val="006B6FE5"/>
    <w:rsid w:val="006B70FE"/>
    <w:rsid w:val="006B7282"/>
    <w:rsid w:val="006B730D"/>
    <w:rsid w:val="006B731B"/>
    <w:rsid w:val="006B7439"/>
    <w:rsid w:val="006B75CB"/>
    <w:rsid w:val="006B7833"/>
    <w:rsid w:val="006B791E"/>
    <w:rsid w:val="006B7D01"/>
    <w:rsid w:val="006B7D61"/>
    <w:rsid w:val="006B7DCC"/>
    <w:rsid w:val="006B7ED8"/>
    <w:rsid w:val="006B7F43"/>
    <w:rsid w:val="006C00C6"/>
    <w:rsid w:val="006C01E5"/>
    <w:rsid w:val="006C02F2"/>
    <w:rsid w:val="006C03DE"/>
    <w:rsid w:val="006C0445"/>
    <w:rsid w:val="006C0487"/>
    <w:rsid w:val="006C0547"/>
    <w:rsid w:val="006C05E9"/>
    <w:rsid w:val="006C0976"/>
    <w:rsid w:val="006C09F2"/>
    <w:rsid w:val="006C0B58"/>
    <w:rsid w:val="006C0CCE"/>
    <w:rsid w:val="006C0EE6"/>
    <w:rsid w:val="006C0F46"/>
    <w:rsid w:val="006C1306"/>
    <w:rsid w:val="006C13B7"/>
    <w:rsid w:val="006C1408"/>
    <w:rsid w:val="006C157B"/>
    <w:rsid w:val="006C193F"/>
    <w:rsid w:val="006C1E28"/>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4E03"/>
    <w:rsid w:val="006C524B"/>
    <w:rsid w:val="006C56C7"/>
    <w:rsid w:val="006C59BD"/>
    <w:rsid w:val="006C5C4A"/>
    <w:rsid w:val="006C5FA0"/>
    <w:rsid w:val="006C61CC"/>
    <w:rsid w:val="006C61FE"/>
    <w:rsid w:val="006C6208"/>
    <w:rsid w:val="006C62D0"/>
    <w:rsid w:val="006C63E2"/>
    <w:rsid w:val="006C6543"/>
    <w:rsid w:val="006C6657"/>
    <w:rsid w:val="006C6A55"/>
    <w:rsid w:val="006C6B65"/>
    <w:rsid w:val="006C6CE3"/>
    <w:rsid w:val="006C6E16"/>
    <w:rsid w:val="006C6E42"/>
    <w:rsid w:val="006C6FA9"/>
    <w:rsid w:val="006C7124"/>
    <w:rsid w:val="006C73BB"/>
    <w:rsid w:val="006C73D1"/>
    <w:rsid w:val="006C73DE"/>
    <w:rsid w:val="006C747F"/>
    <w:rsid w:val="006C748D"/>
    <w:rsid w:val="006C74C4"/>
    <w:rsid w:val="006C758C"/>
    <w:rsid w:val="006C76A0"/>
    <w:rsid w:val="006C76CF"/>
    <w:rsid w:val="006C7709"/>
    <w:rsid w:val="006C785B"/>
    <w:rsid w:val="006C7A1E"/>
    <w:rsid w:val="006C7A7E"/>
    <w:rsid w:val="006C7ACC"/>
    <w:rsid w:val="006C7D55"/>
    <w:rsid w:val="006C7E53"/>
    <w:rsid w:val="006D006C"/>
    <w:rsid w:val="006D0082"/>
    <w:rsid w:val="006D012F"/>
    <w:rsid w:val="006D029B"/>
    <w:rsid w:val="006D0353"/>
    <w:rsid w:val="006D059C"/>
    <w:rsid w:val="006D05C8"/>
    <w:rsid w:val="006D065E"/>
    <w:rsid w:val="006D06BD"/>
    <w:rsid w:val="006D0883"/>
    <w:rsid w:val="006D0A3F"/>
    <w:rsid w:val="006D0B4B"/>
    <w:rsid w:val="006D0D08"/>
    <w:rsid w:val="006D1188"/>
    <w:rsid w:val="006D12D2"/>
    <w:rsid w:val="006D12DF"/>
    <w:rsid w:val="006D181D"/>
    <w:rsid w:val="006D19F7"/>
    <w:rsid w:val="006D1D0F"/>
    <w:rsid w:val="006D1DF5"/>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7FE"/>
    <w:rsid w:val="006D58AE"/>
    <w:rsid w:val="006D5BEF"/>
    <w:rsid w:val="006D5DB2"/>
    <w:rsid w:val="006D5F55"/>
    <w:rsid w:val="006D5FDC"/>
    <w:rsid w:val="006D610E"/>
    <w:rsid w:val="006D6149"/>
    <w:rsid w:val="006D62DA"/>
    <w:rsid w:val="006D6322"/>
    <w:rsid w:val="006D63FF"/>
    <w:rsid w:val="006D6768"/>
    <w:rsid w:val="006D684F"/>
    <w:rsid w:val="006D6B98"/>
    <w:rsid w:val="006D6C5D"/>
    <w:rsid w:val="006D6FC7"/>
    <w:rsid w:val="006D7687"/>
    <w:rsid w:val="006D7DC5"/>
    <w:rsid w:val="006D7E9A"/>
    <w:rsid w:val="006D7EF5"/>
    <w:rsid w:val="006D7F1D"/>
    <w:rsid w:val="006D7F3A"/>
    <w:rsid w:val="006D7FD2"/>
    <w:rsid w:val="006E0065"/>
    <w:rsid w:val="006E0282"/>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920"/>
    <w:rsid w:val="006E1E63"/>
    <w:rsid w:val="006E208E"/>
    <w:rsid w:val="006E2180"/>
    <w:rsid w:val="006E21E4"/>
    <w:rsid w:val="006E24D0"/>
    <w:rsid w:val="006E2545"/>
    <w:rsid w:val="006E26C4"/>
    <w:rsid w:val="006E26DF"/>
    <w:rsid w:val="006E2AE7"/>
    <w:rsid w:val="006E2B20"/>
    <w:rsid w:val="006E2B7F"/>
    <w:rsid w:val="006E2BC0"/>
    <w:rsid w:val="006E2F4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54C"/>
    <w:rsid w:val="006E7568"/>
    <w:rsid w:val="006E75EE"/>
    <w:rsid w:val="006E7631"/>
    <w:rsid w:val="006E779C"/>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614"/>
    <w:rsid w:val="006F3764"/>
    <w:rsid w:val="006F3793"/>
    <w:rsid w:val="006F3A93"/>
    <w:rsid w:val="006F3C06"/>
    <w:rsid w:val="006F3C56"/>
    <w:rsid w:val="006F3D65"/>
    <w:rsid w:val="006F3D97"/>
    <w:rsid w:val="006F3E09"/>
    <w:rsid w:val="006F3F83"/>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3A"/>
    <w:rsid w:val="006F5D42"/>
    <w:rsid w:val="006F5DC9"/>
    <w:rsid w:val="006F5F19"/>
    <w:rsid w:val="006F61DF"/>
    <w:rsid w:val="006F62AC"/>
    <w:rsid w:val="006F62D0"/>
    <w:rsid w:val="006F6366"/>
    <w:rsid w:val="006F6403"/>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970"/>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B7B"/>
    <w:rsid w:val="00703CB7"/>
    <w:rsid w:val="00703D9B"/>
    <w:rsid w:val="00703F05"/>
    <w:rsid w:val="00703F1B"/>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EDC"/>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07FA5"/>
    <w:rsid w:val="007102C3"/>
    <w:rsid w:val="007105DD"/>
    <w:rsid w:val="0071066D"/>
    <w:rsid w:val="007106EE"/>
    <w:rsid w:val="00710740"/>
    <w:rsid w:val="00710837"/>
    <w:rsid w:val="007109C6"/>
    <w:rsid w:val="007109C8"/>
    <w:rsid w:val="00710A2F"/>
    <w:rsid w:val="00710CA5"/>
    <w:rsid w:val="00711079"/>
    <w:rsid w:val="007111D7"/>
    <w:rsid w:val="00711556"/>
    <w:rsid w:val="0071157F"/>
    <w:rsid w:val="007115C4"/>
    <w:rsid w:val="00711A20"/>
    <w:rsid w:val="00711A56"/>
    <w:rsid w:val="00711C58"/>
    <w:rsid w:val="00711EE5"/>
    <w:rsid w:val="00711F53"/>
    <w:rsid w:val="00712283"/>
    <w:rsid w:val="007125B7"/>
    <w:rsid w:val="007125C0"/>
    <w:rsid w:val="00712745"/>
    <w:rsid w:val="0071288F"/>
    <w:rsid w:val="0071298F"/>
    <w:rsid w:val="007129A2"/>
    <w:rsid w:val="00712AA2"/>
    <w:rsid w:val="00712B91"/>
    <w:rsid w:val="00712F5A"/>
    <w:rsid w:val="00712FB7"/>
    <w:rsid w:val="0071305C"/>
    <w:rsid w:val="007130BB"/>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07A"/>
    <w:rsid w:val="0071518E"/>
    <w:rsid w:val="00715295"/>
    <w:rsid w:val="007152A4"/>
    <w:rsid w:val="00715366"/>
    <w:rsid w:val="00715472"/>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CED"/>
    <w:rsid w:val="00717D6F"/>
    <w:rsid w:val="00717F82"/>
    <w:rsid w:val="00720952"/>
    <w:rsid w:val="00720A02"/>
    <w:rsid w:val="00720A03"/>
    <w:rsid w:val="00720AED"/>
    <w:rsid w:val="00720B74"/>
    <w:rsid w:val="00720CE4"/>
    <w:rsid w:val="00720D50"/>
    <w:rsid w:val="00720D52"/>
    <w:rsid w:val="00720D54"/>
    <w:rsid w:val="00720EDE"/>
    <w:rsid w:val="007213BD"/>
    <w:rsid w:val="007214DC"/>
    <w:rsid w:val="0072168B"/>
    <w:rsid w:val="00721809"/>
    <w:rsid w:val="0072181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9F6"/>
    <w:rsid w:val="00724B08"/>
    <w:rsid w:val="00724B6E"/>
    <w:rsid w:val="00724DF6"/>
    <w:rsid w:val="0072515B"/>
    <w:rsid w:val="007254F3"/>
    <w:rsid w:val="00725523"/>
    <w:rsid w:val="0072570C"/>
    <w:rsid w:val="007259E5"/>
    <w:rsid w:val="00725A64"/>
    <w:rsid w:val="00725B3C"/>
    <w:rsid w:val="00725C30"/>
    <w:rsid w:val="00725E5D"/>
    <w:rsid w:val="00725FA3"/>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3B2"/>
    <w:rsid w:val="00731554"/>
    <w:rsid w:val="007316DF"/>
    <w:rsid w:val="007319B6"/>
    <w:rsid w:val="00731BE5"/>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3F44"/>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27D"/>
    <w:rsid w:val="0073730A"/>
    <w:rsid w:val="00737577"/>
    <w:rsid w:val="007376D2"/>
    <w:rsid w:val="007376F7"/>
    <w:rsid w:val="007376FB"/>
    <w:rsid w:val="007378BA"/>
    <w:rsid w:val="007379AD"/>
    <w:rsid w:val="007379E9"/>
    <w:rsid w:val="00737E20"/>
    <w:rsid w:val="00737F3C"/>
    <w:rsid w:val="00740599"/>
    <w:rsid w:val="0074072A"/>
    <w:rsid w:val="007407DB"/>
    <w:rsid w:val="00740925"/>
    <w:rsid w:val="0074099F"/>
    <w:rsid w:val="00740A55"/>
    <w:rsid w:val="00740CAB"/>
    <w:rsid w:val="00740FB3"/>
    <w:rsid w:val="00741037"/>
    <w:rsid w:val="00741056"/>
    <w:rsid w:val="00741060"/>
    <w:rsid w:val="007410E5"/>
    <w:rsid w:val="0074126A"/>
    <w:rsid w:val="007413BD"/>
    <w:rsid w:val="0074147B"/>
    <w:rsid w:val="00741594"/>
    <w:rsid w:val="0074159D"/>
    <w:rsid w:val="007415FA"/>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4AC"/>
    <w:rsid w:val="0074377F"/>
    <w:rsid w:val="007438E9"/>
    <w:rsid w:val="00743B11"/>
    <w:rsid w:val="00744523"/>
    <w:rsid w:val="007445D1"/>
    <w:rsid w:val="00744791"/>
    <w:rsid w:val="007447C6"/>
    <w:rsid w:val="007448B7"/>
    <w:rsid w:val="00744F44"/>
    <w:rsid w:val="00744FBA"/>
    <w:rsid w:val="0074508C"/>
    <w:rsid w:val="00745273"/>
    <w:rsid w:val="00745339"/>
    <w:rsid w:val="00745347"/>
    <w:rsid w:val="0074553B"/>
    <w:rsid w:val="007455B4"/>
    <w:rsid w:val="007455F3"/>
    <w:rsid w:val="007456A0"/>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10"/>
    <w:rsid w:val="00746EAF"/>
    <w:rsid w:val="007474A2"/>
    <w:rsid w:val="00747689"/>
    <w:rsid w:val="00747A3D"/>
    <w:rsid w:val="00747CE1"/>
    <w:rsid w:val="00747D16"/>
    <w:rsid w:val="00747F1C"/>
    <w:rsid w:val="0075000C"/>
    <w:rsid w:val="0075004D"/>
    <w:rsid w:val="007502CA"/>
    <w:rsid w:val="007503B9"/>
    <w:rsid w:val="007505AA"/>
    <w:rsid w:val="007506A6"/>
    <w:rsid w:val="007506E8"/>
    <w:rsid w:val="0075072D"/>
    <w:rsid w:val="007509BD"/>
    <w:rsid w:val="00750C73"/>
    <w:rsid w:val="00750D82"/>
    <w:rsid w:val="00750EDE"/>
    <w:rsid w:val="00751599"/>
    <w:rsid w:val="007519CB"/>
    <w:rsid w:val="00751C64"/>
    <w:rsid w:val="00751EC4"/>
    <w:rsid w:val="00752036"/>
    <w:rsid w:val="00752254"/>
    <w:rsid w:val="0075286F"/>
    <w:rsid w:val="007528D3"/>
    <w:rsid w:val="00752A0C"/>
    <w:rsid w:val="00752A2D"/>
    <w:rsid w:val="00752A61"/>
    <w:rsid w:val="00752AB8"/>
    <w:rsid w:val="00752F18"/>
    <w:rsid w:val="0075308C"/>
    <w:rsid w:val="007530E4"/>
    <w:rsid w:val="00753453"/>
    <w:rsid w:val="00753457"/>
    <w:rsid w:val="00753615"/>
    <w:rsid w:val="0075384F"/>
    <w:rsid w:val="007538D1"/>
    <w:rsid w:val="007538F9"/>
    <w:rsid w:val="00753A02"/>
    <w:rsid w:val="00753D58"/>
    <w:rsid w:val="00753F06"/>
    <w:rsid w:val="0075402D"/>
    <w:rsid w:val="00754097"/>
    <w:rsid w:val="0075410E"/>
    <w:rsid w:val="007542B6"/>
    <w:rsid w:val="007544FA"/>
    <w:rsid w:val="007546FF"/>
    <w:rsid w:val="0075479C"/>
    <w:rsid w:val="00754CAA"/>
    <w:rsid w:val="00754DCD"/>
    <w:rsid w:val="007551AC"/>
    <w:rsid w:val="007551B3"/>
    <w:rsid w:val="00755405"/>
    <w:rsid w:val="007554B2"/>
    <w:rsid w:val="00755642"/>
    <w:rsid w:val="007557C0"/>
    <w:rsid w:val="00755901"/>
    <w:rsid w:val="00755B04"/>
    <w:rsid w:val="00755B67"/>
    <w:rsid w:val="00755D2C"/>
    <w:rsid w:val="00755DF1"/>
    <w:rsid w:val="00755FDE"/>
    <w:rsid w:val="007563A8"/>
    <w:rsid w:val="0075670E"/>
    <w:rsid w:val="0075677B"/>
    <w:rsid w:val="00756878"/>
    <w:rsid w:val="007568B4"/>
    <w:rsid w:val="00756B8F"/>
    <w:rsid w:val="00756C1D"/>
    <w:rsid w:val="00756EAC"/>
    <w:rsid w:val="00757445"/>
    <w:rsid w:val="007574AB"/>
    <w:rsid w:val="00757564"/>
    <w:rsid w:val="0075764B"/>
    <w:rsid w:val="0075778E"/>
    <w:rsid w:val="00757B51"/>
    <w:rsid w:val="00757C63"/>
    <w:rsid w:val="0076006A"/>
    <w:rsid w:val="007602C9"/>
    <w:rsid w:val="00760344"/>
    <w:rsid w:val="00760371"/>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CD"/>
    <w:rsid w:val="00762D78"/>
    <w:rsid w:val="00763210"/>
    <w:rsid w:val="007635C3"/>
    <w:rsid w:val="007639DA"/>
    <w:rsid w:val="00763AE0"/>
    <w:rsid w:val="00763AE8"/>
    <w:rsid w:val="00763C7B"/>
    <w:rsid w:val="00763E11"/>
    <w:rsid w:val="00763EDA"/>
    <w:rsid w:val="00763EE8"/>
    <w:rsid w:val="00763FC7"/>
    <w:rsid w:val="007642C7"/>
    <w:rsid w:val="00764BBA"/>
    <w:rsid w:val="00764C27"/>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7"/>
    <w:rsid w:val="00765E29"/>
    <w:rsid w:val="00766154"/>
    <w:rsid w:val="007662E5"/>
    <w:rsid w:val="007663E7"/>
    <w:rsid w:val="0076643F"/>
    <w:rsid w:val="0076645E"/>
    <w:rsid w:val="00766BBC"/>
    <w:rsid w:val="00766D10"/>
    <w:rsid w:val="00766F47"/>
    <w:rsid w:val="00767008"/>
    <w:rsid w:val="0076700A"/>
    <w:rsid w:val="00767050"/>
    <w:rsid w:val="00767079"/>
    <w:rsid w:val="007671D9"/>
    <w:rsid w:val="007675BE"/>
    <w:rsid w:val="007678AB"/>
    <w:rsid w:val="007678C0"/>
    <w:rsid w:val="00767AE7"/>
    <w:rsid w:val="00767F20"/>
    <w:rsid w:val="00767F66"/>
    <w:rsid w:val="00767FC0"/>
    <w:rsid w:val="007700BF"/>
    <w:rsid w:val="007700E9"/>
    <w:rsid w:val="00770231"/>
    <w:rsid w:val="00770275"/>
    <w:rsid w:val="007702F1"/>
    <w:rsid w:val="00770447"/>
    <w:rsid w:val="00770482"/>
    <w:rsid w:val="007704B1"/>
    <w:rsid w:val="007705E1"/>
    <w:rsid w:val="00770D73"/>
    <w:rsid w:val="00770FA2"/>
    <w:rsid w:val="00771308"/>
    <w:rsid w:val="0077130C"/>
    <w:rsid w:val="00771368"/>
    <w:rsid w:val="00771378"/>
    <w:rsid w:val="007713F3"/>
    <w:rsid w:val="00771559"/>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30E"/>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EC8"/>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6B"/>
    <w:rsid w:val="00776475"/>
    <w:rsid w:val="007764BF"/>
    <w:rsid w:val="00776602"/>
    <w:rsid w:val="00776885"/>
    <w:rsid w:val="007768F3"/>
    <w:rsid w:val="00776B4A"/>
    <w:rsid w:val="00776B60"/>
    <w:rsid w:val="00776BFA"/>
    <w:rsid w:val="00776D40"/>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31"/>
    <w:rsid w:val="00784B44"/>
    <w:rsid w:val="00784E22"/>
    <w:rsid w:val="007850A5"/>
    <w:rsid w:val="00785347"/>
    <w:rsid w:val="00785436"/>
    <w:rsid w:val="00785511"/>
    <w:rsid w:val="007855B9"/>
    <w:rsid w:val="007856B4"/>
    <w:rsid w:val="0078572C"/>
    <w:rsid w:val="00785739"/>
    <w:rsid w:val="007857CB"/>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5"/>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6C"/>
    <w:rsid w:val="00791073"/>
    <w:rsid w:val="0079112F"/>
    <w:rsid w:val="007911CC"/>
    <w:rsid w:val="007912E2"/>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2D5"/>
    <w:rsid w:val="00796521"/>
    <w:rsid w:val="00796522"/>
    <w:rsid w:val="00796629"/>
    <w:rsid w:val="00796954"/>
    <w:rsid w:val="00796C1E"/>
    <w:rsid w:val="00796D38"/>
    <w:rsid w:val="00796D87"/>
    <w:rsid w:val="007971BF"/>
    <w:rsid w:val="00797506"/>
    <w:rsid w:val="0079754D"/>
    <w:rsid w:val="0079761C"/>
    <w:rsid w:val="00797639"/>
    <w:rsid w:val="00797693"/>
    <w:rsid w:val="00797A7B"/>
    <w:rsid w:val="00797A9A"/>
    <w:rsid w:val="00797D98"/>
    <w:rsid w:val="00797F5A"/>
    <w:rsid w:val="007A05FB"/>
    <w:rsid w:val="007A06A1"/>
    <w:rsid w:val="007A082D"/>
    <w:rsid w:val="007A0CAA"/>
    <w:rsid w:val="007A0E43"/>
    <w:rsid w:val="007A1260"/>
    <w:rsid w:val="007A1368"/>
    <w:rsid w:val="007A156F"/>
    <w:rsid w:val="007A188F"/>
    <w:rsid w:val="007A1BAB"/>
    <w:rsid w:val="007A1C7F"/>
    <w:rsid w:val="007A1EE4"/>
    <w:rsid w:val="007A1FC1"/>
    <w:rsid w:val="007A2201"/>
    <w:rsid w:val="007A2291"/>
    <w:rsid w:val="007A229E"/>
    <w:rsid w:val="007A2564"/>
    <w:rsid w:val="007A2628"/>
    <w:rsid w:val="007A26ED"/>
    <w:rsid w:val="007A28F9"/>
    <w:rsid w:val="007A2D24"/>
    <w:rsid w:val="007A2DBA"/>
    <w:rsid w:val="007A2E36"/>
    <w:rsid w:val="007A2F3A"/>
    <w:rsid w:val="007A3317"/>
    <w:rsid w:val="007A3420"/>
    <w:rsid w:val="007A354E"/>
    <w:rsid w:val="007A35D5"/>
    <w:rsid w:val="007A3618"/>
    <w:rsid w:val="007A3AC7"/>
    <w:rsid w:val="007A3BA5"/>
    <w:rsid w:val="007A3CB4"/>
    <w:rsid w:val="007A3E1F"/>
    <w:rsid w:val="007A3F35"/>
    <w:rsid w:val="007A4060"/>
    <w:rsid w:val="007A42BE"/>
    <w:rsid w:val="007A4492"/>
    <w:rsid w:val="007A44B2"/>
    <w:rsid w:val="007A44E7"/>
    <w:rsid w:val="007A4570"/>
    <w:rsid w:val="007A45F5"/>
    <w:rsid w:val="007A4903"/>
    <w:rsid w:val="007A4984"/>
    <w:rsid w:val="007A4999"/>
    <w:rsid w:val="007A4C66"/>
    <w:rsid w:val="007A4C7E"/>
    <w:rsid w:val="007A4CD1"/>
    <w:rsid w:val="007A4D02"/>
    <w:rsid w:val="007A4DA3"/>
    <w:rsid w:val="007A4E7B"/>
    <w:rsid w:val="007A5012"/>
    <w:rsid w:val="007A51E3"/>
    <w:rsid w:val="007A539B"/>
    <w:rsid w:val="007A539F"/>
    <w:rsid w:val="007A5528"/>
    <w:rsid w:val="007A5538"/>
    <w:rsid w:val="007A5A12"/>
    <w:rsid w:val="007A5A68"/>
    <w:rsid w:val="007A5B2B"/>
    <w:rsid w:val="007A5D89"/>
    <w:rsid w:val="007A5DC7"/>
    <w:rsid w:val="007A5FA4"/>
    <w:rsid w:val="007A60CA"/>
    <w:rsid w:val="007A60DD"/>
    <w:rsid w:val="007A61E4"/>
    <w:rsid w:val="007A62B7"/>
    <w:rsid w:val="007A6320"/>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A4"/>
    <w:rsid w:val="007B0667"/>
    <w:rsid w:val="007B09B8"/>
    <w:rsid w:val="007B09CB"/>
    <w:rsid w:val="007B0AC1"/>
    <w:rsid w:val="007B0B0A"/>
    <w:rsid w:val="007B0E50"/>
    <w:rsid w:val="007B0E59"/>
    <w:rsid w:val="007B0E8C"/>
    <w:rsid w:val="007B0F35"/>
    <w:rsid w:val="007B1180"/>
    <w:rsid w:val="007B135F"/>
    <w:rsid w:val="007B137B"/>
    <w:rsid w:val="007B14DA"/>
    <w:rsid w:val="007B15AF"/>
    <w:rsid w:val="007B15FA"/>
    <w:rsid w:val="007B167B"/>
    <w:rsid w:val="007B16B7"/>
    <w:rsid w:val="007B1A94"/>
    <w:rsid w:val="007B1C93"/>
    <w:rsid w:val="007B2187"/>
    <w:rsid w:val="007B2209"/>
    <w:rsid w:val="007B2270"/>
    <w:rsid w:val="007B2463"/>
    <w:rsid w:val="007B246E"/>
    <w:rsid w:val="007B2610"/>
    <w:rsid w:val="007B275C"/>
    <w:rsid w:val="007B2B5C"/>
    <w:rsid w:val="007B2C94"/>
    <w:rsid w:val="007B2EA7"/>
    <w:rsid w:val="007B2F71"/>
    <w:rsid w:val="007B3022"/>
    <w:rsid w:val="007B30C6"/>
    <w:rsid w:val="007B3116"/>
    <w:rsid w:val="007B32F9"/>
    <w:rsid w:val="007B3408"/>
    <w:rsid w:val="007B343F"/>
    <w:rsid w:val="007B345F"/>
    <w:rsid w:val="007B35B6"/>
    <w:rsid w:val="007B37F5"/>
    <w:rsid w:val="007B3B25"/>
    <w:rsid w:val="007B3D4E"/>
    <w:rsid w:val="007B3EB2"/>
    <w:rsid w:val="007B3EE2"/>
    <w:rsid w:val="007B4325"/>
    <w:rsid w:val="007B440A"/>
    <w:rsid w:val="007B4427"/>
    <w:rsid w:val="007B446A"/>
    <w:rsid w:val="007B4755"/>
    <w:rsid w:val="007B4852"/>
    <w:rsid w:val="007B49F3"/>
    <w:rsid w:val="007B4A33"/>
    <w:rsid w:val="007B4C00"/>
    <w:rsid w:val="007B4D0A"/>
    <w:rsid w:val="007B4DF7"/>
    <w:rsid w:val="007B4EBE"/>
    <w:rsid w:val="007B512A"/>
    <w:rsid w:val="007B5177"/>
    <w:rsid w:val="007B5359"/>
    <w:rsid w:val="007B54B8"/>
    <w:rsid w:val="007B5649"/>
    <w:rsid w:val="007B583A"/>
    <w:rsid w:val="007B5967"/>
    <w:rsid w:val="007B5C8F"/>
    <w:rsid w:val="007B5CF5"/>
    <w:rsid w:val="007B5DA7"/>
    <w:rsid w:val="007B5EFF"/>
    <w:rsid w:val="007B6720"/>
    <w:rsid w:val="007B6722"/>
    <w:rsid w:val="007B697D"/>
    <w:rsid w:val="007B6B94"/>
    <w:rsid w:val="007B6D40"/>
    <w:rsid w:val="007B6F8E"/>
    <w:rsid w:val="007B6FBF"/>
    <w:rsid w:val="007B7083"/>
    <w:rsid w:val="007B7116"/>
    <w:rsid w:val="007B7148"/>
    <w:rsid w:val="007B72D4"/>
    <w:rsid w:val="007B72E8"/>
    <w:rsid w:val="007B736F"/>
    <w:rsid w:val="007B744C"/>
    <w:rsid w:val="007B74F1"/>
    <w:rsid w:val="007B75EB"/>
    <w:rsid w:val="007B767D"/>
    <w:rsid w:val="007B7C8D"/>
    <w:rsid w:val="007B7DF2"/>
    <w:rsid w:val="007B7E5D"/>
    <w:rsid w:val="007C041A"/>
    <w:rsid w:val="007C04EF"/>
    <w:rsid w:val="007C055D"/>
    <w:rsid w:val="007C06BD"/>
    <w:rsid w:val="007C08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2F9"/>
    <w:rsid w:val="007C4725"/>
    <w:rsid w:val="007C4A11"/>
    <w:rsid w:val="007C4A9E"/>
    <w:rsid w:val="007C4AA8"/>
    <w:rsid w:val="007C4AC7"/>
    <w:rsid w:val="007C4C1A"/>
    <w:rsid w:val="007C4DE5"/>
    <w:rsid w:val="007C4F01"/>
    <w:rsid w:val="007C4F48"/>
    <w:rsid w:val="007C4F57"/>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471"/>
    <w:rsid w:val="007D0814"/>
    <w:rsid w:val="007D083E"/>
    <w:rsid w:val="007D08B0"/>
    <w:rsid w:val="007D09A5"/>
    <w:rsid w:val="007D0B12"/>
    <w:rsid w:val="007D0EA4"/>
    <w:rsid w:val="007D0F49"/>
    <w:rsid w:val="007D1076"/>
    <w:rsid w:val="007D10FB"/>
    <w:rsid w:val="007D1453"/>
    <w:rsid w:val="007D14CA"/>
    <w:rsid w:val="007D16E8"/>
    <w:rsid w:val="007D1733"/>
    <w:rsid w:val="007D180C"/>
    <w:rsid w:val="007D19A0"/>
    <w:rsid w:val="007D1DDF"/>
    <w:rsid w:val="007D1F62"/>
    <w:rsid w:val="007D21D5"/>
    <w:rsid w:val="007D21E0"/>
    <w:rsid w:val="007D2456"/>
    <w:rsid w:val="007D248E"/>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63"/>
    <w:rsid w:val="007D442A"/>
    <w:rsid w:val="007D4696"/>
    <w:rsid w:val="007D47FB"/>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AB9"/>
    <w:rsid w:val="007D6BB2"/>
    <w:rsid w:val="007D6C1E"/>
    <w:rsid w:val="007D6E93"/>
    <w:rsid w:val="007D6F86"/>
    <w:rsid w:val="007D7072"/>
    <w:rsid w:val="007D72BB"/>
    <w:rsid w:val="007D73D9"/>
    <w:rsid w:val="007D75C2"/>
    <w:rsid w:val="007D76AF"/>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775"/>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21F"/>
    <w:rsid w:val="007E4609"/>
    <w:rsid w:val="007E4732"/>
    <w:rsid w:val="007E4B12"/>
    <w:rsid w:val="007E4BDD"/>
    <w:rsid w:val="007E543E"/>
    <w:rsid w:val="007E54A1"/>
    <w:rsid w:val="007E5688"/>
    <w:rsid w:val="007E5872"/>
    <w:rsid w:val="007E5C17"/>
    <w:rsid w:val="007E62EE"/>
    <w:rsid w:val="007E6708"/>
    <w:rsid w:val="007E687E"/>
    <w:rsid w:val="007E6913"/>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8D2"/>
    <w:rsid w:val="007F09BF"/>
    <w:rsid w:val="007F0A1F"/>
    <w:rsid w:val="007F0AFF"/>
    <w:rsid w:val="007F0D30"/>
    <w:rsid w:val="007F0E6B"/>
    <w:rsid w:val="007F0FBE"/>
    <w:rsid w:val="007F0FFD"/>
    <w:rsid w:val="007F11E8"/>
    <w:rsid w:val="007F120E"/>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4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885"/>
    <w:rsid w:val="007F6D6B"/>
    <w:rsid w:val="007F6DF5"/>
    <w:rsid w:val="007F6E84"/>
    <w:rsid w:val="007F707F"/>
    <w:rsid w:val="007F749D"/>
    <w:rsid w:val="007F750E"/>
    <w:rsid w:val="007F7A8D"/>
    <w:rsid w:val="007F7ACC"/>
    <w:rsid w:val="007F7BBE"/>
    <w:rsid w:val="007F7C7C"/>
    <w:rsid w:val="007F7CC4"/>
    <w:rsid w:val="007F7DB3"/>
    <w:rsid w:val="007F7DBB"/>
    <w:rsid w:val="00800518"/>
    <w:rsid w:val="008005EB"/>
    <w:rsid w:val="0080090E"/>
    <w:rsid w:val="00800AAE"/>
    <w:rsid w:val="00800CD9"/>
    <w:rsid w:val="00800F13"/>
    <w:rsid w:val="00800F4F"/>
    <w:rsid w:val="00800F86"/>
    <w:rsid w:val="00801081"/>
    <w:rsid w:val="008014DA"/>
    <w:rsid w:val="0080158C"/>
    <w:rsid w:val="00801ABA"/>
    <w:rsid w:val="00801B02"/>
    <w:rsid w:val="00801B60"/>
    <w:rsid w:val="00801BBF"/>
    <w:rsid w:val="00801D06"/>
    <w:rsid w:val="00801D85"/>
    <w:rsid w:val="00801E46"/>
    <w:rsid w:val="00802086"/>
    <w:rsid w:val="00802215"/>
    <w:rsid w:val="00802274"/>
    <w:rsid w:val="008022D3"/>
    <w:rsid w:val="008027D2"/>
    <w:rsid w:val="008027FE"/>
    <w:rsid w:val="00802A08"/>
    <w:rsid w:val="00802FEF"/>
    <w:rsid w:val="00803155"/>
    <w:rsid w:val="00803517"/>
    <w:rsid w:val="0080367D"/>
    <w:rsid w:val="00803820"/>
    <w:rsid w:val="00803910"/>
    <w:rsid w:val="00803ADF"/>
    <w:rsid w:val="00803C77"/>
    <w:rsid w:val="00803CFA"/>
    <w:rsid w:val="00803E87"/>
    <w:rsid w:val="00804008"/>
    <w:rsid w:val="0080416B"/>
    <w:rsid w:val="0080449F"/>
    <w:rsid w:val="008044B5"/>
    <w:rsid w:val="008045CF"/>
    <w:rsid w:val="00804674"/>
    <w:rsid w:val="0080475D"/>
    <w:rsid w:val="0080487B"/>
    <w:rsid w:val="00804A7D"/>
    <w:rsid w:val="00804C8B"/>
    <w:rsid w:val="008050A0"/>
    <w:rsid w:val="008050E0"/>
    <w:rsid w:val="00805611"/>
    <w:rsid w:val="00805859"/>
    <w:rsid w:val="008058BE"/>
    <w:rsid w:val="00805917"/>
    <w:rsid w:val="0080598D"/>
    <w:rsid w:val="00805A22"/>
    <w:rsid w:val="00805A9B"/>
    <w:rsid w:val="00805BD7"/>
    <w:rsid w:val="00805F2D"/>
    <w:rsid w:val="00805FA8"/>
    <w:rsid w:val="00806201"/>
    <w:rsid w:val="008064EC"/>
    <w:rsid w:val="0080679C"/>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6E1"/>
    <w:rsid w:val="008117CD"/>
    <w:rsid w:val="00811979"/>
    <w:rsid w:val="008119D8"/>
    <w:rsid w:val="00811A46"/>
    <w:rsid w:val="00811A55"/>
    <w:rsid w:val="00811BE3"/>
    <w:rsid w:val="00811C31"/>
    <w:rsid w:val="00811C51"/>
    <w:rsid w:val="00811DAD"/>
    <w:rsid w:val="00811EB2"/>
    <w:rsid w:val="00811F00"/>
    <w:rsid w:val="00811FC9"/>
    <w:rsid w:val="0081215A"/>
    <w:rsid w:val="0081235D"/>
    <w:rsid w:val="00812700"/>
    <w:rsid w:val="00812727"/>
    <w:rsid w:val="0081272D"/>
    <w:rsid w:val="00812841"/>
    <w:rsid w:val="008128EA"/>
    <w:rsid w:val="008129E3"/>
    <w:rsid w:val="00812B6E"/>
    <w:rsid w:val="00812D17"/>
    <w:rsid w:val="00812F4D"/>
    <w:rsid w:val="00812F62"/>
    <w:rsid w:val="00812F71"/>
    <w:rsid w:val="00813208"/>
    <w:rsid w:val="00813223"/>
    <w:rsid w:val="00813335"/>
    <w:rsid w:val="00813597"/>
    <w:rsid w:val="008136A6"/>
    <w:rsid w:val="008136EE"/>
    <w:rsid w:val="00813761"/>
    <w:rsid w:val="00813931"/>
    <w:rsid w:val="008139A5"/>
    <w:rsid w:val="00813ABD"/>
    <w:rsid w:val="00813D83"/>
    <w:rsid w:val="00813FF6"/>
    <w:rsid w:val="00814156"/>
    <w:rsid w:val="00814242"/>
    <w:rsid w:val="00814253"/>
    <w:rsid w:val="0081430C"/>
    <w:rsid w:val="00814378"/>
    <w:rsid w:val="0081444A"/>
    <w:rsid w:val="008144ED"/>
    <w:rsid w:val="00814511"/>
    <w:rsid w:val="00814555"/>
    <w:rsid w:val="00814870"/>
    <w:rsid w:val="008148E3"/>
    <w:rsid w:val="00814910"/>
    <w:rsid w:val="00814922"/>
    <w:rsid w:val="008149BF"/>
    <w:rsid w:val="00814C8C"/>
    <w:rsid w:val="00814D7F"/>
    <w:rsid w:val="00814DD0"/>
    <w:rsid w:val="00814EFA"/>
    <w:rsid w:val="008150E9"/>
    <w:rsid w:val="008155B9"/>
    <w:rsid w:val="00815716"/>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689"/>
    <w:rsid w:val="008207A2"/>
    <w:rsid w:val="008207C9"/>
    <w:rsid w:val="00820861"/>
    <w:rsid w:val="00820AB0"/>
    <w:rsid w:val="00820C77"/>
    <w:rsid w:val="00820D40"/>
    <w:rsid w:val="00820FD5"/>
    <w:rsid w:val="00821290"/>
    <w:rsid w:val="0082158C"/>
    <w:rsid w:val="00821799"/>
    <w:rsid w:val="00821825"/>
    <w:rsid w:val="00821832"/>
    <w:rsid w:val="00821CAD"/>
    <w:rsid w:val="00821D6C"/>
    <w:rsid w:val="0082206F"/>
    <w:rsid w:val="008220FE"/>
    <w:rsid w:val="008221BF"/>
    <w:rsid w:val="0082256D"/>
    <w:rsid w:val="008225EB"/>
    <w:rsid w:val="00822A9F"/>
    <w:rsid w:val="00822AB0"/>
    <w:rsid w:val="00822BCD"/>
    <w:rsid w:val="00822C89"/>
    <w:rsid w:val="00822DA2"/>
    <w:rsid w:val="00822DBA"/>
    <w:rsid w:val="00822E9B"/>
    <w:rsid w:val="00822F4C"/>
    <w:rsid w:val="00822F59"/>
    <w:rsid w:val="00823089"/>
    <w:rsid w:val="0082326C"/>
    <w:rsid w:val="00823428"/>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0"/>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413"/>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928"/>
    <w:rsid w:val="00830B22"/>
    <w:rsid w:val="00831166"/>
    <w:rsid w:val="008311C9"/>
    <w:rsid w:val="0083129F"/>
    <w:rsid w:val="00831449"/>
    <w:rsid w:val="008314E8"/>
    <w:rsid w:val="008316E1"/>
    <w:rsid w:val="00831826"/>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E8"/>
    <w:rsid w:val="00832F31"/>
    <w:rsid w:val="0083301E"/>
    <w:rsid w:val="0083302C"/>
    <w:rsid w:val="00833076"/>
    <w:rsid w:val="008333BB"/>
    <w:rsid w:val="0083398B"/>
    <w:rsid w:val="00833ACC"/>
    <w:rsid w:val="00833C02"/>
    <w:rsid w:val="00833C0B"/>
    <w:rsid w:val="00833C83"/>
    <w:rsid w:val="00833C89"/>
    <w:rsid w:val="00833EBE"/>
    <w:rsid w:val="00833F91"/>
    <w:rsid w:val="00833FC7"/>
    <w:rsid w:val="008341DD"/>
    <w:rsid w:val="00834247"/>
    <w:rsid w:val="00834319"/>
    <w:rsid w:val="008344D7"/>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E32"/>
    <w:rsid w:val="00835FAF"/>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E83"/>
    <w:rsid w:val="00840F7A"/>
    <w:rsid w:val="00841439"/>
    <w:rsid w:val="0084157F"/>
    <w:rsid w:val="0084167D"/>
    <w:rsid w:val="008416CE"/>
    <w:rsid w:val="00841786"/>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22A"/>
    <w:rsid w:val="0084454C"/>
    <w:rsid w:val="00844566"/>
    <w:rsid w:val="00845262"/>
    <w:rsid w:val="00845333"/>
    <w:rsid w:val="008458CE"/>
    <w:rsid w:val="00845E0F"/>
    <w:rsid w:val="008465FD"/>
    <w:rsid w:val="0084664D"/>
    <w:rsid w:val="008467ED"/>
    <w:rsid w:val="00846B91"/>
    <w:rsid w:val="00846EB5"/>
    <w:rsid w:val="00847222"/>
    <w:rsid w:val="00847343"/>
    <w:rsid w:val="00847350"/>
    <w:rsid w:val="00847504"/>
    <w:rsid w:val="00847582"/>
    <w:rsid w:val="00847730"/>
    <w:rsid w:val="00847770"/>
    <w:rsid w:val="00847860"/>
    <w:rsid w:val="00847B43"/>
    <w:rsid w:val="00847D7E"/>
    <w:rsid w:val="00847DF4"/>
    <w:rsid w:val="00847E24"/>
    <w:rsid w:val="00847EFC"/>
    <w:rsid w:val="00850031"/>
    <w:rsid w:val="00850658"/>
    <w:rsid w:val="00850708"/>
    <w:rsid w:val="00850787"/>
    <w:rsid w:val="008507A2"/>
    <w:rsid w:val="00850DA0"/>
    <w:rsid w:val="00850E7A"/>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B50"/>
    <w:rsid w:val="00852E40"/>
    <w:rsid w:val="008534EE"/>
    <w:rsid w:val="00853527"/>
    <w:rsid w:val="0085354A"/>
    <w:rsid w:val="008537FC"/>
    <w:rsid w:val="00853835"/>
    <w:rsid w:val="00853AF6"/>
    <w:rsid w:val="008540FC"/>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868"/>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FD3"/>
    <w:rsid w:val="008611BD"/>
    <w:rsid w:val="00861543"/>
    <w:rsid w:val="008616B9"/>
    <w:rsid w:val="008616E2"/>
    <w:rsid w:val="00861A44"/>
    <w:rsid w:val="00861D2D"/>
    <w:rsid w:val="00861D8F"/>
    <w:rsid w:val="00861E2F"/>
    <w:rsid w:val="008622AC"/>
    <w:rsid w:val="00862373"/>
    <w:rsid w:val="00862619"/>
    <w:rsid w:val="008626D5"/>
    <w:rsid w:val="00862705"/>
    <w:rsid w:val="0086270A"/>
    <w:rsid w:val="0086280D"/>
    <w:rsid w:val="00862B31"/>
    <w:rsid w:val="00862CCE"/>
    <w:rsid w:val="00862F4B"/>
    <w:rsid w:val="00863025"/>
    <w:rsid w:val="00863076"/>
    <w:rsid w:val="008630EB"/>
    <w:rsid w:val="008634B8"/>
    <w:rsid w:val="0086356A"/>
    <w:rsid w:val="0086373B"/>
    <w:rsid w:val="008638D8"/>
    <w:rsid w:val="00863A13"/>
    <w:rsid w:val="00864287"/>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67C5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B87"/>
    <w:rsid w:val="00872C69"/>
    <w:rsid w:val="00872D82"/>
    <w:rsid w:val="00872E32"/>
    <w:rsid w:val="00872EE9"/>
    <w:rsid w:val="00872F42"/>
    <w:rsid w:val="00872F82"/>
    <w:rsid w:val="00873253"/>
    <w:rsid w:val="00873341"/>
    <w:rsid w:val="008733C5"/>
    <w:rsid w:val="0087345C"/>
    <w:rsid w:val="0087350A"/>
    <w:rsid w:val="00873587"/>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0C4"/>
    <w:rsid w:val="008756ED"/>
    <w:rsid w:val="00875748"/>
    <w:rsid w:val="0087580E"/>
    <w:rsid w:val="0087594E"/>
    <w:rsid w:val="00875B40"/>
    <w:rsid w:val="00875EC5"/>
    <w:rsid w:val="00875F95"/>
    <w:rsid w:val="00876075"/>
    <w:rsid w:val="008762CC"/>
    <w:rsid w:val="00876435"/>
    <w:rsid w:val="00876486"/>
    <w:rsid w:val="008764B3"/>
    <w:rsid w:val="00876561"/>
    <w:rsid w:val="008768B2"/>
    <w:rsid w:val="008769A5"/>
    <w:rsid w:val="00876A72"/>
    <w:rsid w:val="00876C63"/>
    <w:rsid w:val="00876D09"/>
    <w:rsid w:val="00876D44"/>
    <w:rsid w:val="00876ED5"/>
    <w:rsid w:val="00876F41"/>
    <w:rsid w:val="0087715A"/>
    <w:rsid w:val="008771CA"/>
    <w:rsid w:val="0087737D"/>
    <w:rsid w:val="00877386"/>
    <w:rsid w:val="0087740D"/>
    <w:rsid w:val="008774B1"/>
    <w:rsid w:val="00877516"/>
    <w:rsid w:val="008777B8"/>
    <w:rsid w:val="00877A52"/>
    <w:rsid w:val="00877CBB"/>
    <w:rsid w:val="00877D64"/>
    <w:rsid w:val="00877DC6"/>
    <w:rsid w:val="0088010D"/>
    <w:rsid w:val="00880690"/>
    <w:rsid w:val="0088070C"/>
    <w:rsid w:val="00880714"/>
    <w:rsid w:val="00880840"/>
    <w:rsid w:val="008809A6"/>
    <w:rsid w:val="00880D5B"/>
    <w:rsid w:val="00881786"/>
    <w:rsid w:val="0088179C"/>
    <w:rsid w:val="008817AD"/>
    <w:rsid w:val="0088193D"/>
    <w:rsid w:val="00881A01"/>
    <w:rsid w:val="00881A9B"/>
    <w:rsid w:val="00881B66"/>
    <w:rsid w:val="00881BC8"/>
    <w:rsid w:val="00882377"/>
    <w:rsid w:val="008823AB"/>
    <w:rsid w:val="0088264B"/>
    <w:rsid w:val="0088289F"/>
    <w:rsid w:val="00882D01"/>
    <w:rsid w:val="00882E2C"/>
    <w:rsid w:val="00882E54"/>
    <w:rsid w:val="00882E83"/>
    <w:rsid w:val="00883482"/>
    <w:rsid w:val="008835DA"/>
    <w:rsid w:val="008836D2"/>
    <w:rsid w:val="00883770"/>
    <w:rsid w:val="00883871"/>
    <w:rsid w:val="008838A3"/>
    <w:rsid w:val="008838A8"/>
    <w:rsid w:val="008838C0"/>
    <w:rsid w:val="00883B89"/>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1E"/>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C2"/>
    <w:rsid w:val="008923C4"/>
    <w:rsid w:val="00892580"/>
    <w:rsid w:val="00892698"/>
    <w:rsid w:val="00892701"/>
    <w:rsid w:val="0089272B"/>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DDE"/>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F14"/>
    <w:rsid w:val="00897F5E"/>
    <w:rsid w:val="008A0006"/>
    <w:rsid w:val="008A0188"/>
    <w:rsid w:val="008A03CC"/>
    <w:rsid w:val="008A0411"/>
    <w:rsid w:val="008A04C9"/>
    <w:rsid w:val="008A05AF"/>
    <w:rsid w:val="008A07B6"/>
    <w:rsid w:val="008A0A70"/>
    <w:rsid w:val="008A0D8F"/>
    <w:rsid w:val="008A10F1"/>
    <w:rsid w:val="008A11EC"/>
    <w:rsid w:val="008A141A"/>
    <w:rsid w:val="008A150D"/>
    <w:rsid w:val="008A1542"/>
    <w:rsid w:val="008A1734"/>
    <w:rsid w:val="008A1994"/>
    <w:rsid w:val="008A1B5F"/>
    <w:rsid w:val="008A1C5D"/>
    <w:rsid w:val="008A1E66"/>
    <w:rsid w:val="008A20C3"/>
    <w:rsid w:val="008A2100"/>
    <w:rsid w:val="008A21FA"/>
    <w:rsid w:val="008A23C2"/>
    <w:rsid w:val="008A2A9A"/>
    <w:rsid w:val="008A2B32"/>
    <w:rsid w:val="008A3158"/>
    <w:rsid w:val="008A3373"/>
    <w:rsid w:val="008A38E4"/>
    <w:rsid w:val="008A3FFA"/>
    <w:rsid w:val="008A4042"/>
    <w:rsid w:val="008A4276"/>
    <w:rsid w:val="008A4580"/>
    <w:rsid w:val="008A471C"/>
    <w:rsid w:val="008A49CE"/>
    <w:rsid w:val="008A49E1"/>
    <w:rsid w:val="008A4B74"/>
    <w:rsid w:val="008A4B75"/>
    <w:rsid w:val="008A4C7A"/>
    <w:rsid w:val="008A4D5E"/>
    <w:rsid w:val="008A4F3D"/>
    <w:rsid w:val="008A514C"/>
    <w:rsid w:val="008A5455"/>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935"/>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0EC"/>
    <w:rsid w:val="008B110C"/>
    <w:rsid w:val="008B1268"/>
    <w:rsid w:val="008B12BA"/>
    <w:rsid w:val="008B1817"/>
    <w:rsid w:val="008B19AD"/>
    <w:rsid w:val="008B19D4"/>
    <w:rsid w:val="008B1A4E"/>
    <w:rsid w:val="008B1C25"/>
    <w:rsid w:val="008B1D2D"/>
    <w:rsid w:val="008B1D84"/>
    <w:rsid w:val="008B1E78"/>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78"/>
    <w:rsid w:val="008B3793"/>
    <w:rsid w:val="008B387B"/>
    <w:rsid w:val="008B38CE"/>
    <w:rsid w:val="008B393C"/>
    <w:rsid w:val="008B3949"/>
    <w:rsid w:val="008B3DC1"/>
    <w:rsid w:val="008B3F96"/>
    <w:rsid w:val="008B3FB3"/>
    <w:rsid w:val="008B404B"/>
    <w:rsid w:val="008B4064"/>
    <w:rsid w:val="008B406A"/>
    <w:rsid w:val="008B4121"/>
    <w:rsid w:val="008B4541"/>
    <w:rsid w:val="008B458A"/>
    <w:rsid w:val="008B4857"/>
    <w:rsid w:val="008B4AB5"/>
    <w:rsid w:val="008B4B57"/>
    <w:rsid w:val="008B4B75"/>
    <w:rsid w:val="008B4F2A"/>
    <w:rsid w:val="008B5332"/>
    <w:rsid w:val="008B542B"/>
    <w:rsid w:val="008B5B2D"/>
    <w:rsid w:val="008B5C4B"/>
    <w:rsid w:val="008B5D62"/>
    <w:rsid w:val="008B5EC2"/>
    <w:rsid w:val="008B5EFD"/>
    <w:rsid w:val="008B5F11"/>
    <w:rsid w:val="008B5F4A"/>
    <w:rsid w:val="008B5F65"/>
    <w:rsid w:val="008B618B"/>
    <w:rsid w:val="008B61A5"/>
    <w:rsid w:val="008B62C8"/>
    <w:rsid w:val="008B62DE"/>
    <w:rsid w:val="008B660D"/>
    <w:rsid w:val="008B6698"/>
    <w:rsid w:val="008B68E1"/>
    <w:rsid w:val="008B6A6B"/>
    <w:rsid w:val="008B6BFD"/>
    <w:rsid w:val="008B6C85"/>
    <w:rsid w:val="008B6D43"/>
    <w:rsid w:val="008B72D1"/>
    <w:rsid w:val="008B751B"/>
    <w:rsid w:val="008B76D4"/>
    <w:rsid w:val="008B790E"/>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1D7"/>
    <w:rsid w:val="008C273B"/>
    <w:rsid w:val="008C2773"/>
    <w:rsid w:val="008C2871"/>
    <w:rsid w:val="008C28EF"/>
    <w:rsid w:val="008C299E"/>
    <w:rsid w:val="008C2A30"/>
    <w:rsid w:val="008C2B32"/>
    <w:rsid w:val="008C2BF8"/>
    <w:rsid w:val="008C2E72"/>
    <w:rsid w:val="008C2F12"/>
    <w:rsid w:val="008C2FC1"/>
    <w:rsid w:val="008C30FE"/>
    <w:rsid w:val="008C320D"/>
    <w:rsid w:val="008C339A"/>
    <w:rsid w:val="008C3595"/>
    <w:rsid w:val="008C3669"/>
    <w:rsid w:val="008C39E6"/>
    <w:rsid w:val="008C3C16"/>
    <w:rsid w:val="008C3E4A"/>
    <w:rsid w:val="008C3EC6"/>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925"/>
    <w:rsid w:val="008C6A81"/>
    <w:rsid w:val="008C6AA5"/>
    <w:rsid w:val="008C6B0C"/>
    <w:rsid w:val="008C6B2E"/>
    <w:rsid w:val="008C72D6"/>
    <w:rsid w:val="008C7300"/>
    <w:rsid w:val="008C73ED"/>
    <w:rsid w:val="008C7568"/>
    <w:rsid w:val="008C75CF"/>
    <w:rsid w:val="008C7645"/>
    <w:rsid w:val="008C779C"/>
    <w:rsid w:val="008C78EC"/>
    <w:rsid w:val="008C7D0D"/>
    <w:rsid w:val="008C7E9B"/>
    <w:rsid w:val="008C7EB2"/>
    <w:rsid w:val="008C7ECE"/>
    <w:rsid w:val="008D04F5"/>
    <w:rsid w:val="008D0510"/>
    <w:rsid w:val="008D072C"/>
    <w:rsid w:val="008D08C4"/>
    <w:rsid w:val="008D0901"/>
    <w:rsid w:val="008D0BE2"/>
    <w:rsid w:val="008D0FFB"/>
    <w:rsid w:val="008D114E"/>
    <w:rsid w:val="008D11A1"/>
    <w:rsid w:val="008D11F3"/>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3D42"/>
    <w:rsid w:val="008D3D77"/>
    <w:rsid w:val="008D4065"/>
    <w:rsid w:val="008D4687"/>
    <w:rsid w:val="008D4706"/>
    <w:rsid w:val="008D4A1A"/>
    <w:rsid w:val="008D4E38"/>
    <w:rsid w:val="008D51FA"/>
    <w:rsid w:val="008D54BC"/>
    <w:rsid w:val="008D54D3"/>
    <w:rsid w:val="008D5609"/>
    <w:rsid w:val="008D56A8"/>
    <w:rsid w:val="008D5A0D"/>
    <w:rsid w:val="008D5BE1"/>
    <w:rsid w:val="008D5D73"/>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144"/>
    <w:rsid w:val="008D71B7"/>
    <w:rsid w:val="008D728E"/>
    <w:rsid w:val="008D745B"/>
    <w:rsid w:val="008D749C"/>
    <w:rsid w:val="008D787D"/>
    <w:rsid w:val="008D7A2A"/>
    <w:rsid w:val="008D7A2D"/>
    <w:rsid w:val="008D7DD7"/>
    <w:rsid w:val="008D7E31"/>
    <w:rsid w:val="008D7E8B"/>
    <w:rsid w:val="008D7EEB"/>
    <w:rsid w:val="008E01FC"/>
    <w:rsid w:val="008E0311"/>
    <w:rsid w:val="008E04D9"/>
    <w:rsid w:val="008E0711"/>
    <w:rsid w:val="008E079E"/>
    <w:rsid w:val="008E07AC"/>
    <w:rsid w:val="008E0875"/>
    <w:rsid w:val="008E0AEB"/>
    <w:rsid w:val="008E0AF2"/>
    <w:rsid w:val="008E0B7D"/>
    <w:rsid w:val="008E0E67"/>
    <w:rsid w:val="008E0E87"/>
    <w:rsid w:val="008E0E8D"/>
    <w:rsid w:val="008E1025"/>
    <w:rsid w:val="008E11A7"/>
    <w:rsid w:val="008E120E"/>
    <w:rsid w:val="008E122C"/>
    <w:rsid w:val="008E133C"/>
    <w:rsid w:val="008E13B8"/>
    <w:rsid w:val="008E1655"/>
    <w:rsid w:val="008E1720"/>
    <w:rsid w:val="008E189B"/>
    <w:rsid w:val="008E1987"/>
    <w:rsid w:val="008E1AA0"/>
    <w:rsid w:val="008E1D1B"/>
    <w:rsid w:val="008E21C5"/>
    <w:rsid w:val="008E22D1"/>
    <w:rsid w:val="008E2301"/>
    <w:rsid w:val="008E25A2"/>
    <w:rsid w:val="008E2C76"/>
    <w:rsid w:val="008E2D94"/>
    <w:rsid w:val="008E2DB5"/>
    <w:rsid w:val="008E317F"/>
    <w:rsid w:val="008E351E"/>
    <w:rsid w:val="008E3857"/>
    <w:rsid w:val="008E387E"/>
    <w:rsid w:val="008E38A5"/>
    <w:rsid w:val="008E3995"/>
    <w:rsid w:val="008E3B0D"/>
    <w:rsid w:val="008E3B3B"/>
    <w:rsid w:val="008E3C64"/>
    <w:rsid w:val="008E3C8A"/>
    <w:rsid w:val="008E3F0C"/>
    <w:rsid w:val="008E4120"/>
    <w:rsid w:val="008E457E"/>
    <w:rsid w:val="008E4699"/>
    <w:rsid w:val="008E4739"/>
    <w:rsid w:val="008E4885"/>
    <w:rsid w:val="008E48DB"/>
    <w:rsid w:val="008E4980"/>
    <w:rsid w:val="008E4B0E"/>
    <w:rsid w:val="008E4CA3"/>
    <w:rsid w:val="008E4E20"/>
    <w:rsid w:val="008E4EE6"/>
    <w:rsid w:val="008E51A6"/>
    <w:rsid w:val="008E520E"/>
    <w:rsid w:val="008E54F4"/>
    <w:rsid w:val="008E553F"/>
    <w:rsid w:val="008E5745"/>
    <w:rsid w:val="008E5C58"/>
    <w:rsid w:val="008E5DEF"/>
    <w:rsid w:val="008E5E35"/>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8AD"/>
    <w:rsid w:val="008F1943"/>
    <w:rsid w:val="008F1A17"/>
    <w:rsid w:val="008F1DD5"/>
    <w:rsid w:val="008F1E82"/>
    <w:rsid w:val="008F1F10"/>
    <w:rsid w:val="008F1F65"/>
    <w:rsid w:val="008F2055"/>
    <w:rsid w:val="008F2088"/>
    <w:rsid w:val="008F219C"/>
    <w:rsid w:val="008F2649"/>
    <w:rsid w:val="008F2981"/>
    <w:rsid w:val="008F29DD"/>
    <w:rsid w:val="008F2B18"/>
    <w:rsid w:val="008F2E09"/>
    <w:rsid w:val="008F2E96"/>
    <w:rsid w:val="008F316F"/>
    <w:rsid w:val="008F3218"/>
    <w:rsid w:val="008F3272"/>
    <w:rsid w:val="008F346A"/>
    <w:rsid w:val="008F3493"/>
    <w:rsid w:val="008F34C1"/>
    <w:rsid w:val="008F38AF"/>
    <w:rsid w:val="008F38B0"/>
    <w:rsid w:val="008F3993"/>
    <w:rsid w:val="008F3B5E"/>
    <w:rsid w:val="008F3C0D"/>
    <w:rsid w:val="008F3CD8"/>
    <w:rsid w:val="008F4053"/>
    <w:rsid w:val="008F409E"/>
    <w:rsid w:val="008F419D"/>
    <w:rsid w:val="008F4441"/>
    <w:rsid w:val="008F47EB"/>
    <w:rsid w:val="008F492D"/>
    <w:rsid w:val="008F4B25"/>
    <w:rsid w:val="008F4BED"/>
    <w:rsid w:val="008F4D55"/>
    <w:rsid w:val="008F4DF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AF5"/>
    <w:rsid w:val="008F6BC6"/>
    <w:rsid w:val="008F6CA6"/>
    <w:rsid w:val="008F6D73"/>
    <w:rsid w:val="008F6DDA"/>
    <w:rsid w:val="008F6F27"/>
    <w:rsid w:val="008F70A9"/>
    <w:rsid w:val="008F7175"/>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D6"/>
    <w:rsid w:val="009031F0"/>
    <w:rsid w:val="009032B5"/>
    <w:rsid w:val="009032CB"/>
    <w:rsid w:val="009032EB"/>
    <w:rsid w:val="009034D7"/>
    <w:rsid w:val="00903518"/>
    <w:rsid w:val="0090355B"/>
    <w:rsid w:val="009035C5"/>
    <w:rsid w:val="00903654"/>
    <w:rsid w:val="0090392B"/>
    <w:rsid w:val="00903C95"/>
    <w:rsid w:val="00903D4B"/>
    <w:rsid w:val="00903DF6"/>
    <w:rsid w:val="00903F56"/>
    <w:rsid w:val="0090414C"/>
    <w:rsid w:val="0090431E"/>
    <w:rsid w:val="00904452"/>
    <w:rsid w:val="00904519"/>
    <w:rsid w:val="0090459B"/>
    <w:rsid w:val="009046B4"/>
    <w:rsid w:val="009046F4"/>
    <w:rsid w:val="00904758"/>
    <w:rsid w:val="00904931"/>
    <w:rsid w:val="009049DB"/>
    <w:rsid w:val="00904A2C"/>
    <w:rsid w:val="00904AB2"/>
    <w:rsid w:val="00904F22"/>
    <w:rsid w:val="00904F80"/>
    <w:rsid w:val="00904FEF"/>
    <w:rsid w:val="009051C8"/>
    <w:rsid w:val="00905372"/>
    <w:rsid w:val="009053C5"/>
    <w:rsid w:val="00905409"/>
    <w:rsid w:val="00905433"/>
    <w:rsid w:val="00905829"/>
    <w:rsid w:val="00905879"/>
    <w:rsid w:val="0090593A"/>
    <w:rsid w:val="00905B1B"/>
    <w:rsid w:val="00905EFA"/>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6C"/>
    <w:rsid w:val="009100FA"/>
    <w:rsid w:val="009101CC"/>
    <w:rsid w:val="009103AF"/>
    <w:rsid w:val="009103F5"/>
    <w:rsid w:val="00910498"/>
    <w:rsid w:val="009106C0"/>
    <w:rsid w:val="00910E33"/>
    <w:rsid w:val="00911089"/>
    <w:rsid w:val="0091147C"/>
    <w:rsid w:val="00911732"/>
    <w:rsid w:val="009118A8"/>
    <w:rsid w:val="009118F9"/>
    <w:rsid w:val="009119BE"/>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85"/>
    <w:rsid w:val="00913AE9"/>
    <w:rsid w:val="00913B23"/>
    <w:rsid w:val="00913C0B"/>
    <w:rsid w:val="00913D46"/>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CA8"/>
    <w:rsid w:val="00915CD3"/>
    <w:rsid w:val="00915D0D"/>
    <w:rsid w:val="00915DE3"/>
    <w:rsid w:val="00915F90"/>
    <w:rsid w:val="00916168"/>
    <w:rsid w:val="009161D8"/>
    <w:rsid w:val="0091646D"/>
    <w:rsid w:val="0091659A"/>
    <w:rsid w:val="00916611"/>
    <w:rsid w:val="009167D0"/>
    <w:rsid w:val="00916923"/>
    <w:rsid w:val="009169FD"/>
    <w:rsid w:val="00916B5C"/>
    <w:rsid w:val="00916B6F"/>
    <w:rsid w:val="00916C4C"/>
    <w:rsid w:val="00916C9D"/>
    <w:rsid w:val="00916D7B"/>
    <w:rsid w:val="009170A2"/>
    <w:rsid w:val="00917166"/>
    <w:rsid w:val="009172F3"/>
    <w:rsid w:val="009173E2"/>
    <w:rsid w:val="00917781"/>
    <w:rsid w:val="0091792E"/>
    <w:rsid w:val="0091793D"/>
    <w:rsid w:val="00917BB0"/>
    <w:rsid w:val="00917C4A"/>
    <w:rsid w:val="00917C96"/>
    <w:rsid w:val="00917D9F"/>
    <w:rsid w:val="0092039D"/>
    <w:rsid w:val="0092045A"/>
    <w:rsid w:val="00920974"/>
    <w:rsid w:val="00920BD9"/>
    <w:rsid w:val="00920E0C"/>
    <w:rsid w:val="00920E7D"/>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5F"/>
    <w:rsid w:val="00922666"/>
    <w:rsid w:val="00922A5C"/>
    <w:rsid w:val="00922C7B"/>
    <w:rsid w:val="00922D73"/>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4C56"/>
    <w:rsid w:val="0092506E"/>
    <w:rsid w:val="0092516E"/>
    <w:rsid w:val="00925301"/>
    <w:rsid w:val="00925900"/>
    <w:rsid w:val="009259ED"/>
    <w:rsid w:val="00925A50"/>
    <w:rsid w:val="00925C2B"/>
    <w:rsid w:val="00925F9B"/>
    <w:rsid w:val="00925FE7"/>
    <w:rsid w:val="00926114"/>
    <w:rsid w:val="00926390"/>
    <w:rsid w:val="009264BE"/>
    <w:rsid w:val="00926678"/>
    <w:rsid w:val="00926900"/>
    <w:rsid w:val="0092693F"/>
    <w:rsid w:val="00926A40"/>
    <w:rsid w:val="00926A7F"/>
    <w:rsid w:val="00926CD6"/>
    <w:rsid w:val="00926EE4"/>
    <w:rsid w:val="00927176"/>
    <w:rsid w:val="009273CD"/>
    <w:rsid w:val="00927437"/>
    <w:rsid w:val="0092759B"/>
    <w:rsid w:val="00927724"/>
    <w:rsid w:val="00927779"/>
    <w:rsid w:val="00927857"/>
    <w:rsid w:val="00927937"/>
    <w:rsid w:val="0092794C"/>
    <w:rsid w:val="00927A44"/>
    <w:rsid w:val="00927AB5"/>
    <w:rsid w:val="00927AD0"/>
    <w:rsid w:val="00927DAC"/>
    <w:rsid w:val="00927EEA"/>
    <w:rsid w:val="00927FB1"/>
    <w:rsid w:val="0093025A"/>
    <w:rsid w:val="0093032F"/>
    <w:rsid w:val="0093044A"/>
    <w:rsid w:val="00930475"/>
    <w:rsid w:val="00930CD4"/>
    <w:rsid w:val="00930D50"/>
    <w:rsid w:val="00930E25"/>
    <w:rsid w:val="00931057"/>
    <w:rsid w:val="00931573"/>
    <w:rsid w:val="009316AC"/>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4BB"/>
    <w:rsid w:val="0093454A"/>
    <w:rsid w:val="009345CA"/>
    <w:rsid w:val="00934756"/>
    <w:rsid w:val="009347AF"/>
    <w:rsid w:val="00934889"/>
    <w:rsid w:val="00934922"/>
    <w:rsid w:val="0093495E"/>
    <w:rsid w:val="00934ADD"/>
    <w:rsid w:val="00934CA9"/>
    <w:rsid w:val="00935166"/>
    <w:rsid w:val="0093524E"/>
    <w:rsid w:val="009352AE"/>
    <w:rsid w:val="009353E3"/>
    <w:rsid w:val="00935484"/>
    <w:rsid w:val="00935487"/>
    <w:rsid w:val="009355CC"/>
    <w:rsid w:val="00935828"/>
    <w:rsid w:val="00935984"/>
    <w:rsid w:val="00935DD5"/>
    <w:rsid w:val="00935DF8"/>
    <w:rsid w:val="00935E26"/>
    <w:rsid w:val="009364BA"/>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49C"/>
    <w:rsid w:val="00941552"/>
    <w:rsid w:val="009415E7"/>
    <w:rsid w:val="00941804"/>
    <w:rsid w:val="009419D4"/>
    <w:rsid w:val="00941B0D"/>
    <w:rsid w:val="00941B61"/>
    <w:rsid w:val="00941C37"/>
    <w:rsid w:val="00941CBA"/>
    <w:rsid w:val="00941D26"/>
    <w:rsid w:val="00941DA6"/>
    <w:rsid w:val="00941F61"/>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D1A"/>
    <w:rsid w:val="00944E91"/>
    <w:rsid w:val="00944F0A"/>
    <w:rsid w:val="00945128"/>
    <w:rsid w:val="00945415"/>
    <w:rsid w:val="0094548B"/>
    <w:rsid w:val="009454FF"/>
    <w:rsid w:val="00945547"/>
    <w:rsid w:val="0094556D"/>
    <w:rsid w:val="009456BC"/>
    <w:rsid w:val="009458A7"/>
    <w:rsid w:val="009458E2"/>
    <w:rsid w:val="00945C95"/>
    <w:rsid w:val="009466C4"/>
    <w:rsid w:val="009466D1"/>
    <w:rsid w:val="0094680A"/>
    <w:rsid w:val="00946A28"/>
    <w:rsid w:val="00946C50"/>
    <w:rsid w:val="00946D93"/>
    <w:rsid w:val="00946E07"/>
    <w:rsid w:val="009470DF"/>
    <w:rsid w:val="0094741E"/>
    <w:rsid w:val="0094793C"/>
    <w:rsid w:val="00947996"/>
    <w:rsid w:val="009479FC"/>
    <w:rsid w:val="00947BAC"/>
    <w:rsid w:val="00947C4E"/>
    <w:rsid w:val="00947E1E"/>
    <w:rsid w:val="00947E39"/>
    <w:rsid w:val="009501DB"/>
    <w:rsid w:val="009506A0"/>
    <w:rsid w:val="00950759"/>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EA"/>
    <w:rsid w:val="00952A00"/>
    <w:rsid w:val="00952AEC"/>
    <w:rsid w:val="00952C00"/>
    <w:rsid w:val="00952D07"/>
    <w:rsid w:val="00952DFC"/>
    <w:rsid w:val="009532B9"/>
    <w:rsid w:val="00953334"/>
    <w:rsid w:val="00953480"/>
    <w:rsid w:val="00953AE8"/>
    <w:rsid w:val="00953B51"/>
    <w:rsid w:val="00953B82"/>
    <w:rsid w:val="00953BBC"/>
    <w:rsid w:val="00953CCE"/>
    <w:rsid w:val="00953D14"/>
    <w:rsid w:val="00953E01"/>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A97"/>
    <w:rsid w:val="00955C83"/>
    <w:rsid w:val="00955D9F"/>
    <w:rsid w:val="00955EC7"/>
    <w:rsid w:val="009561A9"/>
    <w:rsid w:val="0095623F"/>
    <w:rsid w:val="009563DE"/>
    <w:rsid w:val="00956432"/>
    <w:rsid w:val="00956448"/>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61D"/>
    <w:rsid w:val="00960966"/>
    <w:rsid w:val="00960BA3"/>
    <w:rsid w:val="00960CFA"/>
    <w:rsid w:val="00960D1E"/>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894"/>
    <w:rsid w:val="0096295E"/>
    <w:rsid w:val="00962B76"/>
    <w:rsid w:val="00962BFC"/>
    <w:rsid w:val="00962E75"/>
    <w:rsid w:val="00962F11"/>
    <w:rsid w:val="00963151"/>
    <w:rsid w:val="0096316F"/>
    <w:rsid w:val="00963797"/>
    <w:rsid w:val="00963A6D"/>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76"/>
    <w:rsid w:val="009669C3"/>
    <w:rsid w:val="00966A80"/>
    <w:rsid w:val="00966C45"/>
    <w:rsid w:val="00966C58"/>
    <w:rsid w:val="00966E9C"/>
    <w:rsid w:val="009670CA"/>
    <w:rsid w:val="00967109"/>
    <w:rsid w:val="00967186"/>
    <w:rsid w:val="00967305"/>
    <w:rsid w:val="0096766D"/>
    <w:rsid w:val="009678D1"/>
    <w:rsid w:val="009678F5"/>
    <w:rsid w:val="00967BBC"/>
    <w:rsid w:val="00967F2C"/>
    <w:rsid w:val="00970311"/>
    <w:rsid w:val="00970475"/>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135"/>
    <w:rsid w:val="009744CF"/>
    <w:rsid w:val="0097454C"/>
    <w:rsid w:val="009745DD"/>
    <w:rsid w:val="00974677"/>
    <w:rsid w:val="00974794"/>
    <w:rsid w:val="009749F3"/>
    <w:rsid w:val="00974A3D"/>
    <w:rsid w:val="00974D0D"/>
    <w:rsid w:val="00974EBD"/>
    <w:rsid w:val="00974F61"/>
    <w:rsid w:val="00974FA3"/>
    <w:rsid w:val="00975142"/>
    <w:rsid w:val="00975356"/>
    <w:rsid w:val="00975458"/>
    <w:rsid w:val="009756EE"/>
    <w:rsid w:val="009757F8"/>
    <w:rsid w:val="00975AF3"/>
    <w:rsid w:val="00975E64"/>
    <w:rsid w:val="00975E6F"/>
    <w:rsid w:val="0097605F"/>
    <w:rsid w:val="009764D3"/>
    <w:rsid w:val="009766C9"/>
    <w:rsid w:val="009767AD"/>
    <w:rsid w:val="00976BA0"/>
    <w:rsid w:val="00976DAE"/>
    <w:rsid w:val="00976FE2"/>
    <w:rsid w:val="0097706C"/>
    <w:rsid w:val="009770B6"/>
    <w:rsid w:val="009772D9"/>
    <w:rsid w:val="0097753E"/>
    <w:rsid w:val="0097770B"/>
    <w:rsid w:val="0097787C"/>
    <w:rsid w:val="00977D9B"/>
    <w:rsid w:val="00977EC9"/>
    <w:rsid w:val="00980067"/>
    <w:rsid w:val="009800F1"/>
    <w:rsid w:val="009801ED"/>
    <w:rsid w:val="00980306"/>
    <w:rsid w:val="0098039E"/>
    <w:rsid w:val="00980613"/>
    <w:rsid w:val="00980D1A"/>
    <w:rsid w:val="00980D39"/>
    <w:rsid w:val="00980D6D"/>
    <w:rsid w:val="00980FB2"/>
    <w:rsid w:val="009813F4"/>
    <w:rsid w:val="00981512"/>
    <w:rsid w:val="00981627"/>
    <w:rsid w:val="009816DA"/>
    <w:rsid w:val="009817AE"/>
    <w:rsid w:val="00981A59"/>
    <w:rsid w:val="00981B7A"/>
    <w:rsid w:val="00981D25"/>
    <w:rsid w:val="00981F2A"/>
    <w:rsid w:val="00982124"/>
    <w:rsid w:val="00982646"/>
    <w:rsid w:val="0098280D"/>
    <w:rsid w:val="00982846"/>
    <w:rsid w:val="00982B90"/>
    <w:rsid w:val="00982BCA"/>
    <w:rsid w:val="00982E36"/>
    <w:rsid w:val="00982FC1"/>
    <w:rsid w:val="00983086"/>
    <w:rsid w:val="00983167"/>
    <w:rsid w:val="009832BA"/>
    <w:rsid w:val="00983485"/>
    <w:rsid w:val="009834FB"/>
    <w:rsid w:val="00983515"/>
    <w:rsid w:val="009835BA"/>
    <w:rsid w:val="00983649"/>
    <w:rsid w:val="00983665"/>
    <w:rsid w:val="009838E1"/>
    <w:rsid w:val="00983B05"/>
    <w:rsid w:val="00983B2D"/>
    <w:rsid w:val="00983BA2"/>
    <w:rsid w:val="00983BDA"/>
    <w:rsid w:val="00983CD5"/>
    <w:rsid w:val="00983E2D"/>
    <w:rsid w:val="00984264"/>
    <w:rsid w:val="009843C8"/>
    <w:rsid w:val="009844E2"/>
    <w:rsid w:val="00984762"/>
    <w:rsid w:val="00984C22"/>
    <w:rsid w:val="00984C2D"/>
    <w:rsid w:val="00984F3E"/>
    <w:rsid w:val="0098559C"/>
    <w:rsid w:val="009855CA"/>
    <w:rsid w:val="0098561C"/>
    <w:rsid w:val="00985776"/>
    <w:rsid w:val="0098588E"/>
    <w:rsid w:val="009859AE"/>
    <w:rsid w:val="00985C56"/>
    <w:rsid w:val="00985DB1"/>
    <w:rsid w:val="00985DB5"/>
    <w:rsid w:val="00986012"/>
    <w:rsid w:val="009861E6"/>
    <w:rsid w:val="009863BF"/>
    <w:rsid w:val="0098652B"/>
    <w:rsid w:val="00986575"/>
    <w:rsid w:val="00986620"/>
    <w:rsid w:val="0098674B"/>
    <w:rsid w:val="0098683B"/>
    <w:rsid w:val="00986CBA"/>
    <w:rsid w:val="00986ED7"/>
    <w:rsid w:val="00986F1D"/>
    <w:rsid w:val="0098702C"/>
    <w:rsid w:val="009870F0"/>
    <w:rsid w:val="0098710B"/>
    <w:rsid w:val="0098719F"/>
    <w:rsid w:val="009871BA"/>
    <w:rsid w:val="009872D5"/>
    <w:rsid w:val="009875F9"/>
    <w:rsid w:val="009876AF"/>
    <w:rsid w:val="009878B7"/>
    <w:rsid w:val="009878F1"/>
    <w:rsid w:val="00987C81"/>
    <w:rsid w:val="00987E04"/>
    <w:rsid w:val="00987E37"/>
    <w:rsid w:val="00987F4F"/>
    <w:rsid w:val="009900E4"/>
    <w:rsid w:val="009902AA"/>
    <w:rsid w:val="00990830"/>
    <w:rsid w:val="00990931"/>
    <w:rsid w:val="009909D9"/>
    <w:rsid w:val="00990A84"/>
    <w:rsid w:val="00990B54"/>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27"/>
    <w:rsid w:val="00992889"/>
    <w:rsid w:val="00992A8F"/>
    <w:rsid w:val="00992DE3"/>
    <w:rsid w:val="00992F7D"/>
    <w:rsid w:val="00992FD0"/>
    <w:rsid w:val="00993099"/>
    <w:rsid w:val="009930E6"/>
    <w:rsid w:val="0099332D"/>
    <w:rsid w:val="009935B7"/>
    <w:rsid w:val="009935D8"/>
    <w:rsid w:val="009937F9"/>
    <w:rsid w:val="0099394B"/>
    <w:rsid w:val="00993E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849"/>
    <w:rsid w:val="00997964"/>
    <w:rsid w:val="00997980"/>
    <w:rsid w:val="00997A24"/>
    <w:rsid w:val="00997C0F"/>
    <w:rsid w:val="00997C38"/>
    <w:rsid w:val="00997E08"/>
    <w:rsid w:val="00997F4A"/>
    <w:rsid w:val="009A037B"/>
    <w:rsid w:val="009A039D"/>
    <w:rsid w:val="009A068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C7D"/>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3F2A"/>
    <w:rsid w:val="009A4142"/>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635"/>
    <w:rsid w:val="009B06EB"/>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9F1"/>
    <w:rsid w:val="009B3B02"/>
    <w:rsid w:val="009B3B31"/>
    <w:rsid w:val="009B3D69"/>
    <w:rsid w:val="009B42A4"/>
    <w:rsid w:val="009B4A56"/>
    <w:rsid w:val="009B4CE1"/>
    <w:rsid w:val="009B4D06"/>
    <w:rsid w:val="009B4DE3"/>
    <w:rsid w:val="009B4F35"/>
    <w:rsid w:val="009B4F9A"/>
    <w:rsid w:val="009B4FA4"/>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C08"/>
    <w:rsid w:val="009B6F5D"/>
    <w:rsid w:val="009B6FA1"/>
    <w:rsid w:val="009B70AE"/>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87A"/>
    <w:rsid w:val="009C5918"/>
    <w:rsid w:val="009C5925"/>
    <w:rsid w:val="009C5AA7"/>
    <w:rsid w:val="009C5EB4"/>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485"/>
    <w:rsid w:val="009C755F"/>
    <w:rsid w:val="009C7804"/>
    <w:rsid w:val="009C7852"/>
    <w:rsid w:val="009C7C16"/>
    <w:rsid w:val="009C7D21"/>
    <w:rsid w:val="009C7E9A"/>
    <w:rsid w:val="009D0408"/>
    <w:rsid w:val="009D0438"/>
    <w:rsid w:val="009D0574"/>
    <w:rsid w:val="009D0B12"/>
    <w:rsid w:val="009D0B7C"/>
    <w:rsid w:val="009D0C73"/>
    <w:rsid w:val="009D119A"/>
    <w:rsid w:val="009D12F6"/>
    <w:rsid w:val="009D13EC"/>
    <w:rsid w:val="009D1498"/>
    <w:rsid w:val="009D15FE"/>
    <w:rsid w:val="009D1B04"/>
    <w:rsid w:val="009D1B62"/>
    <w:rsid w:val="009D1DCB"/>
    <w:rsid w:val="009D20C1"/>
    <w:rsid w:val="009D20E9"/>
    <w:rsid w:val="009D2457"/>
    <w:rsid w:val="009D245C"/>
    <w:rsid w:val="009D25F7"/>
    <w:rsid w:val="009D28AF"/>
    <w:rsid w:val="009D2956"/>
    <w:rsid w:val="009D2B35"/>
    <w:rsid w:val="009D2C7A"/>
    <w:rsid w:val="009D2D1D"/>
    <w:rsid w:val="009D2F61"/>
    <w:rsid w:val="009D3025"/>
    <w:rsid w:val="009D3106"/>
    <w:rsid w:val="009D3199"/>
    <w:rsid w:val="009D31EE"/>
    <w:rsid w:val="009D337F"/>
    <w:rsid w:val="009D3590"/>
    <w:rsid w:val="009D35BF"/>
    <w:rsid w:val="009D378C"/>
    <w:rsid w:val="009D37E8"/>
    <w:rsid w:val="009D3993"/>
    <w:rsid w:val="009D3D7C"/>
    <w:rsid w:val="009D3E35"/>
    <w:rsid w:val="009D4386"/>
    <w:rsid w:val="009D4864"/>
    <w:rsid w:val="009D4913"/>
    <w:rsid w:val="009D4A96"/>
    <w:rsid w:val="009D4C73"/>
    <w:rsid w:val="009D5094"/>
    <w:rsid w:val="009D517D"/>
    <w:rsid w:val="009D5211"/>
    <w:rsid w:val="009D5216"/>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1"/>
    <w:rsid w:val="009D6DEC"/>
    <w:rsid w:val="009D7066"/>
    <w:rsid w:val="009D7125"/>
    <w:rsid w:val="009D7370"/>
    <w:rsid w:val="009D74B0"/>
    <w:rsid w:val="009D7711"/>
    <w:rsid w:val="009D77C0"/>
    <w:rsid w:val="009D7893"/>
    <w:rsid w:val="009D796B"/>
    <w:rsid w:val="009D7B8A"/>
    <w:rsid w:val="009D7E82"/>
    <w:rsid w:val="009E0096"/>
    <w:rsid w:val="009E00E4"/>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BDF"/>
    <w:rsid w:val="009E2C1A"/>
    <w:rsid w:val="009E2C89"/>
    <w:rsid w:val="009E2EA3"/>
    <w:rsid w:val="009E2FCC"/>
    <w:rsid w:val="009E301B"/>
    <w:rsid w:val="009E334B"/>
    <w:rsid w:val="009E341A"/>
    <w:rsid w:val="009E3452"/>
    <w:rsid w:val="009E3524"/>
    <w:rsid w:val="009E35B0"/>
    <w:rsid w:val="009E3610"/>
    <w:rsid w:val="009E3795"/>
    <w:rsid w:val="009E3806"/>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45"/>
    <w:rsid w:val="009E4F88"/>
    <w:rsid w:val="009E5002"/>
    <w:rsid w:val="009E51DD"/>
    <w:rsid w:val="009E5207"/>
    <w:rsid w:val="009E542B"/>
    <w:rsid w:val="009E5532"/>
    <w:rsid w:val="009E55D6"/>
    <w:rsid w:val="009E5645"/>
    <w:rsid w:val="009E5663"/>
    <w:rsid w:val="009E56A8"/>
    <w:rsid w:val="009E57C7"/>
    <w:rsid w:val="009E5E6E"/>
    <w:rsid w:val="009E5F18"/>
    <w:rsid w:val="009E6037"/>
    <w:rsid w:val="009E6BC6"/>
    <w:rsid w:val="009E6C00"/>
    <w:rsid w:val="009E6C81"/>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958"/>
    <w:rsid w:val="009F0ADE"/>
    <w:rsid w:val="009F0B73"/>
    <w:rsid w:val="009F0E1E"/>
    <w:rsid w:val="009F0F54"/>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4D4E"/>
    <w:rsid w:val="009F50B1"/>
    <w:rsid w:val="009F524F"/>
    <w:rsid w:val="009F566E"/>
    <w:rsid w:val="009F583C"/>
    <w:rsid w:val="009F5B57"/>
    <w:rsid w:val="009F5C3D"/>
    <w:rsid w:val="009F5FD6"/>
    <w:rsid w:val="009F60B3"/>
    <w:rsid w:val="009F6449"/>
    <w:rsid w:val="009F6450"/>
    <w:rsid w:val="009F6741"/>
    <w:rsid w:val="009F68B6"/>
    <w:rsid w:val="009F6970"/>
    <w:rsid w:val="009F711D"/>
    <w:rsid w:val="009F7222"/>
    <w:rsid w:val="009F7264"/>
    <w:rsid w:val="009F73F2"/>
    <w:rsid w:val="009F74AC"/>
    <w:rsid w:val="009F74B5"/>
    <w:rsid w:val="009F75A6"/>
    <w:rsid w:val="009F75A9"/>
    <w:rsid w:val="009F7812"/>
    <w:rsid w:val="009F7AD6"/>
    <w:rsid w:val="009F7C05"/>
    <w:rsid w:val="009F7CDC"/>
    <w:rsid w:val="009F7F28"/>
    <w:rsid w:val="009F7F91"/>
    <w:rsid w:val="00A00535"/>
    <w:rsid w:val="00A0057C"/>
    <w:rsid w:val="00A0059D"/>
    <w:rsid w:val="00A007DD"/>
    <w:rsid w:val="00A009C4"/>
    <w:rsid w:val="00A009CF"/>
    <w:rsid w:val="00A009E2"/>
    <w:rsid w:val="00A01078"/>
    <w:rsid w:val="00A0111F"/>
    <w:rsid w:val="00A011FA"/>
    <w:rsid w:val="00A012B5"/>
    <w:rsid w:val="00A0133B"/>
    <w:rsid w:val="00A013BA"/>
    <w:rsid w:val="00A01490"/>
    <w:rsid w:val="00A016F9"/>
    <w:rsid w:val="00A01802"/>
    <w:rsid w:val="00A01A5F"/>
    <w:rsid w:val="00A01BCA"/>
    <w:rsid w:val="00A01BFF"/>
    <w:rsid w:val="00A01EA9"/>
    <w:rsid w:val="00A01F0D"/>
    <w:rsid w:val="00A02068"/>
    <w:rsid w:val="00A0215A"/>
    <w:rsid w:val="00A0218A"/>
    <w:rsid w:val="00A0224F"/>
    <w:rsid w:val="00A022C7"/>
    <w:rsid w:val="00A02376"/>
    <w:rsid w:val="00A02424"/>
    <w:rsid w:val="00A02688"/>
    <w:rsid w:val="00A026D7"/>
    <w:rsid w:val="00A02770"/>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18"/>
    <w:rsid w:val="00A0479D"/>
    <w:rsid w:val="00A047C7"/>
    <w:rsid w:val="00A049E0"/>
    <w:rsid w:val="00A049F3"/>
    <w:rsid w:val="00A049F4"/>
    <w:rsid w:val="00A04D9D"/>
    <w:rsid w:val="00A04F3B"/>
    <w:rsid w:val="00A055A7"/>
    <w:rsid w:val="00A05737"/>
    <w:rsid w:val="00A058B5"/>
    <w:rsid w:val="00A0590B"/>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9F9"/>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FD"/>
    <w:rsid w:val="00A121AA"/>
    <w:rsid w:val="00A121C0"/>
    <w:rsid w:val="00A121C1"/>
    <w:rsid w:val="00A1225D"/>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2CE"/>
    <w:rsid w:val="00A14487"/>
    <w:rsid w:val="00A148D9"/>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7C6"/>
    <w:rsid w:val="00A16832"/>
    <w:rsid w:val="00A1693A"/>
    <w:rsid w:val="00A16A4C"/>
    <w:rsid w:val="00A16E80"/>
    <w:rsid w:val="00A171B9"/>
    <w:rsid w:val="00A1734A"/>
    <w:rsid w:val="00A1754C"/>
    <w:rsid w:val="00A17B6D"/>
    <w:rsid w:val="00A17E74"/>
    <w:rsid w:val="00A20025"/>
    <w:rsid w:val="00A204D3"/>
    <w:rsid w:val="00A2051B"/>
    <w:rsid w:val="00A2089C"/>
    <w:rsid w:val="00A208B8"/>
    <w:rsid w:val="00A20955"/>
    <w:rsid w:val="00A209C2"/>
    <w:rsid w:val="00A20C31"/>
    <w:rsid w:val="00A20D11"/>
    <w:rsid w:val="00A20D2E"/>
    <w:rsid w:val="00A20EE3"/>
    <w:rsid w:val="00A2132C"/>
    <w:rsid w:val="00A216AC"/>
    <w:rsid w:val="00A21741"/>
    <w:rsid w:val="00A21B43"/>
    <w:rsid w:val="00A21C30"/>
    <w:rsid w:val="00A21CA7"/>
    <w:rsid w:val="00A21E12"/>
    <w:rsid w:val="00A21EDB"/>
    <w:rsid w:val="00A21FB9"/>
    <w:rsid w:val="00A22069"/>
    <w:rsid w:val="00A22218"/>
    <w:rsid w:val="00A22468"/>
    <w:rsid w:val="00A2263B"/>
    <w:rsid w:val="00A226E6"/>
    <w:rsid w:val="00A226EC"/>
    <w:rsid w:val="00A22761"/>
    <w:rsid w:val="00A227CD"/>
    <w:rsid w:val="00A229FA"/>
    <w:rsid w:val="00A22A1B"/>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C2B"/>
    <w:rsid w:val="00A24D05"/>
    <w:rsid w:val="00A24D0E"/>
    <w:rsid w:val="00A24D34"/>
    <w:rsid w:val="00A24DDE"/>
    <w:rsid w:val="00A251E7"/>
    <w:rsid w:val="00A25225"/>
    <w:rsid w:val="00A2522E"/>
    <w:rsid w:val="00A2535B"/>
    <w:rsid w:val="00A2540B"/>
    <w:rsid w:val="00A2545C"/>
    <w:rsid w:val="00A2574F"/>
    <w:rsid w:val="00A2583F"/>
    <w:rsid w:val="00A25AF4"/>
    <w:rsid w:val="00A25FB4"/>
    <w:rsid w:val="00A25FF9"/>
    <w:rsid w:val="00A26236"/>
    <w:rsid w:val="00A2624E"/>
    <w:rsid w:val="00A2631D"/>
    <w:rsid w:val="00A263E1"/>
    <w:rsid w:val="00A2645C"/>
    <w:rsid w:val="00A2658F"/>
    <w:rsid w:val="00A26728"/>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8A7"/>
    <w:rsid w:val="00A27902"/>
    <w:rsid w:val="00A2791C"/>
    <w:rsid w:val="00A279CA"/>
    <w:rsid w:val="00A279D2"/>
    <w:rsid w:val="00A3000B"/>
    <w:rsid w:val="00A300F2"/>
    <w:rsid w:val="00A3021E"/>
    <w:rsid w:val="00A302D1"/>
    <w:rsid w:val="00A303ED"/>
    <w:rsid w:val="00A30418"/>
    <w:rsid w:val="00A304B6"/>
    <w:rsid w:val="00A30656"/>
    <w:rsid w:val="00A3088A"/>
    <w:rsid w:val="00A3088C"/>
    <w:rsid w:val="00A30BA2"/>
    <w:rsid w:val="00A30C77"/>
    <w:rsid w:val="00A30DDC"/>
    <w:rsid w:val="00A30E47"/>
    <w:rsid w:val="00A30E50"/>
    <w:rsid w:val="00A30E9C"/>
    <w:rsid w:val="00A31033"/>
    <w:rsid w:val="00A31351"/>
    <w:rsid w:val="00A313F7"/>
    <w:rsid w:val="00A3152B"/>
    <w:rsid w:val="00A31785"/>
    <w:rsid w:val="00A317FB"/>
    <w:rsid w:val="00A3180A"/>
    <w:rsid w:val="00A31840"/>
    <w:rsid w:val="00A318A3"/>
    <w:rsid w:val="00A31AC6"/>
    <w:rsid w:val="00A31C70"/>
    <w:rsid w:val="00A3206A"/>
    <w:rsid w:val="00A32AD1"/>
    <w:rsid w:val="00A32F82"/>
    <w:rsid w:val="00A32F9B"/>
    <w:rsid w:val="00A3329D"/>
    <w:rsid w:val="00A33388"/>
    <w:rsid w:val="00A333AF"/>
    <w:rsid w:val="00A334BD"/>
    <w:rsid w:val="00A33572"/>
    <w:rsid w:val="00A335A1"/>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1A"/>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997"/>
    <w:rsid w:val="00A40B6D"/>
    <w:rsid w:val="00A40DEB"/>
    <w:rsid w:val="00A40F76"/>
    <w:rsid w:val="00A40FC0"/>
    <w:rsid w:val="00A413AC"/>
    <w:rsid w:val="00A41423"/>
    <w:rsid w:val="00A41471"/>
    <w:rsid w:val="00A418C4"/>
    <w:rsid w:val="00A41937"/>
    <w:rsid w:val="00A41957"/>
    <w:rsid w:val="00A41D5F"/>
    <w:rsid w:val="00A41DEA"/>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61"/>
    <w:rsid w:val="00A449F5"/>
    <w:rsid w:val="00A44AA1"/>
    <w:rsid w:val="00A44BC9"/>
    <w:rsid w:val="00A44CF1"/>
    <w:rsid w:val="00A44F34"/>
    <w:rsid w:val="00A450C5"/>
    <w:rsid w:val="00A45477"/>
    <w:rsid w:val="00A456F5"/>
    <w:rsid w:val="00A45996"/>
    <w:rsid w:val="00A45BA7"/>
    <w:rsid w:val="00A45E83"/>
    <w:rsid w:val="00A45EBE"/>
    <w:rsid w:val="00A45ECC"/>
    <w:rsid w:val="00A4609C"/>
    <w:rsid w:val="00A463AA"/>
    <w:rsid w:val="00A46543"/>
    <w:rsid w:val="00A46562"/>
    <w:rsid w:val="00A46638"/>
    <w:rsid w:val="00A46773"/>
    <w:rsid w:val="00A46784"/>
    <w:rsid w:val="00A468D6"/>
    <w:rsid w:val="00A46920"/>
    <w:rsid w:val="00A46A25"/>
    <w:rsid w:val="00A46ABC"/>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47FAE"/>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4F5"/>
    <w:rsid w:val="00A537D1"/>
    <w:rsid w:val="00A53968"/>
    <w:rsid w:val="00A53A7F"/>
    <w:rsid w:val="00A53C4E"/>
    <w:rsid w:val="00A541E1"/>
    <w:rsid w:val="00A54649"/>
    <w:rsid w:val="00A54E67"/>
    <w:rsid w:val="00A54FF3"/>
    <w:rsid w:val="00A55128"/>
    <w:rsid w:val="00A554DD"/>
    <w:rsid w:val="00A55588"/>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A58"/>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DFA"/>
    <w:rsid w:val="00A63E58"/>
    <w:rsid w:val="00A63F43"/>
    <w:rsid w:val="00A645A1"/>
    <w:rsid w:val="00A64730"/>
    <w:rsid w:val="00A647FB"/>
    <w:rsid w:val="00A64839"/>
    <w:rsid w:val="00A648B6"/>
    <w:rsid w:val="00A648F1"/>
    <w:rsid w:val="00A64A17"/>
    <w:rsid w:val="00A64D99"/>
    <w:rsid w:val="00A64F6B"/>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B64"/>
    <w:rsid w:val="00A66BE6"/>
    <w:rsid w:val="00A66DE0"/>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432"/>
    <w:rsid w:val="00A70963"/>
    <w:rsid w:val="00A71033"/>
    <w:rsid w:val="00A7112F"/>
    <w:rsid w:val="00A711B8"/>
    <w:rsid w:val="00A713CD"/>
    <w:rsid w:val="00A715AE"/>
    <w:rsid w:val="00A716FA"/>
    <w:rsid w:val="00A71B9D"/>
    <w:rsid w:val="00A71D53"/>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5AF"/>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0A6"/>
    <w:rsid w:val="00A773D5"/>
    <w:rsid w:val="00A774BE"/>
    <w:rsid w:val="00A77571"/>
    <w:rsid w:val="00A77B40"/>
    <w:rsid w:val="00A77BC8"/>
    <w:rsid w:val="00A77C2B"/>
    <w:rsid w:val="00A77DCE"/>
    <w:rsid w:val="00A80343"/>
    <w:rsid w:val="00A80394"/>
    <w:rsid w:val="00A80413"/>
    <w:rsid w:val="00A80781"/>
    <w:rsid w:val="00A8096A"/>
    <w:rsid w:val="00A80A00"/>
    <w:rsid w:val="00A80B26"/>
    <w:rsid w:val="00A80DA1"/>
    <w:rsid w:val="00A80FA1"/>
    <w:rsid w:val="00A80FAD"/>
    <w:rsid w:val="00A810EC"/>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CB4"/>
    <w:rsid w:val="00A83D5B"/>
    <w:rsid w:val="00A83E46"/>
    <w:rsid w:val="00A83E60"/>
    <w:rsid w:val="00A83E7D"/>
    <w:rsid w:val="00A83EB5"/>
    <w:rsid w:val="00A83ED4"/>
    <w:rsid w:val="00A840CC"/>
    <w:rsid w:val="00A84104"/>
    <w:rsid w:val="00A841B8"/>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F3A"/>
    <w:rsid w:val="00A860FC"/>
    <w:rsid w:val="00A863BB"/>
    <w:rsid w:val="00A863EE"/>
    <w:rsid w:val="00A8659C"/>
    <w:rsid w:val="00A86623"/>
    <w:rsid w:val="00A866B9"/>
    <w:rsid w:val="00A8681C"/>
    <w:rsid w:val="00A86A11"/>
    <w:rsid w:val="00A86A38"/>
    <w:rsid w:val="00A86BE0"/>
    <w:rsid w:val="00A86C62"/>
    <w:rsid w:val="00A86CD0"/>
    <w:rsid w:val="00A87409"/>
    <w:rsid w:val="00A8744E"/>
    <w:rsid w:val="00A875B4"/>
    <w:rsid w:val="00A875B5"/>
    <w:rsid w:val="00A87862"/>
    <w:rsid w:val="00A878F7"/>
    <w:rsid w:val="00A879FD"/>
    <w:rsid w:val="00A87B08"/>
    <w:rsid w:val="00A87E09"/>
    <w:rsid w:val="00A87FC3"/>
    <w:rsid w:val="00A90174"/>
    <w:rsid w:val="00A90298"/>
    <w:rsid w:val="00A902D0"/>
    <w:rsid w:val="00A9033A"/>
    <w:rsid w:val="00A904EB"/>
    <w:rsid w:val="00A90654"/>
    <w:rsid w:val="00A9066E"/>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DEA"/>
    <w:rsid w:val="00A92FBB"/>
    <w:rsid w:val="00A93079"/>
    <w:rsid w:val="00A93176"/>
    <w:rsid w:val="00A9322C"/>
    <w:rsid w:val="00A934D0"/>
    <w:rsid w:val="00A934DB"/>
    <w:rsid w:val="00A93651"/>
    <w:rsid w:val="00A936A3"/>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85"/>
    <w:rsid w:val="00A94CBC"/>
    <w:rsid w:val="00A94F51"/>
    <w:rsid w:val="00A953F1"/>
    <w:rsid w:val="00A9556D"/>
    <w:rsid w:val="00A9559B"/>
    <w:rsid w:val="00A955AA"/>
    <w:rsid w:val="00A9573F"/>
    <w:rsid w:val="00A95754"/>
    <w:rsid w:val="00A95AAB"/>
    <w:rsid w:val="00A95BE5"/>
    <w:rsid w:val="00A96078"/>
    <w:rsid w:val="00A960D2"/>
    <w:rsid w:val="00A962D5"/>
    <w:rsid w:val="00A96321"/>
    <w:rsid w:val="00A963AA"/>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506"/>
    <w:rsid w:val="00AA080E"/>
    <w:rsid w:val="00AA0824"/>
    <w:rsid w:val="00AA08AC"/>
    <w:rsid w:val="00AA08DF"/>
    <w:rsid w:val="00AA0B13"/>
    <w:rsid w:val="00AA0CCA"/>
    <w:rsid w:val="00AA0E8D"/>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85"/>
    <w:rsid w:val="00AA24F6"/>
    <w:rsid w:val="00AA25BE"/>
    <w:rsid w:val="00AA2784"/>
    <w:rsid w:val="00AA281A"/>
    <w:rsid w:val="00AA28FF"/>
    <w:rsid w:val="00AA2BE9"/>
    <w:rsid w:val="00AA2CF8"/>
    <w:rsid w:val="00AA2D68"/>
    <w:rsid w:val="00AA2E12"/>
    <w:rsid w:val="00AA2E3F"/>
    <w:rsid w:val="00AA2EE6"/>
    <w:rsid w:val="00AA3231"/>
    <w:rsid w:val="00AA3319"/>
    <w:rsid w:val="00AA3402"/>
    <w:rsid w:val="00AA3455"/>
    <w:rsid w:val="00AA35F0"/>
    <w:rsid w:val="00AA38A5"/>
    <w:rsid w:val="00AA3A7F"/>
    <w:rsid w:val="00AA3C48"/>
    <w:rsid w:val="00AA3EA4"/>
    <w:rsid w:val="00AA402C"/>
    <w:rsid w:val="00AA4126"/>
    <w:rsid w:val="00AA4384"/>
    <w:rsid w:val="00AA4C5E"/>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9FD"/>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4D2"/>
    <w:rsid w:val="00AB14F0"/>
    <w:rsid w:val="00AB1690"/>
    <w:rsid w:val="00AB188D"/>
    <w:rsid w:val="00AB1A0D"/>
    <w:rsid w:val="00AB1E15"/>
    <w:rsid w:val="00AB1F49"/>
    <w:rsid w:val="00AB2155"/>
    <w:rsid w:val="00AB2167"/>
    <w:rsid w:val="00AB2179"/>
    <w:rsid w:val="00AB22EB"/>
    <w:rsid w:val="00AB2467"/>
    <w:rsid w:val="00AB24AC"/>
    <w:rsid w:val="00AB2A1E"/>
    <w:rsid w:val="00AB2BA3"/>
    <w:rsid w:val="00AB2C8C"/>
    <w:rsid w:val="00AB307C"/>
    <w:rsid w:val="00AB319E"/>
    <w:rsid w:val="00AB358B"/>
    <w:rsid w:val="00AB3629"/>
    <w:rsid w:val="00AB36D9"/>
    <w:rsid w:val="00AB37CE"/>
    <w:rsid w:val="00AB380E"/>
    <w:rsid w:val="00AB3ACA"/>
    <w:rsid w:val="00AB3ACF"/>
    <w:rsid w:val="00AB3C3C"/>
    <w:rsid w:val="00AB3CC4"/>
    <w:rsid w:val="00AB3D56"/>
    <w:rsid w:val="00AB3ED6"/>
    <w:rsid w:val="00AB3F60"/>
    <w:rsid w:val="00AB3FEA"/>
    <w:rsid w:val="00AB4005"/>
    <w:rsid w:val="00AB400F"/>
    <w:rsid w:val="00AB423A"/>
    <w:rsid w:val="00AB42C4"/>
    <w:rsid w:val="00AB4399"/>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A48"/>
    <w:rsid w:val="00AB5C2D"/>
    <w:rsid w:val="00AB5F16"/>
    <w:rsid w:val="00AB5FAD"/>
    <w:rsid w:val="00AB6192"/>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B7D6A"/>
    <w:rsid w:val="00AC0000"/>
    <w:rsid w:val="00AC0052"/>
    <w:rsid w:val="00AC014B"/>
    <w:rsid w:val="00AC0157"/>
    <w:rsid w:val="00AC044A"/>
    <w:rsid w:val="00AC0AFE"/>
    <w:rsid w:val="00AC0CF8"/>
    <w:rsid w:val="00AC0DD5"/>
    <w:rsid w:val="00AC101A"/>
    <w:rsid w:val="00AC1455"/>
    <w:rsid w:val="00AC151D"/>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402"/>
    <w:rsid w:val="00AC45D2"/>
    <w:rsid w:val="00AC46C8"/>
    <w:rsid w:val="00AC48BE"/>
    <w:rsid w:val="00AC49A1"/>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324"/>
    <w:rsid w:val="00AC6491"/>
    <w:rsid w:val="00AC6556"/>
    <w:rsid w:val="00AC6784"/>
    <w:rsid w:val="00AC69F2"/>
    <w:rsid w:val="00AC6A77"/>
    <w:rsid w:val="00AC6B8C"/>
    <w:rsid w:val="00AC6C37"/>
    <w:rsid w:val="00AC70C3"/>
    <w:rsid w:val="00AC7344"/>
    <w:rsid w:val="00AC73F7"/>
    <w:rsid w:val="00AC75EC"/>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281"/>
    <w:rsid w:val="00AD1443"/>
    <w:rsid w:val="00AD1444"/>
    <w:rsid w:val="00AD14F9"/>
    <w:rsid w:val="00AD1542"/>
    <w:rsid w:val="00AD1841"/>
    <w:rsid w:val="00AD199D"/>
    <w:rsid w:val="00AD1BBF"/>
    <w:rsid w:val="00AD1CF7"/>
    <w:rsid w:val="00AD1DDB"/>
    <w:rsid w:val="00AD1E63"/>
    <w:rsid w:val="00AD1EF8"/>
    <w:rsid w:val="00AD1FC9"/>
    <w:rsid w:val="00AD20DC"/>
    <w:rsid w:val="00AD20FE"/>
    <w:rsid w:val="00AD2379"/>
    <w:rsid w:val="00AD2391"/>
    <w:rsid w:val="00AD262A"/>
    <w:rsid w:val="00AD2673"/>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0"/>
    <w:rsid w:val="00AD403A"/>
    <w:rsid w:val="00AD422B"/>
    <w:rsid w:val="00AD4515"/>
    <w:rsid w:val="00AD4607"/>
    <w:rsid w:val="00AD46B6"/>
    <w:rsid w:val="00AD482F"/>
    <w:rsid w:val="00AD494B"/>
    <w:rsid w:val="00AD4B3E"/>
    <w:rsid w:val="00AD4E3A"/>
    <w:rsid w:val="00AD5023"/>
    <w:rsid w:val="00AD5197"/>
    <w:rsid w:val="00AD51F8"/>
    <w:rsid w:val="00AD52CB"/>
    <w:rsid w:val="00AD530D"/>
    <w:rsid w:val="00AD531B"/>
    <w:rsid w:val="00AD57E9"/>
    <w:rsid w:val="00AD596E"/>
    <w:rsid w:val="00AD5DF7"/>
    <w:rsid w:val="00AD5ED2"/>
    <w:rsid w:val="00AD5F53"/>
    <w:rsid w:val="00AD603D"/>
    <w:rsid w:val="00AD61AF"/>
    <w:rsid w:val="00AD6394"/>
    <w:rsid w:val="00AD63BB"/>
    <w:rsid w:val="00AD648B"/>
    <w:rsid w:val="00AD6853"/>
    <w:rsid w:val="00AD689B"/>
    <w:rsid w:val="00AD6AFA"/>
    <w:rsid w:val="00AD6BDA"/>
    <w:rsid w:val="00AD6DB4"/>
    <w:rsid w:val="00AD701D"/>
    <w:rsid w:val="00AD70E0"/>
    <w:rsid w:val="00AD75BD"/>
    <w:rsid w:val="00AD7689"/>
    <w:rsid w:val="00AD7737"/>
    <w:rsid w:val="00AD78F6"/>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21F"/>
    <w:rsid w:val="00AE158A"/>
    <w:rsid w:val="00AE1633"/>
    <w:rsid w:val="00AE1845"/>
    <w:rsid w:val="00AE1AFA"/>
    <w:rsid w:val="00AE1B8E"/>
    <w:rsid w:val="00AE1C81"/>
    <w:rsid w:val="00AE1F3B"/>
    <w:rsid w:val="00AE1F64"/>
    <w:rsid w:val="00AE2091"/>
    <w:rsid w:val="00AE20D4"/>
    <w:rsid w:val="00AE2242"/>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1E4"/>
    <w:rsid w:val="00AE4202"/>
    <w:rsid w:val="00AE448C"/>
    <w:rsid w:val="00AE4ACB"/>
    <w:rsid w:val="00AE4DB5"/>
    <w:rsid w:val="00AE4F9D"/>
    <w:rsid w:val="00AE5024"/>
    <w:rsid w:val="00AE513D"/>
    <w:rsid w:val="00AE5251"/>
    <w:rsid w:val="00AE533D"/>
    <w:rsid w:val="00AE5562"/>
    <w:rsid w:val="00AE5600"/>
    <w:rsid w:val="00AE58E9"/>
    <w:rsid w:val="00AE599A"/>
    <w:rsid w:val="00AE59E9"/>
    <w:rsid w:val="00AE5B4E"/>
    <w:rsid w:val="00AE5C15"/>
    <w:rsid w:val="00AE5DF1"/>
    <w:rsid w:val="00AE6152"/>
    <w:rsid w:val="00AE62B9"/>
    <w:rsid w:val="00AE6745"/>
    <w:rsid w:val="00AE69B5"/>
    <w:rsid w:val="00AE6E27"/>
    <w:rsid w:val="00AE6E30"/>
    <w:rsid w:val="00AE6EA8"/>
    <w:rsid w:val="00AE6EEE"/>
    <w:rsid w:val="00AE6F49"/>
    <w:rsid w:val="00AE710F"/>
    <w:rsid w:val="00AE7168"/>
    <w:rsid w:val="00AE766A"/>
    <w:rsid w:val="00AE7782"/>
    <w:rsid w:val="00AE77F0"/>
    <w:rsid w:val="00AE7D68"/>
    <w:rsid w:val="00AE7DB1"/>
    <w:rsid w:val="00AE7DBA"/>
    <w:rsid w:val="00AE7E42"/>
    <w:rsid w:val="00AE7EA7"/>
    <w:rsid w:val="00AE7F2A"/>
    <w:rsid w:val="00AE7FC6"/>
    <w:rsid w:val="00AE7FCE"/>
    <w:rsid w:val="00AF0090"/>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28A"/>
    <w:rsid w:val="00AF23D1"/>
    <w:rsid w:val="00AF2436"/>
    <w:rsid w:val="00AF2491"/>
    <w:rsid w:val="00AF2693"/>
    <w:rsid w:val="00AF2945"/>
    <w:rsid w:val="00AF29A7"/>
    <w:rsid w:val="00AF2A08"/>
    <w:rsid w:val="00AF2A8A"/>
    <w:rsid w:val="00AF2B1D"/>
    <w:rsid w:val="00AF2D64"/>
    <w:rsid w:val="00AF2DC2"/>
    <w:rsid w:val="00AF3276"/>
    <w:rsid w:val="00AF32C7"/>
    <w:rsid w:val="00AF3326"/>
    <w:rsid w:val="00AF3473"/>
    <w:rsid w:val="00AF34D8"/>
    <w:rsid w:val="00AF3944"/>
    <w:rsid w:val="00AF3BCD"/>
    <w:rsid w:val="00AF3C66"/>
    <w:rsid w:val="00AF3E9B"/>
    <w:rsid w:val="00AF3ED8"/>
    <w:rsid w:val="00AF3F0E"/>
    <w:rsid w:val="00AF400D"/>
    <w:rsid w:val="00AF422A"/>
    <w:rsid w:val="00AF4289"/>
    <w:rsid w:val="00AF4318"/>
    <w:rsid w:val="00AF4334"/>
    <w:rsid w:val="00AF4349"/>
    <w:rsid w:val="00AF45CD"/>
    <w:rsid w:val="00AF464E"/>
    <w:rsid w:val="00AF46A3"/>
    <w:rsid w:val="00AF4809"/>
    <w:rsid w:val="00AF4941"/>
    <w:rsid w:val="00AF4A07"/>
    <w:rsid w:val="00AF4B24"/>
    <w:rsid w:val="00AF4C0A"/>
    <w:rsid w:val="00AF4CE9"/>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DC9"/>
    <w:rsid w:val="00AF7020"/>
    <w:rsid w:val="00AF70D1"/>
    <w:rsid w:val="00AF7196"/>
    <w:rsid w:val="00AF71D2"/>
    <w:rsid w:val="00AF72FB"/>
    <w:rsid w:val="00AF7515"/>
    <w:rsid w:val="00AF7731"/>
    <w:rsid w:val="00AF77E4"/>
    <w:rsid w:val="00AF7CD4"/>
    <w:rsid w:val="00AF7CFA"/>
    <w:rsid w:val="00B0008B"/>
    <w:rsid w:val="00B001C9"/>
    <w:rsid w:val="00B00341"/>
    <w:rsid w:val="00B00442"/>
    <w:rsid w:val="00B005A7"/>
    <w:rsid w:val="00B00927"/>
    <w:rsid w:val="00B00DAA"/>
    <w:rsid w:val="00B010E3"/>
    <w:rsid w:val="00B01273"/>
    <w:rsid w:val="00B012C4"/>
    <w:rsid w:val="00B013FC"/>
    <w:rsid w:val="00B01440"/>
    <w:rsid w:val="00B014F0"/>
    <w:rsid w:val="00B01559"/>
    <w:rsid w:val="00B015F7"/>
    <w:rsid w:val="00B01870"/>
    <w:rsid w:val="00B0189F"/>
    <w:rsid w:val="00B0191B"/>
    <w:rsid w:val="00B01EE1"/>
    <w:rsid w:val="00B01FDB"/>
    <w:rsid w:val="00B02187"/>
    <w:rsid w:val="00B02552"/>
    <w:rsid w:val="00B02555"/>
    <w:rsid w:val="00B025D1"/>
    <w:rsid w:val="00B026A3"/>
    <w:rsid w:val="00B0274B"/>
    <w:rsid w:val="00B02895"/>
    <w:rsid w:val="00B028FC"/>
    <w:rsid w:val="00B02A96"/>
    <w:rsid w:val="00B02AE7"/>
    <w:rsid w:val="00B02BDC"/>
    <w:rsid w:val="00B02C9D"/>
    <w:rsid w:val="00B03183"/>
    <w:rsid w:val="00B0345A"/>
    <w:rsid w:val="00B03488"/>
    <w:rsid w:val="00B034A8"/>
    <w:rsid w:val="00B037F6"/>
    <w:rsid w:val="00B03882"/>
    <w:rsid w:val="00B039EB"/>
    <w:rsid w:val="00B039EC"/>
    <w:rsid w:val="00B03BF0"/>
    <w:rsid w:val="00B03E5B"/>
    <w:rsid w:val="00B047B1"/>
    <w:rsid w:val="00B047BF"/>
    <w:rsid w:val="00B04956"/>
    <w:rsid w:val="00B04B60"/>
    <w:rsid w:val="00B04B70"/>
    <w:rsid w:val="00B04D45"/>
    <w:rsid w:val="00B04DCD"/>
    <w:rsid w:val="00B051DA"/>
    <w:rsid w:val="00B0536A"/>
    <w:rsid w:val="00B05534"/>
    <w:rsid w:val="00B056E9"/>
    <w:rsid w:val="00B0578F"/>
    <w:rsid w:val="00B05DAF"/>
    <w:rsid w:val="00B05E39"/>
    <w:rsid w:val="00B05E52"/>
    <w:rsid w:val="00B062A5"/>
    <w:rsid w:val="00B062CB"/>
    <w:rsid w:val="00B0642A"/>
    <w:rsid w:val="00B06565"/>
    <w:rsid w:val="00B065B0"/>
    <w:rsid w:val="00B067BD"/>
    <w:rsid w:val="00B06929"/>
    <w:rsid w:val="00B069A0"/>
    <w:rsid w:val="00B069F4"/>
    <w:rsid w:val="00B06B14"/>
    <w:rsid w:val="00B06BAA"/>
    <w:rsid w:val="00B07088"/>
    <w:rsid w:val="00B07107"/>
    <w:rsid w:val="00B071BA"/>
    <w:rsid w:val="00B073CA"/>
    <w:rsid w:val="00B074A3"/>
    <w:rsid w:val="00B075E1"/>
    <w:rsid w:val="00B07A0D"/>
    <w:rsid w:val="00B07ABB"/>
    <w:rsid w:val="00B07BE0"/>
    <w:rsid w:val="00B07C60"/>
    <w:rsid w:val="00B07C84"/>
    <w:rsid w:val="00B07E31"/>
    <w:rsid w:val="00B07FFB"/>
    <w:rsid w:val="00B1044A"/>
    <w:rsid w:val="00B10524"/>
    <w:rsid w:val="00B10718"/>
    <w:rsid w:val="00B10909"/>
    <w:rsid w:val="00B10AAA"/>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907"/>
    <w:rsid w:val="00B13A90"/>
    <w:rsid w:val="00B13BD0"/>
    <w:rsid w:val="00B13CBD"/>
    <w:rsid w:val="00B140DB"/>
    <w:rsid w:val="00B1412D"/>
    <w:rsid w:val="00B14648"/>
    <w:rsid w:val="00B148CC"/>
    <w:rsid w:val="00B149E9"/>
    <w:rsid w:val="00B14A98"/>
    <w:rsid w:val="00B14C86"/>
    <w:rsid w:val="00B15093"/>
    <w:rsid w:val="00B1509F"/>
    <w:rsid w:val="00B150A9"/>
    <w:rsid w:val="00B1520C"/>
    <w:rsid w:val="00B15481"/>
    <w:rsid w:val="00B156D1"/>
    <w:rsid w:val="00B15747"/>
    <w:rsid w:val="00B15819"/>
    <w:rsid w:val="00B15845"/>
    <w:rsid w:val="00B15907"/>
    <w:rsid w:val="00B15999"/>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F64"/>
    <w:rsid w:val="00B21020"/>
    <w:rsid w:val="00B21078"/>
    <w:rsid w:val="00B21279"/>
    <w:rsid w:val="00B2152A"/>
    <w:rsid w:val="00B2155D"/>
    <w:rsid w:val="00B21785"/>
    <w:rsid w:val="00B21C4E"/>
    <w:rsid w:val="00B21DBA"/>
    <w:rsid w:val="00B21E5B"/>
    <w:rsid w:val="00B220DE"/>
    <w:rsid w:val="00B2224A"/>
    <w:rsid w:val="00B2253A"/>
    <w:rsid w:val="00B225C4"/>
    <w:rsid w:val="00B22652"/>
    <w:rsid w:val="00B2281D"/>
    <w:rsid w:val="00B2286D"/>
    <w:rsid w:val="00B22F1C"/>
    <w:rsid w:val="00B22FFD"/>
    <w:rsid w:val="00B230B4"/>
    <w:rsid w:val="00B230DA"/>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80"/>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0F87"/>
    <w:rsid w:val="00B31030"/>
    <w:rsid w:val="00B31062"/>
    <w:rsid w:val="00B3132C"/>
    <w:rsid w:val="00B31519"/>
    <w:rsid w:val="00B31707"/>
    <w:rsid w:val="00B31719"/>
    <w:rsid w:val="00B31A20"/>
    <w:rsid w:val="00B31AA9"/>
    <w:rsid w:val="00B31B7D"/>
    <w:rsid w:val="00B31D30"/>
    <w:rsid w:val="00B31E2B"/>
    <w:rsid w:val="00B31EBE"/>
    <w:rsid w:val="00B31ED2"/>
    <w:rsid w:val="00B3238B"/>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35"/>
    <w:rsid w:val="00B33751"/>
    <w:rsid w:val="00B339D0"/>
    <w:rsid w:val="00B33C44"/>
    <w:rsid w:val="00B33D37"/>
    <w:rsid w:val="00B33DCB"/>
    <w:rsid w:val="00B33F1A"/>
    <w:rsid w:val="00B33F35"/>
    <w:rsid w:val="00B3414B"/>
    <w:rsid w:val="00B342F0"/>
    <w:rsid w:val="00B34593"/>
    <w:rsid w:val="00B34704"/>
    <w:rsid w:val="00B347E8"/>
    <w:rsid w:val="00B34840"/>
    <w:rsid w:val="00B34979"/>
    <w:rsid w:val="00B34A43"/>
    <w:rsid w:val="00B34E76"/>
    <w:rsid w:val="00B34FAD"/>
    <w:rsid w:val="00B34FB1"/>
    <w:rsid w:val="00B350D9"/>
    <w:rsid w:val="00B3510A"/>
    <w:rsid w:val="00B35164"/>
    <w:rsid w:val="00B3566E"/>
    <w:rsid w:val="00B35678"/>
    <w:rsid w:val="00B35CC0"/>
    <w:rsid w:val="00B35E69"/>
    <w:rsid w:val="00B362FE"/>
    <w:rsid w:val="00B36877"/>
    <w:rsid w:val="00B36A55"/>
    <w:rsid w:val="00B36CE2"/>
    <w:rsid w:val="00B36E94"/>
    <w:rsid w:val="00B37160"/>
    <w:rsid w:val="00B37176"/>
    <w:rsid w:val="00B371BE"/>
    <w:rsid w:val="00B37267"/>
    <w:rsid w:val="00B373E7"/>
    <w:rsid w:val="00B3767C"/>
    <w:rsid w:val="00B379A3"/>
    <w:rsid w:val="00B400FE"/>
    <w:rsid w:val="00B401D7"/>
    <w:rsid w:val="00B403FD"/>
    <w:rsid w:val="00B404E0"/>
    <w:rsid w:val="00B4061D"/>
    <w:rsid w:val="00B40B4D"/>
    <w:rsid w:val="00B40DD4"/>
    <w:rsid w:val="00B410DC"/>
    <w:rsid w:val="00B4114F"/>
    <w:rsid w:val="00B41217"/>
    <w:rsid w:val="00B414FD"/>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658"/>
    <w:rsid w:val="00B43686"/>
    <w:rsid w:val="00B436A5"/>
    <w:rsid w:val="00B436B6"/>
    <w:rsid w:val="00B43827"/>
    <w:rsid w:val="00B439AE"/>
    <w:rsid w:val="00B43B5B"/>
    <w:rsid w:val="00B43CDC"/>
    <w:rsid w:val="00B43E85"/>
    <w:rsid w:val="00B44073"/>
    <w:rsid w:val="00B440CD"/>
    <w:rsid w:val="00B443D0"/>
    <w:rsid w:val="00B444B1"/>
    <w:rsid w:val="00B44656"/>
    <w:rsid w:val="00B446AA"/>
    <w:rsid w:val="00B44BCF"/>
    <w:rsid w:val="00B44E7C"/>
    <w:rsid w:val="00B4539D"/>
    <w:rsid w:val="00B45437"/>
    <w:rsid w:val="00B45607"/>
    <w:rsid w:val="00B456EF"/>
    <w:rsid w:val="00B4589B"/>
    <w:rsid w:val="00B45A16"/>
    <w:rsid w:val="00B45B1C"/>
    <w:rsid w:val="00B45B6C"/>
    <w:rsid w:val="00B46013"/>
    <w:rsid w:val="00B4623D"/>
    <w:rsid w:val="00B46247"/>
    <w:rsid w:val="00B46500"/>
    <w:rsid w:val="00B46669"/>
    <w:rsid w:val="00B46802"/>
    <w:rsid w:val="00B46BAC"/>
    <w:rsid w:val="00B46CD1"/>
    <w:rsid w:val="00B46DEC"/>
    <w:rsid w:val="00B46E72"/>
    <w:rsid w:val="00B47037"/>
    <w:rsid w:val="00B4705B"/>
    <w:rsid w:val="00B470DE"/>
    <w:rsid w:val="00B472D5"/>
    <w:rsid w:val="00B473DA"/>
    <w:rsid w:val="00B473F8"/>
    <w:rsid w:val="00B47586"/>
    <w:rsid w:val="00B478F6"/>
    <w:rsid w:val="00B47B23"/>
    <w:rsid w:val="00B47BAA"/>
    <w:rsid w:val="00B47C0A"/>
    <w:rsid w:val="00B47F08"/>
    <w:rsid w:val="00B47F55"/>
    <w:rsid w:val="00B47F57"/>
    <w:rsid w:val="00B47F7D"/>
    <w:rsid w:val="00B47F96"/>
    <w:rsid w:val="00B50132"/>
    <w:rsid w:val="00B50225"/>
    <w:rsid w:val="00B50252"/>
    <w:rsid w:val="00B50413"/>
    <w:rsid w:val="00B505FD"/>
    <w:rsid w:val="00B50621"/>
    <w:rsid w:val="00B50707"/>
    <w:rsid w:val="00B50840"/>
    <w:rsid w:val="00B509D5"/>
    <w:rsid w:val="00B509FF"/>
    <w:rsid w:val="00B50A6D"/>
    <w:rsid w:val="00B50D92"/>
    <w:rsid w:val="00B50D96"/>
    <w:rsid w:val="00B50F95"/>
    <w:rsid w:val="00B510AF"/>
    <w:rsid w:val="00B5116B"/>
    <w:rsid w:val="00B5125B"/>
    <w:rsid w:val="00B513F3"/>
    <w:rsid w:val="00B5153B"/>
    <w:rsid w:val="00B5161F"/>
    <w:rsid w:val="00B51688"/>
    <w:rsid w:val="00B51860"/>
    <w:rsid w:val="00B51931"/>
    <w:rsid w:val="00B51961"/>
    <w:rsid w:val="00B51967"/>
    <w:rsid w:val="00B5198A"/>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54A"/>
    <w:rsid w:val="00B545ED"/>
    <w:rsid w:val="00B54A5A"/>
    <w:rsid w:val="00B54A8E"/>
    <w:rsid w:val="00B54BFF"/>
    <w:rsid w:val="00B54E3B"/>
    <w:rsid w:val="00B55129"/>
    <w:rsid w:val="00B552EE"/>
    <w:rsid w:val="00B55338"/>
    <w:rsid w:val="00B555AC"/>
    <w:rsid w:val="00B555DB"/>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5A"/>
    <w:rsid w:val="00B57A6B"/>
    <w:rsid w:val="00B57B53"/>
    <w:rsid w:val="00B57C8F"/>
    <w:rsid w:val="00B57E97"/>
    <w:rsid w:val="00B57EA7"/>
    <w:rsid w:val="00B60062"/>
    <w:rsid w:val="00B6006A"/>
    <w:rsid w:val="00B60121"/>
    <w:rsid w:val="00B6020C"/>
    <w:rsid w:val="00B60227"/>
    <w:rsid w:val="00B6023C"/>
    <w:rsid w:val="00B603E2"/>
    <w:rsid w:val="00B604A0"/>
    <w:rsid w:val="00B608FF"/>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325"/>
    <w:rsid w:val="00B62539"/>
    <w:rsid w:val="00B625C5"/>
    <w:rsid w:val="00B62699"/>
    <w:rsid w:val="00B62A08"/>
    <w:rsid w:val="00B62C4F"/>
    <w:rsid w:val="00B62E2C"/>
    <w:rsid w:val="00B62F09"/>
    <w:rsid w:val="00B632D4"/>
    <w:rsid w:val="00B633D2"/>
    <w:rsid w:val="00B6345A"/>
    <w:rsid w:val="00B63660"/>
    <w:rsid w:val="00B63788"/>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A46"/>
    <w:rsid w:val="00B64FE6"/>
    <w:rsid w:val="00B65036"/>
    <w:rsid w:val="00B652D3"/>
    <w:rsid w:val="00B652FC"/>
    <w:rsid w:val="00B65356"/>
    <w:rsid w:val="00B654B5"/>
    <w:rsid w:val="00B65891"/>
    <w:rsid w:val="00B658DC"/>
    <w:rsid w:val="00B659C4"/>
    <w:rsid w:val="00B65EF1"/>
    <w:rsid w:val="00B65F33"/>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6E71"/>
    <w:rsid w:val="00B673BB"/>
    <w:rsid w:val="00B676FC"/>
    <w:rsid w:val="00B677D1"/>
    <w:rsid w:val="00B67811"/>
    <w:rsid w:val="00B6786F"/>
    <w:rsid w:val="00B67D8D"/>
    <w:rsid w:val="00B67DA4"/>
    <w:rsid w:val="00B67E1C"/>
    <w:rsid w:val="00B67E51"/>
    <w:rsid w:val="00B67EAD"/>
    <w:rsid w:val="00B67FC0"/>
    <w:rsid w:val="00B700F5"/>
    <w:rsid w:val="00B70367"/>
    <w:rsid w:val="00B704CB"/>
    <w:rsid w:val="00B705D1"/>
    <w:rsid w:val="00B705DD"/>
    <w:rsid w:val="00B707E2"/>
    <w:rsid w:val="00B709CC"/>
    <w:rsid w:val="00B70C49"/>
    <w:rsid w:val="00B70DB2"/>
    <w:rsid w:val="00B70E83"/>
    <w:rsid w:val="00B710D6"/>
    <w:rsid w:val="00B7123F"/>
    <w:rsid w:val="00B71460"/>
    <w:rsid w:val="00B71581"/>
    <w:rsid w:val="00B717E9"/>
    <w:rsid w:val="00B718B2"/>
    <w:rsid w:val="00B71A0E"/>
    <w:rsid w:val="00B71CC5"/>
    <w:rsid w:val="00B71D63"/>
    <w:rsid w:val="00B71F0A"/>
    <w:rsid w:val="00B71F15"/>
    <w:rsid w:val="00B7202C"/>
    <w:rsid w:val="00B7221F"/>
    <w:rsid w:val="00B7234A"/>
    <w:rsid w:val="00B725C2"/>
    <w:rsid w:val="00B72644"/>
    <w:rsid w:val="00B72882"/>
    <w:rsid w:val="00B72914"/>
    <w:rsid w:val="00B72C0C"/>
    <w:rsid w:val="00B72D4B"/>
    <w:rsid w:val="00B72D56"/>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000"/>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77FA9"/>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CF1"/>
    <w:rsid w:val="00B84D1E"/>
    <w:rsid w:val="00B84E0F"/>
    <w:rsid w:val="00B84F07"/>
    <w:rsid w:val="00B84FE5"/>
    <w:rsid w:val="00B852E8"/>
    <w:rsid w:val="00B85391"/>
    <w:rsid w:val="00B853D8"/>
    <w:rsid w:val="00B85750"/>
    <w:rsid w:val="00B858EF"/>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18C"/>
    <w:rsid w:val="00B873C5"/>
    <w:rsid w:val="00B87437"/>
    <w:rsid w:val="00B874F8"/>
    <w:rsid w:val="00B87635"/>
    <w:rsid w:val="00B877EF"/>
    <w:rsid w:val="00B87873"/>
    <w:rsid w:val="00B87D09"/>
    <w:rsid w:val="00B87DDF"/>
    <w:rsid w:val="00B900FE"/>
    <w:rsid w:val="00B902B4"/>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8E4"/>
    <w:rsid w:val="00B94A45"/>
    <w:rsid w:val="00B94AA8"/>
    <w:rsid w:val="00B94BFB"/>
    <w:rsid w:val="00B94DE3"/>
    <w:rsid w:val="00B94EE4"/>
    <w:rsid w:val="00B95054"/>
    <w:rsid w:val="00B95102"/>
    <w:rsid w:val="00B9519D"/>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477"/>
    <w:rsid w:val="00B974C8"/>
    <w:rsid w:val="00B975BB"/>
    <w:rsid w:val="00B97763"/>
    <w:rsid w:val="00B97795"/>
    <w:rsid w:val="00B9796B"/>
    <w:rsid w:val="00B979C4"/>
    <w:rsid w:val="00B97AAB"/>
    <w:rsid w:val="00B97B1F"/>
    <w:rsid w:val="00B97C52"/>
    <w:rsid w:val="00B97C5D"/>
    <w:rsid w:val="00B97E2E"/>
    <w:rsid w:val="00BA0041"/>
    <w:rsid w:val="00BA02E3"/>
    <w:rsid w:val="00BA030D"/>
    <w:rsid w:val="00BA0408"/>
    <w:rsid w:val="00BA044D"/>
    <w:rsid w:val="00BA0459"/>
    <w:rsid w:val="00BA0489"/>
    <w:rsid w:val="00BA0568"/>
    <w:rsid w:val="00BA0631"/>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AB1"/>
    <w:rsid w:val="00BA1C0D"/>
    <w:rsid w:val="00BA1ED4"/>
    <w:rsid w:val="00BA1F23"/>
    <w:rsid w:val="00BA1FC4"/>
    <w:rsid w:val="00BA21AA"/>
    <w:rsid w:val="00BA2252"/>
    <w:rsid w:val="00BA230A"/>
    <w:rsid w:val="00BA23E7"/>
    <w:rsid w:val="00BA2647"/>
    <w:rsid w:val="00BA28CF"/>
    <w:rsid w:val="00BA2A11"/>
    <w:rsid w:val="00BA2AF6"/>
    <w:rsid w:val="00BA2B94"/>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2"/>
    <w:rsid w:val="00BA3FEA"/>
    <w:rsid w:val="00BA3FEF"/>
    <w:rsid w:val="00BA42FC"/>
    <w:rsid w:val="00BA4568"/>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AC1"/>
    <w:rsid w:val="00BA5CC7"/>
    <w:rsid w:val="00BA5E4D"/>
    <w:rsid w:val="00BA5FD2"/>
    <w:rsid w:val="00BA6044"/>
    <w:rsid w:val="00BA60E7"/>
    <w:rsid w:val="00BA613C"/>
    <w:rsid w:val="00BA65C0"/>
    <w:rsid w:val="00BA6CC8"/>
    <w:rsid w:val="00BA6CEB"/>
    <w:rsid w:val="00BA6D64"/>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128"/>
    <w:rsid w:val="00BB14A5"/>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6D8"/>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577"/>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926"/>
    <w:rsid w:val="00BC39FF"/>
    <w:rsid w:val="00BC3A9C"/>
    <w:rsid w:val="00BC3DAB"/>
    <w:rsid w:val="00BC4161"/>
    <w:rsid w:val="00BC418F"/>
    <w:rsid w:val="00BC4269"/>
    <w:rsid w:val="00BC4364"/>
    <w:rsid w:val="00BC4373"/>
    <w:rsid w:val="00BC43DB"/>
    <w:rsid w:val="00BC46D1"/>
    <w:rsid w:val="00BC4713"/>
    <w:rsid w:val="00BC49CE"/>
    <w:rsid w:val="00BC5279"/>
    <w:rsid w:val="00BC53A2"/>
    <w:rsid w:val="00BC554C"/>
    <w:rsid w:val="00BC5674"/>
    <w:rsid w:val="00BC56CD"/>
    <w:rsid w:val="00BC5AC5"/>
    <w:rsid w:val="00BC5B17"/>
    <w:rsid w:val="00BC5B3F"/>
    <w:rsid w:val="00BC5BFC"/>
    <w:rsid w:val="00BC5D41"/>
    <w:rsid w:val="00BC5D42"/>
    <w:rsid w:val="00BC5E05"/>
    <w:rsid w:val="00BC610A"/>
    <w:rsid w:val="00BC6152"/>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394"/>
    <w:rsid w:val="00BC7455"/>
    <w:rsid w:val="00BC787D"/>
    <w:rsid w:val="00BC7902"/>
    <w:rsid w:val="00BC7A37"/>
    <w:rsid w:val="00BC7ABC"/>
    <w:rsid w:val="00BC7E65"/>
    <w:rsid w:val="00BC7E7A"/>
    <w:rsid w:val="00BD0035"/>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ACA"/>
    <w:rsid w:val="00BD1B25"/>
    <w:rsid w:val="00BD1B30"/>
    <w:rsid w:val="00BD1CEC"/>
    <w:rsid w:val="00BD23F7"/>
    <w:rsid w:val="00BD2579"/>
    <w:rsid w:val="00BD25F9"/>
    <w:rsid w:val="00BD279D"/>
    <w:rsid w:val="00BD2AE9"/>
    <w:rsid w:val="00BD2BEA"/>
    <w:rsid w:val="00BD2C5C"/>
    <w:rsid w:val="00BD2DE6"/>
    <w:rsid w:val="00BD2E24"/>
    <w:rsid w:val="00BD319E"/>
    <w:rsid w:val="00BD3252"/>
    <w:rsid w:val="00BD35F4"/>
    <w:rsid w:val="00BD36A6"/>
    <w:rsid w:val="00BD36FB"/>
    <w:rsid w:val="00BD396B"/>
    <w:rsid w:val="00BD3A0B"/>
    <w:rsid w:val="00BD409D"/>
    <w:rsid w:val="00BD40A0"/>
    <w:rsid w:val="00BD4210"/>
    <w:rsid w:val="00BD438C"/>
    <w:rsid w:val="00BD44D0"/>
    <w:rsid w:val="00BD457F"/>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E8"/>
    <w:rsid w:val="00BD5B36"/>
    <w:rsid w:val="00BD5B9B"/>
    <w:rsid w:val="00BD5C38"/>
    <w:rsid w:val="00BD5E3C"/>
    <w:rsid w:val="00BD5E7B"/>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4CB"/>
    <w:rsid w:val="00BE0A4F"/>
    <w:rsid w:val="00BE0D23"/>
    <w:rsid w:val="00BE0FD3"/>
    <w:rsid w:val="00BE11EC"/>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C7"/>
    <w:rsid w:val="00BE50CD"/>
    <w:rsid w:val="00BE5112"/>
    <w:rsid w:val="00BE5143"/>
    <w:rsid w:val="00BE52BB"/>
    <w:rsid w:val="00BE53C5"/>
    <w:rsid w:val="00BE5436"/>
    <w:rsid w:val="00BE54D9"/>
    <w:rsid w:val="00BE56D8"/>
    <w:rsid w:val="00BE5A1D"/>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8A"/>
    <w:rsid w:val="00BE75EA"/>
    <w:rsid w:val="00BE773C"/>
    <w:rsid w:val="00BE77A9"/>
    <w:rsid w:val="00BE77DC"/>
    <w:rsid w:val="00BE789D"/>
    <w:rsid w:val="00BE7A2B"/>
    <w:rsid w:val="00BE7B15"/>
    <w:rsid w:val="00BE7D6D"/>
    <w:rsid w:val="00BE7DA8"/>
    <w:rsid w:val="00BE7FBC"/>
    <w:rsid w:val="00BE7FC1"/>
    <w:rsid w:val="00BF004B"/>
    <w:rsid w:val="00BF0332"/>
    <w:rsid w:val="00BF047F"/>
    <w:rsid w:val="00BF05C5"/>
    <w:rsid w:val="00BF05D4"/>
    <w:rsid w:val="00BF0800"/>
    <w:rsid w:val="00BF09A8"/>
    <w:rsid w:val="00BF105E"/>
    <w:rsid w:val="00BF10AF"/>
    <w:rsid w:val="00BF1473"/>
    <w:rsid w:val="00BF1681"/>
    <w:rsid w:val="00BF16D6"/>
    <w:rsid w:val="00BF17F3"/>
    <w:rsid w:val="00BF18FF"/>
    <w:rsid w:val="00BF1A0D"/>
    <w:rsid w:val="00BF1A80"/>
    <w:rsid w:val="00BF1E36"/>
    <w:rsid w:val="00BF1E3E"/>
    <w:rsid w:val="00BF202D"/>
    <w:rsid w:val="00BF20DB"/>
    <w:rsid w:val="00BF20EA"/>
    <w:rsid w:val="00BF21C3"/>
    <w:rsid w:val="00BF224D"/>
    <w:rsid w:val="00BF2303"/>
    <w:rsid w:val="00BF2373"/>
    <w:rsid w:val="00BF2469"/>
    <w:rsid w:val="00BF2564"/>
    <w:rsid w:val="00BF2782"/>
    <w:rsid w:val="00BF27E1"/>
    <w:rsid w:val="00BF27F8"/>
    <w:rsid w:val="00BF2817"/>
    <w:rsid w:val="00BF284F"/>
    <w:rsid w:val="00BF29FB"/>
    <w:rsid w:val="00BF2AD6"/>
    <w:rsid w:val="00BF2B2C"/>
    <w:rsid w:val="00BF2B90"/>
    <w:rsid w:val="00BF2B99"/>
    <w:rsid w:val="00BF2C03"/>
    <w:rsid w:val="00BF2CA1"/>
    <w:rsid w:val="00BF312A"/>
    <w:rsid w:val="00BF3425"/>
    <w:rsid w:val="00BF3663"/>
    <w:rsid w:val="00BF3794"/>
    <w:rsid w:val="00BF3830"/>
    <w:rsid w:val="00BF394D"/>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B21"/>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A8E"/>
    <w:rsid w:val="00C00B3A"/>
    <w:rsid w:val="00C00B98"/>
    <w:rsid w:val="00C00D95"/>
    <w:rsid w:val="00C0100C"/>
    <w:rsid w:val="00C01141"/>
    <w:rsid w:val="00C011FA"/>
    <w:rsid w:val="00C01640"/>
    <w:rsid w:val="00C0169F"/>
    <w:rsid w:val="00C01988"/>
    <w:rsid w:val="00C01B06"/>
    <w:rsid w:val="00C020D9"/>
    <w:rsid w:val="00C02329"/>
    <w:rsid w:val="00C02468"/>
    <w:rsid w:val="00C02909"/>
    <w:rsid w:val="00C029BB"/>
    <w:rsid w:val="00C02FDC"/>
    <w:rsid w:val="00C03215"/>
    <w:rsid w:val="00C0324A"/>
    <w:rsid w:val="00C032D2"/>
    <w:rsid w:val="00C03798"/>
    <w:rsid w:val="00C0396A"/>
    <w:rsid w:val="00C03CD6"/>
    <w:rsid w:val="00C03F0F"/>
    <w:rsid w:val="00C0405C"/>
    <w:rsid w:val="00C04120"/>
    <w:rsid w:val="00C04139"/>
    <w:rsid w:val="00C0417D"/>
    <w:rsid w:val="00C042AF"/>
    <w:rsid w:val="00C04321"/>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7AA"/>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8F"/>
    <w:rsid w:val="00C12128"/>
    <w:rsid w:val="00C121F1"/>
    <w:rsid w:val="00C12636"/>
    <w:rsid w:val="00C126C0"/>
    <w:rsid w:val="00C12726"/>
    <w:rsid w:val="00C1293B"/>
    <w:rsid w:val="00C129C8"/>
    <w:rsid w:val="00C12B86"/>
    <w:rsid w:val="00C12CD1"/>
    <w:rsid w:val="00C12DB1"/>
    <w:rsid w:val="00C12EBB"/>
    <w:rsid w:val="00C13095"/>
    <w:rsid w:val="00C132DF"/>
    <w:rsid w:val="00C132E8"/>
    <w:rsid w:val="00C13371"/>
    <w:rsid w:val="00C13379"/>
    <w:rsid w:val="00C133AE"/>
    <w:rsid w:val="00C133CB"/>
    <w:rsid w:val="00C1353A"/>
    <w:rsid w:val="00C136D5"/>
    <w:rsid w:val="00C138D6"/>
    <w:rsid w:val="00C13A92"/>
    <w:rsid w:val="00C14013"/>
    <w:rsid w:val="00C1403F"/>
    <w:rsid w:val="00C14155"/>
    <w:rsid w:val="00C14305"/>
    <w:rsid w:val="00C1465E"/>
    <w:rsid w:val="00C14B33"/>
    <w:rsid w:val="00C14DDF"/>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E0"/>
    <w:rsid w:val="00C20E51"/>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C39"/>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69"/>
    <w:rsid w:val="00C272C4"/>
    <w:rsid w:val="00C27648"/>
    <w:rsid w:val="00C27736"/>
    <w:rsid w:val="00C277E7"/>
    <w:rsid w:val="00C278A1"/>
    <w:rsid w:val="00C279C8"/>
    <w:rsid w:val="00C27BB0"/>
    <w:rsid w:val="00C27BF3"/>
    <w:rsid w:val="00C30234"/>
    <w:rsid w:val="00C3023E"/>
    <w:rsid w:val="00C30241"/>
    <w:rsid w:val="00C30553"/>
    <w:rsid w:val="00C306AC"/>
    <w:rsid w:val="00C30897"/>
    <w:rsid w:val="00C30A7D"/>
    <w:rsid w:val="00C30CF3"/>
    <w:rsid w:val="00C30DAA"/>
    <w:rsid w:val="00C30FD5"/>
    <w:rsid w:val="00C31019"/>
    <w:rsid w:val="00C31288"/>
    <w:rsid w:val="00C3139E"/>
    <w:rsid w:val="00C3159A"/>
    <w:rsid w:val="00C315C1"/>
    <w:rsid w:val="00C315E8"/>
    <w:rsid w:val="00C31608"/>
    <w:rsid w:val="00C318E9"/>
    <w:rsid w:val="00C31971"/>
    <w:rsid w:val="00C31A90"/>
    <w:rsid w:val="00C31B37"/>
    <w:rsid w:val="00C31C3F"/>
    <w:rsid w:val="00C31C56"/>
    <w:rsid w:val="00C31F07"/>
    <w:rsid w:val="00C32299"/>
    <w:rsid w:val="00C322F9"/>
    <w:rsid w:val="00C324CE"/>
    <w:rsid w:val="00C32852"/>
    <w:rsid w:val="00C3293A"/>
    <w:rsid w:val="00C32AF9"/>
    <w:rsid w:val="00C32F97"/>
    <w:rsid w:val="00C32FA6"/>
    <w:rsid w:val="00C330E0"/>
    <w:rsid w:val="00C332B8"/>
    <w:rsid w:val="00C33391"/>
    <w:rsid w:val="00C335A1"/>
    <w:rsid w:val="00C33600"/>
    <w:rsid w:val="00C336B1"/>
    <w:rsid w:val="00C33724"/>
    <w:rsid w:val="00C3372C"/>
    <w:rsid w:val="00C338B4"/>
    <w:rsid w:val="00C339CF"/>
    <w:rsid w:val="00C33AFD"/>
    <w:rsid w:val="00C33B3B"/>
    <w:rsid w:val="00C33D33"/>
    <w:rsid w:val="00C33F2C"/>
    <w:rsid w:val="00C34119"/>
    <w:rsid w:val="00C3418E"/>
    <w:rsid w:val="00C3427F"/>
    <w:rsid w:val="00C344DF"/>
    <w:rsid w:val="00C345A0"/>
    <w:rsid w:val="00C34641"/>
    <w:rsid w:val="00C34AB1"/>
    <w:rsid w:val="00C34BF3"/>
    <w:rsid w:val="00C34F81"/>
    <w:rsid w:val="00C34FAE"/>
    <w:rsid w:val="00C3511B"/>
    <w:rsid w:val="00C353AB"/>
    <w:rsid w:val="00C355AA"/>
    <w:rsid w:val="00C356ED"/>
    <w:rsid w:val="00C35895"/>
    <w:rsid w:val="00C35B0B"/>
    <w:rsid w:val="00C35BBA"/>
    <w:rsid w:val="00C35DA6"/>
    <w:rsid w:val="00C35E5E"/>
    <w:rsid w:val="00C35ED4"/>
    <w:rsid w:val="00C36264"/>
    <w:rsid w:val="00C367B1"/>
    <w:rsid w:val="00C36A3E"/>
    <w:rsid w:val="00C36B2A"/>
    <w:rsid w:val="00C36DE4"/>
    <w:rsid w:val="00C36F9E"/>
    <w:rsid w:val="00C37003"/>
    <w:rsid w:val="00C37079"/>
    <w:rsid w:val="00C37260"/>
    <w:rsid w:val="00C373D5"/>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5CD"/>
    <w:rsid w:val="00C40790"/>
    <w:rsid w:val="00C40983"/>
    <w:rsid w:val="00C409C1"/>
    <w:rsid w:val="00C40A6F"/>
    <w:rsid w:val="00C40AF1"/>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84F"/>
    <w:rsid w:val="00C469DC"/>
    <w:rsid w:val="00C46A32"/>
    <w:rsid w:val="00C46BDB"/>
    <w:rsid w:val="00C46D5F"/>
    <w:rsid w:val="00C46E1C"/>
    <w:rsid w:val="00C4727C"/>
    <w:rsid w:val="00C47380"/>
    <w:rsid w:val="00C47657"/>
    <w:rsid w:val="00C47708"/>
    <w:rsid w:val="00C477D9"/>
    <w:rsid w:val="00C47CA9"/>
    <w:rsid w:val="00C47CEA"/>
    <w:rsid w:val="00C47F2E"/>
    <w:rsid w:val="00C47F6F"/>
    <w:rsid w:val="00C47FED"/>
    <w:rsid w:val="00C50121"/>
    <w:rsid w:val="00C5022E"/>
    <w:rsid w:val="00C50801"/>
    <w:rsid w:val="00C50A38"/>
    <w:rsid w:val="00C50B65"/>
    <w:rsid w:val="00C50C8B"/>
    <w:rsid w:val="00C50E42"/>
    <w:rsid w:val="00C50EF2"/>
    <w:rsid w:val="00C50FD6"/>
    <w:rsid w:val="00C510DD"/>
    <w:rsid w:val="00C510F0"/>
    <w:rsid w:val="00C51269"/>
    <w:rsid w:val="00C5166E"/>
    <w:rsid w:val="00C5171B"/>
    <w:rsid w:val="00C5190A"/>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7CE"/>
    <w:rsid w:val="00C53888"/>
    <w:rsid w:val="00C538C1"/>
    <w:rsid w:val="00C53AEA"/>
    <w:rsid w:val="00C53C9B"/>
    <w:rsid w:val="00C53F8A"/>
    <w:rsid w:val="00C53FF7"/>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C1"/>
    <w:rsid w:val="00C55ED3"/>
    <w:rsid w:val="00C56631"/>
    <w:rsid w:val="00C5678B"/>
    <w:rsid w:val="00C5694C"/>
    <w:rsid w:val="00C56C7E"/>
    <w:rsid w:val="00C56E3C"/>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9BE"/>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220"/>
    <w:rsid w:val="00C6326B"/>
    <w:rsid w:val="00C63560"/>
    <w:rsid w:val="00C63616"/>
    <w:rsid w:val="00C63735"/>
    <w:rsid w:val="00C63755"/>
    <w:rsid w:val="00C637EE"/>
    <w:rsid w:val="00C63815"/>
    <w:rsid w:val="00C63ACB"/>
    <w:rsid w:val="00C63C1A"/>
    <w:rsid w:val="00C63D1F"/>
    <w:rsid w:val="00C63E53"/>
    <w:rsid w:val="00C63F87"/>
    <w:rsid w:val="00C64333"/>
    <w:rsid w:val="00C64519"/>
    <w:rsid w:val="00C64805"/>
    <w:rsid w:val="00C64816"/>
    <w:rsid w:val="00C64BB6"/>
    <w:rsid w:val="00C64C13"/>
    <w:rsid w:val="00C64C52"/>
    <w:rsid w:val="00C64CA7"/>
    <w:rsid w:val="00C64CF0"/>
    <w:rsid w:val="00C64E1E"/>
    <w:rsid w:val="00C64E8B"/>
    <w:rsid w:val="00C64F01"/>
    <w:rsid w:val="00C65023"/>
    <w:rsid w:val="00C65068"/>
    <w:rsid w:val="00C6522A"/>
    <w:rsid w:val="00C6557D"/>
    <w:rsid w:val="00C655F1"/>
    <w:rsid w:val="00C65853"/>
    <w:rsid w:val="00C65955"/>
    <w:rsid w:val="00C659B0"/>
    <w:rsid w:val="00C659BE"/>
    <w:rsid w:val="00C65E9D"/>
    <w:rsid w:val="00C6601E"/>
    <w:rsid w:val="00C66091"/>
    <w:rsid w:val="00C667B6"/>
    <w:rsid w:val="00C66997"/>
    <w:rsid w:val="00C66A49"/>
    <w:rsid w:val="00C66BFC"/>
    <w:rsid w:val="00C66D06"/>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203"/>
    <w:rsid w:val="00C70215"/>
    <w:rsid w:val="00C7030E"/>
    <w:rsid w:val="00C703C5"/>
    <w:rsid w:val="00C7047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EF"/>
    <w:rsid w:val="00C725F7"/>
    <w:rsid w:val="00C72933"/>
    <w:rsid w:val="00C72A77"/>
    <w:rsid w:val="00C72A9F"/>
    <w:rsid w:val="00C72B0E"/>
    <w:rsid w:val="00C72CC0"/>
    <w:rsid w:val="00C730F9"/>
    <w:rsid w:val="00C73209"/>
    <w:rsid w:val="00C73295"/>
    <w:rsid w:val="00C73303"/>
    <w:rsid w:val="00C73651"/>
    <w:rsid w:val="00C7366F"/>
    <w:rsid w:val="00C737BD"/>
    <w:rsid w:val="00C73A19"/>
    <w:rsid w:val="00C73BB4"/>
    <w:rsid w:val="00C73C42"/>
    <w:rsid w:val="00C7416E"/>
    <w:rsid w:val="00C741A0"/>
    <w:rsid w:val="00C741D2"/>
    <w:rsid w:val="00C7438C"/>
    <w:rsid w:val="00C7448A"/>
    <w:rsid w:val="00C747BA"/>
    <w:rsid w:val="00C74835"/>
    <w:rsid w:val="00C7493C"/>
    <w:rsid w:val="00C7495B"/>
    <w:rsid w:val="00C749DD"/>
    <w:rsid w:val="00C74A51"/>
    <w:rsid w:val="00C74E94"/>
    <w:rsid w:val="00C74F33"/>
    <w:rsid w:val="00C75099"/>
    <w:rsid w:val="00C7516C"/>
    <w:rsid w:val="00C7527D"/>
    <w:rsid w:val="00C75416"/>
    <w:rsid w:val="00C754C7"/>
    <w:rsid w:val="00C758DE"/>
    <w:rsid w:val="00C759DA"/>
    <w:rsid w:val="00C75A02"/>
    <w:rsid w:val="00C75C20"/>
    <w:rsid w:val="00C75D99"/>
    <w:rsid w:val="00C75E5E"/>
    <w:rsid w:val="00C760AE"/>
    <w:rsid w:val="00C7644E"/>
    <w:rsid w:val="00C76475"/>
    <w:rsid w:val="00C764D9"/>
    <w:rsid w:val="00C766FA"/>
    <w:rsid w:val="00C76A14"/>
    <w:rsid w:val="00C76ABF"/>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0FFC"/>
    <w:rsid w:val="00C8101D"/>
    <w:rsid w:val="00C8101F"/>
    <w:rsid w:val="00C81234"/>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55"/>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D22"/>
    <w:rsid w:val="00C92E03"/>
    <w:rsid w:val="00C92F4E"/>
    <w:rsid w:val="00C93080"/>
    <w:rsid w:val="00C930F6"/>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8C"/>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018"/>
    <w:rsid w:val="00CA08A2"/>
    <w:rsid w:val="00CA0990"/>
    <w:rsid w:val="00CA09D0"/>
    <w:rsid w:val="00CA0AF3"/>
    <w:rsid w:val="00CA0BDB"/>
    <w:rsid w:val="00CA0C0B"/>
    <w:rsid w:val="00CA0E64"/>
    <w:rsid w:val="00CA0F5D"/>
    <w:rsid w:val="00CA115B"/>
    <w:rsid w:val="00CA136F"/>
    <w:rsid w:val="00CA141C"/>
    <w:rsid w:val="00CA1674"/>
    <w:rsid w:val="00CA168B"/>
    <w:rsid w:val="00CA168F"/>
    <w:rsid w:val="00CA18DA"/>
    <w:rsid w:val="00CA1D24"/>
    <w:rsid w:val="00CA1F2C"/>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14"/>
    <w:rsid w:val="00CA4243"/>
    <w:rsid w:val="00CA42AA"/>
    <w:rsid w:val="00CA44C8"/>
    <w:rsid w:val="00CA4506"/>
    <w:rsid w:val="00CA4717"/>
    <w:rsid w:val="00CA47AD"/>
    <w:rsid w:val="00CA489C"/>
    <w:rsid w:val="00CA4C4E"/>
    <w:rsid w:val="00CA4CED"/>
    <w:rsid w:val="00CA4D33"/>
    <w:rsid w:val="00CA4E5D"/>
    <w:rsid w:val="00CA4EB3"/>
    <w:rsid w:val="00CA50A6"/>
    <w:rsid w:val="00CA535E"/>
    <w:rsid w:val="00CA5379"/>
    <w:rsid w:val="00CA5422"/>
    <w:rsid w:val="00CA5581"/>
    <w:rsid w:val="00CA5608"/>
    <w:rsid w:val="00CA56FB"/>
    <w:rsid w:val="00CA5AA6"/>
    <w:rsid w:val="00CA5C9F"/>
    <w:rsid w:val="00CA5DAC"/>
    <w:rsid w:val="00CA5F4D"/>
    <w:rsid w:val="00CA5FE5"/>
    <w:rsid w:val="00CA62C9"/>
    <w:rsid w:val="00CA648E"/>
    <w:rsid w:val="00CA652F"/>
    <w:rsid w:val="00CA6613"/>
    <w:rsid w:val="00CA682B"/>
    <w:rsid w:val="00CA6A10"/>
    <w:rsid w:val="00CA6A14"/>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1BC"/>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17A"/>
    <w:rsid w:val="00CB2339"/>
    <w:rsid w:val="00CB244A"/>
    <w:rsid w:val="00CB2586"/>
    <w:rsid w:val="00CB27F8"/>
    <w:rsid w:val="00CB2A16"/>
    <w:rsid w:val="00CB2B6F"/>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7F2"/>
    <w:rsid w:val="00CB7891"/>
    <w:rsid w:val="00CB78CD"/>
    <w:rsid w:val="00CB795A"/>
    <w:rsid w:val="00CB797F"/>
    <w:rsid w:val="00CB7999"/>
    <w:rsid w:val="00CB7DA2"/>
    <w:rsid w:val="00CB7E43"/>
    <w:rsid w:val="00CC004A"/>
    <w:rsid w:val="00CC0106"/>
    <w:rsid w:val="00CC01ED"/>
    <w:rsid w:val="00CC0244"/>
    <w:rsid w:val="00CC0404"/>
    <w:rsid w:val="00CC052E"/>
    <w:rsid w:val="00CC0736"/>
    <w:rsid w:val="00CC0936"/>
    <w:rsid w:val="00CC0960"/>
    <w:rsid w:val="00CC0A65"/>
    <w:rsid w:val="00CC0E38"/>
    <w:rsid w:val="00CC0F6E"/>
    <w:rsid w:val="00CC11BA"/>
    <w:rsid w:val="00CC11C7"/>
    <w:rsid w:val="00CC14BE"/>
    <w:rsid w:val="00CC152B"/>
    <w:rsid w:val="00CC1624"/>
    <w:rsid w:val="00CC18E5"/>
    <w:rsid w:val="00CC1B29"/>
    <w:rsid w:val="00CC1FE5"/>
    <w:rsid w:val="00CC208E"/>
    <w:rsid w:val="00CC21E9"/>
    <w:rsid w:val="00CC2201"/>
    <w:rsid w:val="00CC24C1"/>
    <w:rsid w:val="00CC290C"/>
    <w:rsid w:val="00CC2CC5"/>
    <w:rsid w:val="00CC2E49"/>
    <w:rsid w:val="00CC34D8"/>
    <w:rsid w:val="00CC351C"/>
    <w:rsid w:val="00CC3737"/>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B3F"/>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488"/>
    <w:rsid w:val="00CD05C8"/>
    <w:rsid w:val="00CD05CE"/>
    <w:rsid w:val="00CD06F2"/>
    <w:rsid w:val="00CD07F6"/>
    <w:rsid w:val="00CD089F"/>
    <w:rsid w:val="00CD0B42"/>
    <w:rsid w:val="00CD0E99"/>
    <w:rsid w:val="00CD1101"/>
    <w:rsid w:val="00CD16F7"/>
    <w:rsid w:val="00CD171B"/>
    <w:rsid w:val="00CD17E1"/>
    <w:rsid w:val="00CD17FB"/>
    <w:rsid w:val="00CD1A92"/>
    <w:rsid w:val="00CD1BB4"/>
    <w:rsid w:val="00CD1E9F"/>
    <w:rsid w:val="00CD1F25"/>
    <w:rsid w:val="00CD1F55"/>
    <w:rsid w:val="00CD20BD"/>
    <w:rsid w:val="00CD20C5"/>
    <w:rsid w:val="00CD23CA"/>
    <w:rsid w:val="00CD26D8"/>
    <w:rsid w:val="00CD27F9"/>
    <w:rsid w:val="00CD28E6"/>
    <w:rsid w:val="00CD2902"/>
    <w:rsid w:val="00CD2A98"/>
    <w:rsid w:val="00CD2BCF"/>
    <w:rsid w:val="00CD2DB9"/>
    <w:rsid w:val="00CD2E5B"/>
    <w:rsid w:val="00CD3291"/>
    <w:rsid w:val="00CD3495"/>
    <w:rsid w:val="00CD3619"/>
    <w:rsid w:val="00CD37B3"/>
    <w:rsid w:val="00CD3941"/>
    <w:rsid w:val="00CD3B6D"/>
    <w:rsid w:val="00CD3D5C"/>
    <w:rsid w:val="00CD3DBF"/>
    <w:rsid w:val="00CD3EC5"/>
    <w:rsid w:val="00CD3F28"/>
    <w:rsid w:val="00CD4021"/>
    <w:rsid w:val="00CD40E8"/>
    <w:rsid w:val="00CD43D8"/>
    <w:rsid w:val="00CD448F"/>
    <w:rsid w:val="00CD451A"/>
    <w:rsid w:val="00CD45B3"/>
    <w:rsid w:val="00CD45B9"/>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D6E"/>
    <w:rsid w:val="00CD6ED2"/>
    <w:rsid w:val="00CD7171"/>
    <w:rsid w:val="00CD7250"/>
    <w:rsid w:val="00CD7610"/>
    <w:rsid w:val="00CD763E"/>
    <w:rsid w:val="00CD7822"/>
    <w:rsid w:val="00CD7890"/>
    <w:rsid w:val="00CD79B7"/>
    <w:rsid w:val="00CD7A4D"/>
    <w:rsid w:val="00CD7ACC"/>
    <w:rsid w:val="00CD7B98"/>
    <w:rsid w:val="00CD7C25"/>
    <w:rsid w:val="00CD7FA0"/>
    <w:rsid w:val="00CE01AD"/>
    <w:rsid w:val="00CE028F"/>
    <w:rsid w:val="00CE077E"/>
    <w:rsid w:val="00CE07BA"/>
    <w:rsid w:val="00CE0975"/>
    <w:rsid w:val="00CE0A18"/>
    <w:rsid w:val="00CE0A2C"/>
    <w:rsid w:val="00CE0A77"/>
    <w:rsid w:val="00CE0C08"/>
    <w:rsid w:val="00CE0C79"/>
    <w:rsid w:val="00CE0DC1"/>
    <w:rsid w:val="00CE0EBE"/>
    <w:rsid w:val="00CE0F10"/>
    <w:rsid w:val="00CE14CF"/>
    <w:rsid w:val="00CE1A22"/>
    <w:rsid w:val="00CE1AAC"/>
    <w:rsid w:val="00CE1BD9"/>
    <w:rsid w:val="00CE2142"/>
    <w:rsid w:val="00CE2202"/>
    <w:rsid w:val="00CE233B"/>
    <w:rsid w:val="00CE2461"/>
    <w:rsid w:val="00CE246B"/>
    <w:rsid w:val="00CE2781"/>
    <w:rsid w:val="00CE27DD"/>
    <w:rsid w:val="00CE2804"/>
    <w:rsid w:val="00CE2B12"/>
    <w:rsid w:val="00CE2EEC"/>
    <w:rsid w:val="00CE30BA"/>
    <w:rsid w:val="00CE3146"/>
    <w:rsid w:val="00CE3233"/>
    <w:rsid w:val="00CE33DA"/>
    <w:rsid w:val="00CE3626"/>
    <w:rsid w:val="00CE37BE"/>
    <w:rsid w:val="00CE3BE7"/>
    <w:rsid w:val="00CE3C10"/>
    <w:rsid w:val="00CE3C27"/>
    <w:rsid w:val="00CE3C70"/>
    <w:rsid w:val="00CE40E1"/>
    <w:rsid w:val="00CE411D"/>
    <w:rsid w:val="00CE413E"/>
    <w:rsid w:val="00CE4177"/>
    <w:rsid w:val="00CE42A8"/>
    <w:rsid w:val="00CE43B8"/>
    <w:rsid w:val="00CE44C7"/>
    <w:rsid w:val="00CE4518"/>
    <w:rsid w:val="00CE460A"/>
    <w:rsid w:val="00CE46A9"/>
    <w:rsid w:val="00CE4B9C"/>
    <w:rsid w:val="00CE4BF7"/>
    <w:rsid w:val="00CE4C1C"/>
    <w:rsid w:val="00CE4CF8"/>
    <w:rsid w:val="00CE4D8F"/>
    <w:rsid w:val="00CE4E80"/>
    <w:rsid w:val="00CE50FC"/>
    <w:rsid w:val="00CE5162"/>
    <w:rsid w:val="00CE5436"/>
    <w:rsid w:val="00CE58EE"/>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163"/>
    <w:rsid w:val="00CF02AC"/>
    <w:rsid w:val="00CF07D7"/>
    <w:rsid w:val="00CF08D6"/>
    <w:rsid w:val="00CF0980"/>
    <w:rsid w:val="00CF09F9"/>
    <w:rsid w:val="00CF0A5D"/>
    <w:rsid w:val="00CF0BD5"/>
    <w:rsid w:val="00CF0CB7"/>
    <w:rsid w:val="00CF0E66"/>
    <w:rsid w:val="00CF0E7D"/>
    <w:rsid w:val="00CF1010"/>
    <w:rsid w:val="00CF1095"/>
    <w:rsid w:val="00CF11E6"/>
    <w:rsid w:val="00CF142C"/>
    <w:rsid w:val="00CF1BF4"/>
    <w:rsid w:val="00CF1D02"/>
    <w:rsid w:val="00CF1E70"/>
    <w:rsid w:val="00CF2030"/>
    <w:rsid w:val="00CF2143"/>
    <w:rsid w:val="00CF2324"/>
    <w:rsid w:val="00CF23ED"/>
    <w:rsid w:val="00CF2838"/>
    <w:rsid w:val="00CF28C5"/>
    <w:rsid w:val="00CF2A25"/>
    <w:rsid w:val="00CF2CC1"/>
    <w:rsid w:val="00CF2D01"/>
    <w:rsid w:val="00CF2F19"/>
    <w:rsid w:val="00CF3137"/>
    <w:rsid w:val="00CF3220"/>
    <w:rsid w:val="00CF3472"/>
    <w:rsid w:val="00CF3606"/>
    <w:rsid w:val="00CF38D4"/>
    <w:rsid w:val="00CF3A81"/>
    <w:rsid w:val="00CF3B5E"/>
    <w:rsid w:val="00CF3C64"/>
    <w:rsid w:val="00CF3D62"/>
    <w:rsid w:val="00CF3DAB"/>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65"/>
    <w:rsid w:val="00CF547E"/>
    <w:rsid w:val="00CF54C8"/>
    <w:rsid w:val="00CF5587"/>
    <w:rsid w:val="00CF56A1"/>
    <w:rsid w:val="00CF5734"/>
    <w:rsid w:val="00CF57D6"/>
    <w:rsid w:val="00CF59AD"/>
    <w:rsid w:val="00CF5A7C"/>
    <w:rsid w:val="00CF5BAA"/>
    <w:rsid w:val="00CF5BF3"/>
    <w:rsid w:val="00CF5C65"/>
    <w:rsid w:val="00CF5C68"/>
    <w:rsid w:val="00CF62BB"/>
    <w:rsid w:val="00CF633A"/>
    <w:rsid w:val="00CF66ED"/>
    <w:rsid w:val="00CF6822"/>
    <w:rsid w:val="00CF6840"/>
    <w:rsid w:val="00CF6996"/>
    <w:rsid w:val="00CF6BCD"/>
    <w:rsid w:val="00CF6C2A"/>
    <w:rsid w:val="00CF6D57"/>
    <w:rsid w:val="00CF6F6C"/>
    <w:rsid w:val="00CF6FBF"/>
    <w:rsid w:val="00CF718B"/>
    <w:rsid w:val="00CF7357"/>
    <w:rsid w:val="00CF7430"/>
    <w:rsid w:val="00CF745B"/>
    <w:rsid w:val="00CF74EE"/>
    <w:rsid w:val="00CF75DA"/>
    <w:rsid w:val="00CF7606"/>
    <w:rsid w:val="00CF76A0"/>
    <w:rsid w:val="00CF7811"/>
    <w:rsid w:val="00CF7A76"/>
    <w:rsid w:val="00CF7D49"/>
    <w:rsid w:val="00CF7EE2"/>
    <w:rsid w:val="00CF7F6C"/>
    <w:rsid w:val="00D00060"/>
    <w:rsid w:val="00D000D4"/>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450"/>
    <w:rsid w:val="00D045B1"/>
    <w:rsid w:val="00D04A1F"/>
    <w:rsid w:val="00D04A56"/>
    <w:rsid w:val="00D04A64"/>
    <w:rsid w:val="00D04AEE"/>
    <w:rsid w:val="00D04C38"/>
    <w:rsid w:val="00D04D1E"/>
    <w:rsid w:val="00D04D5A"/>
    <w:rsid w:val="00D04F12"/>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3AE"/>
    <w:rsid w:val="00D074D9"/>
    <w:rsid w:val="00D07500"/>
    <w:rsid w:val="00D07508"/>
    <w:rsid w:val="00D077D1"/>
    <w:rsid w:val="00D07866"/>
    <w:rsid w:val="00D078A8"/>
    <w:rsid w:val="00D07D2E"/>
    <w:rsid w:val="00D1038D"/>
    <w:rsid w:val="00D1071E"/>
    <w:rsid w:val="00D10760"/>
    <w:rsid w:val="00D10EA7"/>
    <w:rsid w:val="00D1104B"/>
    <w:rsid w:val="00D110BC"/>
    <w:rsid w:val="00D11113"/>
    <w:rsid w:val="00D111F1"/>
    <w:rsid w:val="00D11790"/>
    <w:rsid w:val="00D11D24"/>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251"/>
    <w:rsid w:val="00D1449B"/>
    <w:rsid w:val="00D144E6"/>
    <w:rsid w:val="00D1461C"/>
    <w:rsid w:val="00D147BF"/>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0EC5"/>
    <w:rsid w:val="00D21079"/>
    <w:rsid w:val="00D21253"/>
    <w:rsid w:val="00D214F5"/>
    <w:rsid w:val="00D21505"/>
    <w:rsid w:val="00D21519"/>
    <w:rsid w:val="00D217A7"/>
    <w:rsid w:val="00D21A34"/>
    <w:rsid w:val="00D21B31"/>
    <w:rsid w:val="00D21C8D"/>
    <w:rsid w:val="00D21F7A"/>
    <w:rsid w:val="00D22210"/>
    <w:rsid w:val="00D223F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CB"/>
    <w:rsid w:val="00D2439E"/>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AEA"/>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68C"/>
    <w:rsid w:val="00D30816"/>
    <w:rsid w:val="00D30863"/>
    <w:rsid w:val="00D30D34"/>
    <w:rsid w:val="00D30D55"/>
    <w:rsid w:val="00D30E4D"/>
    <w:rsid w:val="00D30FC9"/>
    <w:rsid w:val="00D31200"/>
    <w:rsid w:val="00D314A0"/>
    <w:rsid w:val="00D3161C"/>
    <w:rsid w:val="00D316E1"/>
    <w:rsid w:val="00D317C2"/>
    <w:rsid w:val="00D31A1F"/>
    <w:rsid w:val="00D31AFE"/>
    <w:rsid w:val="00D31BBF"/>
    <w:rsid w:val="00D31D9F"/>
    <w:rsid w:val="00D32033"/>
    <w:rsid w:val="00D32082"/>
    <w:rsid w:val="00D322C4"/>
    <w:rsid w:val="00D322F4"/>
    <w:rsid w:val="00D32492"/>
    <w:rsid w:val="00D324B3"/>
    <w:rsid w:val="00D3262A"/>
    <w:rsid w:val="00D3267C"/>
    <w:rsid w:val="00D326D7"/>
    <w:rsid w:val="00D329C4"/>
    <w:rsid w:val="00D32B0C"/>
    <w:rsid w:val="00D32D02"/>
    <w:rsid w:val="00D32D0F"/>
    <w:rsid w:val="00D32DDB"/>
    <w:rsid w:val="00D32FB8"/>
    <w:rsid w:val="00D32FD3"/>
    <w:rsid w:val="00D3316E"/>
    <w:rsid w:val="00D335EE"/>
    <w:rsid w:val="00D3371B"/>
    <w:rsid w:val="00D33840"/>
    <w:rsid w:val="00D338BF"/>
    <w:rsid w:val="00D339B5"/>
    <w:rsid w:val="00D33ED6"/>
    <w:rsid w:val="00D33F28"/>
    <w:rsid w:val="00D33F46"/>
    <w:rsid w:val="00D3424A"/>
    <w:rsid w:val="00D343F6"/>
    <w:rsid w:val="00D34490"/>
    <w:rsid w:val="00D3469D"/>
    <w:rsid w:val="00D348E1"/>
    <w:rsid w:val="00D34B96"/>
    <w:rsid w:val="00D34C90"/>
    <w:rsid w:val="00D34DA9"/>
    <w:rsid w:val="00D3518C"/>
    <w:rsid w:val="00D35786"/>
    <w:rsid w:val="00D3580B"/>
    <w:rsid w:val="00D35903"/>
    <w:rsid w:val="00D359FC"/>
    <w:rsid w:val="00D35F3E"/>
    <w:rsid w:val="00D3618D"/>
    <w:rsid w:val="00D362CE"/>
    <w:rsid w:val="00D363B7"/>
    <w:rsid w:val="00D36659"/>
    <w:rsid w:val="00D36AA8"/>
    <w:rsid w:val="00D36ABA"/>
    <w:rsid w:val="00D36AEF"/>
    <w:rsid w:val="00D37000"/>
    <w:rsid w:val="00D37454"/>
    <w:rsid w:val="00D3770C"/>
    <w:rsid w:val="00D377E1"/>
    <w:rsid w:val="00D37AAB"/>
    <w:rsid w:val="00D37DA2"/>
    <w:rsid w:val="00D401A7"/>
    <w:rsid w:val="00D401CC"/>
    <w:rsid w:val="00D40375"/>
    <w:rsid w:val="00D40791"/>
    <w:rsid w:val="00D40C3D"/>
    <w:rsid w:val="00D40D86"/>
    <w:rsid w:val="00D40DA6"/>
    <w:rsid w:val="00D40F22"/>
    <w:rsid w:val="00D41246"/>
    <w:rsid w:val="00D41378"/>
    <w:rsid w:val="00D413EA"/>
    <w:rsid w:val="00D413F6"/>
    <w:rsid w:val="00D414CD"/>
    <w:rsid w:val="00D41556"/>
    <w:rsid w:val="00D41622"/>
    <w:rsid w:val="00D41823"/>
    <w:rsid w:val="00D418C6"/>
    <w:rsid w:val="00D4198B"/>
    <w:rsid w:val="00D41EBF"/>
    <w:rsid w:val="00D41F7B"/>
    <w:rsid w:val="00D42055"/>
    <w:rsid w:val="00D42131"/>
    <w:rsid w:val="00D423AB"/>
    <w:rsid w:val="00D42435"/>
    <w:rsid w:val="00D428DA"/>
    <w:rsid w:val="00D42974"/>
    <w:rsid w:val="00D42DA9"/>
    <w:rsid w:val="00D42E93"/>
    <w:rsid w:val="00D42F94"/>
    <w:rsid w:val="00D433E2"/>
    <w:rsid w:val="00D433F6"/>
    <w:rsid w:val="00D433F9"/>
    <w:rsid w:val="00D4342D"/>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5FC9"/>
    <w:rsid w:val="00D4620A"/>
    <w:rsid w:val="00D4644F"/>
    <w:rsid w:val="00D465BB"/>
    <w:rsid w:val="00D465BF"/>
    <w:rsid w:val="00D46701"/>
    <w:rsid w:val="00D46932"/>
    <w:rsid w:val="00D46BB3"/>
    <w:rsid w:val="00D46C15"/>
    <w:rsid w:val="00D46D67"/>
    <w:rsid w:val="00D46F90"/>
    <w:rsid w:val="00D46FC8"/>
    <w:rsid w:val="00D4712B"/>
    <w:rsid w:val="00D47142"/>
    <w:rsid w:val="00D47829"/>
    <w:rsid w:val="00D478F4"/>
    <w:rsid w:val="00D47938"/>
    <w:rsid w:val="00D47AF9"/>
    <w:rsid w:val="00D47B5E"/>
    <w:rsid w:val="00D47C4A"/>
    <w:rsid w:val="00D47E2E"/>
    <w:rsid w:val="00D47FCF"/>
    <w:rsid w:val="00D500FB"/>
    <w:rsid w:val="00D5010A"/>
    <w:rsid w:val="00D504D2"/>
    <w:rsid w:val="00D507C5"/>
    <w:rsid w:val="00D50840"/>
    <w:rsid w:val="00D50C23"/>
    <w:rsid w:val="00D50DDF"/>
    <w:rsid w:val="00D50FCA"/>
    <w:rsid w:val="00D51039"/>
    <w:rsid w:val="00D510FB"/>
    <w:rsid w:val="00D5127B"/>
    <w:rsid w:val="00D51559"/>
    <w:rsid w:val="00D515A5"/>
    <w:rsid w:val="00D518D1"/>
    <w:rsid w:val="00D51981"/>
    <w:rsid w:val="00D51DA3"/>
    <w:rsid w:val="00D52062"/>
    <w:rsid w:val="00D522AC"/>
    <w:rsid w:val="00D5234E"/>
    <w:rsid w:val="00D524E6"/>
    <w:rsid w:val="00D528E0"/>
    <w:rsid w:val="00D52A6F"/>
    <w:rsid w:val="00D52DEF"/>
    <w:rsid w:val="00D53114"/>
    <w:rsid w:val="00D539C8"/>
    <w:rsid w:val="00D53A5F"/>
    <w:rsid w:val="00D53A63"/>
    <w:rsid w:val="00D5407E"/>
    <w:rsid w:val="00D543F9"/>
    <w:rsid w:val="00D5444A"/>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BF"/>
    <w:rsid w:val="00D55BF6"/>
    <w:rsid w:val="00D55C74"/>
    <w:rsid w:val="00D55F18"/>
    <w:rsid w:val="00D55F38"/>
    <w:rsid w:val="00D56017"/>
    <w:rsid w:val="00D562AD"/>
    <w:rsid w:val="00D562DE"/>
    <w:rsid w:val="00D56419"/>
    <w:rsid w:val="00D56827"/>
    <w:rsid w:val="00D56A6C"/>
    <w:rsid w:val="00D56AE1"/>
    <w:rsid w:val="00D56BC8"/>
    <w:rsid w:val="00D56E7B"/>
    <w:rsid w:val="00D56E9C"/>
    <w:rsid w:val="00D56FC8"/>
    <w:rsid w:val="00D572D9"/>
    <w:rsid w:val="00D5731B"/>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88C"/>
    <w:rsid w:val="00D60B68"/>
    <w:rsid w:val="00D60DEF"/>
    <w:rsid w:val="00D61147"/>
    <w:rsid w:val="00D61366"/>
    <w:rsid w:val="00D613BD"/>
    <w:rsid w:val="00D6140C"/>
    <w:rsid w:val="00D6146A"/>
    <w:rsid w:val="00D618CE"/>
    <w:rsid w:val="00D6194F"/>
    <w:rsid w:val="00D61A53"/>
    <w:rsid w:val="00D61AA1"/>
    <w:rsid w:val="00D61ACB"/>
    <w:rsid w:val="00D61C0D"/>
    <w:rsid w:val="00D61C8F"/>
    <w:rsid w:val="00D61CFF"/>
    <w:rsid w:val="00D61E64"/>
    <w:rsid w:val="00D61F53"/>
    <w:rsid w:val="00D620E6"/>
    <w:rsid w:val="00D6216F"/>
    <w:rsid w:val="00D6219F"/>
    <w:rsid w:val="00D621B5"/>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0C"/>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5BA"/>
    <w:rsid w:val="00D73687"/>
    <w:rsid w:val="00D737C5"/>
    <w:rsid w:val="00D73A21"/>
    <w:rsid w:val="00D73B1E"/>
    <w:rsid w:val="00D73D04"/>
    <w:rsid w:val="00D74185"/>
    <w:rsid w:val="00D74369"/>
    <w:rsid w:val="00D74571"/>
    <w:rsid w:val="00D74705"/>
    <w:rsid w:val="00D74708"/>
    <w:rsid w:val="00D74832"/>
    <w:rsid w:val="00D74A7D"/>
    <w:rsid w:val="00D74B6B"/>
    <w:rsid w:val="00D74E53"/>
    <w:rsid w:val="00D75195"/>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D5C"/>
    <w:rsid w:val="00D81FAE"/>
    <w:rsid w:val="00D81FCC"/>
    <w:rsid w:val="00D82266"/>
    <w:rsid w:val="00D828C7"/>
    <w:rsid w:val="00D82B81"/>
    <w:rsid w:val="00D82C05"/>
    <w:rsid w:val="00D82C4B"/>
    <w:rsid w:val="00D82D17"/>
    <w:rsid w:val="00D82D80"/>
    <w:rsid w:val="00D82E5D"/>
    <w:rsid w:val="00D82F0F"/>
    <w:rsid w:val="00D82F1B"/>
    <w:rsid w:val="00D8346B"/>
    <w:rsid w:val="00D8353A"/>
    <w:rsid w:val="00D83592"/>
    <w:rsid w:val="00D83674"/>
    <w:rsid w:val="00D83735"/>
    <w:rsid w:val="00D83BE2"/>
    <w:rsid w:val="00D83D4F"/>
    <w:rsid w:val="00D83E51"/>
    <w:rsid w:val="00D83F95"/>
    <w:rsid w:val="00D8407B"/>
    <w:rsid w:val="00D843B2"/>
    <w:rsid w:val="00D843D0"/>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5E45"/>
    <w:rsid w:val="00D860DC"/>
    <w:rsid w:val="00D86123"/>
    <w:rsid w:val="00D866EA"/>
    <w:rsid w:val="00D86852"/>
    <w:rsid w:val="00D86A1E"/>
    <w:rsid w:val="00D86C93"/>
    <w:rsid w:val="00D86CAB"/>
    <w:rsid w:val="00D86CE3"/>
    <w:rsid w:val="00D86D9E"/>
    <w:rsid w:val="00D86E23"/>
    <w:rsid w:val="00D86F7F"/>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110A"/>
    <w:rsid w:val="00D911FE"/>
    <w:rsid w:val="00D91265"/>
    <w:rsid w:val="00D91907"/>
    <w:rsid w:val="00D919D8"/>
    <w:rsid w:val="00D91B81"/>
    <w:rsid w:val="00D91D77"/>
    <w:rsid w:val="00D91FA0"/>
    <w:rsid w:val="00D92025"/>
    <w:rsid w:val="00D92072"/>
    <w:rsid w:val="00D923B5"/>
    <w:rsid w:val="00D92480"/>
    <w:rsid w:val="00D9260F"/>
    <w:rsid w:val="00D9265C"/>
    <w:rsid w:val="00D92698"/>
    <w:rsid w:val="00D928B9"/>
    <w:rsid w:val="00D9294D"/>
    <w:rsid w:val="00D92C75"/>
    <w:rsid w:val="00D92D34"/>
    <w:rsid w:val="00D92DA5"/>
    <w:rsid w:val="00D92E06"/>
    <w:rsid w:val="00D92FA8"/>
    <w:rsid w:val="00D9308F"/>
    <w:rsid w:val="00D93150"/>
    <w:rsid w:val="00D9360D"/>
    <w:rsid w:val="00D9363C"/>
    <w:rsid w:val="00D93946"/>
    <w:rsid w:val="00D939B4"/>
    <w:rsid w:val="00D939CC"/>
    <w:rsid w:val="00D93A51"/>
    <w:rsid w:val="00D93C45"/>
    <w:rsid w:val="00D93D19"/>
    <w:rsid w:val="00D942ED"/>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7D1"/>
    <w:rsid w:val="00D9697C"/>
    <w:rsid w:val="00D96BD2"/>
    <w:rsid w:val="00D96D4E"/>
    <w:rsid w:val="00D96F43"/>
    <w:rsid w:val="00D970FF"/>
    <w:rsid w:val="00D97429"/>
    <w:rsid w:val="00D97A17"/>
    <w:rsid w:val="00D97D48"/>
    <w:rsid w:val="00D97E09"/>
    <w:rsid w:val="00D97E6C"/>
    <w:rsid w:val="00D97F69"/>
    <w:rsid w:val="00DA0296"/>
    <w:rsid w:val="00DA050B"/>
    <w:rsid w:val="00DA0712"/>
    <w:rsid w:val="00DA0911"/>
    <w:rsid w:val="00DA0C62"/>
    <w:rsid w:val="00DA0C63"/>
    <w:rsid w:val="00DA0E1D"/>
    <w:rsid w:val="00DA11D3"/>
    <w:rsid w:val="00DA1219"/>
    <w:rsid w:val="00DA128C"/>
    <w:rsid w:val="00DA178B"/>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095"/>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91E"/>
    <w:rsid w:val="00DA4B5A"/>
    <w:rsid w:val="00DA5147"/>
    <w:rsid w:val="00DA51BD"/>
    <w:rsid w:val="00DA523C"/>
    <w:rsid w:val="00DA5361"/>
    <w:rsid w:val="00DA56EE"/>
    <w:rsid w:val="00DA5752"/>
    <w:rsid w:val="00DA5800"/>
    <w:rsid w:val="00DA5867"/>
    <w:rsid w:val="00DA5A2E"/>
    <w:rsid w:val="00DA5A8D"/>
    <w:rsid w:val="00DA5F72"/>
    <w:rsid w:val="00DA6442"/>
    <w:rsid w:val="00DA6613"/>
    <w:rsid w:val="00DA67D9"/>
    <w:rsid w:val="00DA68CA"/>
    <w:rsid w:val="00DA6990"/>
    <w:rsid w:val="00DA6D4D"/>
    <w:rsid w:val="00DA6E18"/>
    <w:rsid w:val="00DA6E41"/>
    <w:rsid w:val="00DA700C"/>
    <w:rsid w:val="00DA7113"/>
    <w:rsid w:val="00DA7623"/>
    <w:rsid w:val="00DA7730"/>
    <w:rsid w:val="00DA7942"/>
    <w:rsid w:val="00DA7A36"/>
    <w:rsid w:val="00DA7B9F"/>
    <w:rsid w:val="00DA7FBB"/>
    <w:rsid w:val="00DB0201"/>
    <w:rsid w:val="00DB0254"/>
    <w:rsid w:val="00DB0336"/>
    <w:rsid w:val="00DB05C2"/>
    <w:rsid w:val="00DB0611"/>
    <w:rsid w:val="00DB0674"/>
    <w:rsid w:val="00DB06F3"/>
    <w:rsid w:val="00DB0725"/>
    <w:rsid w:val="00DB079C"/>
    <w:rsid w:val="00DB08B6"/>
    <w:rsid w:val="00DB09A7"/>
    <w:rsid w:val="00DB0A99"/>
    <w:rsid w:val="00DB0BCA"/>
    <w:rsid w:val="00DB0D71"/>
    <w:rsid w:val="00DB0D8A"/>
    <w:rsid w:val="00DB133D"/>
    <w:rsid w:val="00DB14B1"/>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095"/>
    <w:rsid w:val="00DB41E5"/>
    <w:rsid w:val="00DB472B"/>
    <w:rsid w:val="00DB4E41"/>
    <w:rsid w:val="00DB513F"/>
    <w:rsid w:val="00DB518D"/>
    <w:rsid w:val="00DB5388"/>
    <w:rsid w:val="00DB5391"/>
    <w:rsid w:val="00DB54F3"/>
    <w:rsid w:val="00DB5501"/>
    <w:rsid w:val="00DB5843"/>
    <w:rsid w:val="00DB586B"/>
    <w:rsid w:val="00DB5872"/>
    <w:rsid w:val="00DB592A"/>
    <w:rsid w:val="00DB596D"/>
    <w:rsid w:val="00DB5997"/>
    <w:rsid w:val="00DB5BC4"/>
    <w:rsid w:val="00DB5CF5"/>
    <w:rsid w:val="00DB5D5A"/>
    <w:rsid w:val="00DB5EA4"/>
    <w:rsid w:val="00DB5FA6"/>
    <w:rsid w:val="00DB6056"/>
    <w:rsid w:val="00DB6081"/>
    <w:rsid w:val="00DB62F4"/>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0F97"/>
    <w:rsid w:val="00DC106D"/>
    <w:rsid w:val="00DC110D"/>
    <w:rsid w:val="00DC126B"/>
    <w:rsid w:val="00DC1416"/>
    <w:rsid w:val="00DC154C"/>
    <w:rsid w:val="00DC1766"/>
    <w:rsid w:val="00DC19BB"/>
    <w:rsid w:val="00DC1A0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E3D"/>
    <w:rsid w:val="00DC601F"/>
    <w:rsid w:val="00DC62BF"/>
    <w:rsid w:val="00DC6536"/>
    <w:rsid w:val="00DC6577"/>
    <w:rsid w:val="00DC67AC"/>
    <w:rsid w:val="00DC6B09"/>
    <w:rsid w:val="00DC6B76"/>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F4"/>
    <w:rsid w:val="00DD097B"/>
    <w:rsid w:val="00DD0B00"/>
    <w:rsid w:val="00DD0C7C"/>
    <w:rsid w:val="00DD0ED4"/>
    <w:rsid w:val="00DD0F84"/>
    <w:rsid w:val="00DD0FA6"/>
    <w:rsid w:val="00DD136E"/>
    <w:rsid w:val="00DD16F0"/>
    <w:rsid w:val="00DD1781"/>
    <w:rsid w:val="00DD1A12"/>
    <w:rsid w:val="00DD1A6D"/>
    <w:rsid w:val="00DD1EC8"/>
    <w:rsid w:val="00DD1ED2"/>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894"/>
    <w:rsid w:val="00DD3B19"/>
    <w:rsid w:val="00DD3CD5"/>
    <w:rsid w:val="00DD3DFE"/>
    <w:rsid w:val="00DD3E5D"/>
    <w:rsid w:val="00DD3EAF"/>
    <w:rsid w:val="00DD3F1A"/>
    <w:rsid w:val="00DD3F3B"/>
    <w:rsid w:val="00DD417C"/>
    <w:rsid w:val="00DD4216"/>
    <w:rsid w:val="00DD4977"/>
    <w:rsid w:val="00DD49D9"/>
    <w:rsid w:val="00DD4E79"/>
    <w:rsid w:val="00DD4EC3"/>
    <w:rsid w:val="00DD4F33"/>
    <w:rsid w:val="00DD4F55"/>
    <w:rsid w:val="00DD4F6E"/>
    <w:rsid w:val="00DD4FA6"/>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50"/>
    <w:rsid w:val="00DE10EE"/>
    <w:rsid w:val="00DE1141"/>
    <w:rsid w:val="00DE1309"/>
    <w:rsid w:val="00DE134A"/>
    <w:rsid w:val="00DE141F"/>
    <w:rsid w:val="00DE151B"/>
    <w:rsid w:val="00DE19AE"/>
    <w:rsid w:val="00DE1B86"/>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0"/>
    <w:rsid w:val="00DE345C"/>
    <w:rsid w:val="00DE34F0"/>
    <w:rsid w:val="00DE35AA"/>
    <w:rsid w:val="00DE3697"/>
    <w:rsid w:val="00DE36ED"/>
    <w:rsid w:val="00DE3801"/>
    <w:rsid w:val="00DE3824"/>
    <w:rsid w:val="00DE3D1D"/>
    <w:rsid w:val="00DE3FB2"/>
    <w:rsid w:val="00DE4090"/>
    <w:rsid w:val="00DE41CD"/>
    <w:rsid w:val="00DE4211"/>
    <w:rsid w:val="00DE43C4"/>
    <w:rsid w:val="00DE4622"/>
    <w:rsid w:val="00DE46FB"/>
    <w:rsid w:val="00DE47C2"/>
    <w:rsid w:val="00DE4841"/>
    <w:rsid w:val="00DE48B6"/>
    <w:rsid w:val="00DE4A17"/>
    <w:rsid w:val="00DE4A80"/>
    <w:rsid w:val="00DE4B17"/>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10"/>
    <w:rsid w:val="00DE5DA2"/>
    <w:rsid w:val="00DE5DE6"/>
    <w:rsid w:val="00DE5F61"/>
    <w:rsid w:val="00DE602D"/>
    <w:rsid w:val="00DE60A2"/>
    <w:rsid w:val="00DE6266"/>
    <w:rsid w:val="00DE67AF"/>
    <w:rsid w:val="00DE68FB"/>
    <w:rsid w:val="00DE694C"/>
    <w:rsid w:val="00DE6C62"/>
    <w:rsid w:val="00DE6E67"/>
    <w:rsid w:val="00DE7110"/>
    <w:rsid w:val="00DE711A"/>
    <w:rsid w:val="00DE7154"/>
    <w:rsid w:val="00DE73F5"/>
    <w:rsid w:val="00DE754C"/>
    <w:rsid w:val="00DE75C1"/>
    <w:rsid w:val="00DE7727"/>
    <w:rsid w:val="00DE775F"/>
    <w:rsid w:val="00DE77E5"/>
    <w:rsid w:val="00DE7801"/>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0F33"/>
    <w:rsid w:val="00DF1265"/>
    <w:rsid w:val="00DF12E2"/>
    <w:rsid w:val="00DF130D"/>
    <w:rsid w:val="00DF1383"/>
    <w:rsid w:val="00DF13B3"/>
    <w:rsid w:val="00DF1713"/>
    <w:rsid w:val="00DF17A3"/>
    <w:rsid w:val="00DF186C"/>
    <w:rsid w:val="00DF1A2C"/>
    <w:rsid w:val="00DF1C6E"/>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5DF"/>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B26"/>
    <w:rsid w:val="00DF6CC0"/>
    <w:rsid w:val="00DF6EC1"/>
    <w:rsid w:val="00DF6EDA"/>
    <w:rsid w:val="00DF740C"/>
    <w:rsid w:val="00DF746A"/>
    <w:rsid w:val="00DF7568"/>
    <w:rsid w:val="00DF7607"/>
    <w:rsid w:val="00DF770A"/>
    <w:rsid w:val="00DF7B90"/>
    <w:rsid w:val="00DF7C01"/>
    <w:rsid w:val="00DF7CD1"/>
    <w:rsid w:val="00DF7D8C"/>
    <w:rsid w:val="00DF7E40"/>
    <w:rsid w:val="00DF7F1E"/>
    <w:rsid w:val="00DF7F64"/>
    <w:rsid w:val="00E000E9"/>
    <w:rsid w:val="00E003AE"/>
    <w:rsid w:val="00E00472"/>
    <w:rsid w:val="00E00634"/>
    <w:rsid w:val="00E0095F"/>
    <w:rsid w:val="00E009C0"/>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0DE"/>
    <w:rsid w:val="00E021ED"/>
    <w:rsid w:val="00E02432"/>
    <w:rsid w:val="00E024A1"/>
    <w:rsid w:val="00E026AB"/>
    <w:rsid w:val="00E028EE"/>
    <w:rsid w:val="00E02974"/>
    <w:rsid w:val="00E029AB"/>
    <w:rsid w:val="00E02C80"/>
    <w:rsid w:val="00E02CB1"/>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AB"/>
    <w:rsid w:val="00E04977"/>
    <w:rsid w:val="00E04A0C"/>
    <w:rsid w:val="00E04AD1"/>
    <w:rsid w:val="00E04B64"/>
    <w:rsid w:val="00E04E04"/>
    <w:rsid w:val="00E04F51"/>
    <w:rsid w:val="00E05023"/>
    <w:rsid w:val="00E051EE"/>
    <w:rsid w:val="00E05261"/>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26C"/>
    <w:rsid w:val="00E07340"/>
    <w:rsid w:val="00E0779D"/>
    <w:rsid w:val="00E07BA2"/>
    <w:rsid w:val="00E07CE8"/>
    <w:rsid w:val="00E07D91"/>
    <w:rsid w:val="00E10018"/>
    <w:rsid w:val="00E101A7"/>
    <w:rsid w:val="00E10260"/>
    <w:rsid w:val="00E1044E"/>
    <w:rsid w:val="00E10775"/>
    <w:rsid w:val="00E10789"/>
    <w:rsid w:val="00E109D4"/>
    <w:rsid w:val="00E10AB8"/>
    <w:rsid w:val="00E10C4A"/>
    <w:rsid w:val="00E10D82"/>
    <w:rsid w:val="00E10E47"/>
    <w:rsid w:val="00E10E74"/>
    <w:rsid w:val="00E10F6B"/>
    <w:rsid w:val="00E10FB5"/>
    <w:rsid w:val="00E10FD6"/>
    <w:rsid w:val="00E110EF"/>
    <w:rsid w:val="00E112AE"/>
    <w:rsid w:val="00E11425"/>
    <w:rsid w:val="00E114A2"/>
    <w:rsid w:val="00E11568"/>
    <w:rsid w:val="00E1181D"/>
    <w:rsid w:val="00E118D7"/>
    <w:rsid w:val="00E119DC"/>
    <w:rsid w:val="00E11FC2"/>
    <w:rsid w:val="00E1206A"/>
    <w:rsid w:val="00E1208B"/>
    <w:rsid w:val="00E12172"/>
    <w:rsid w:val="00E123C7"/>
    <w:rsid w:val="00E12A25"/>
    <w:rsid w:val="00E12C78"/>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B99"/>
    <w:rsid w:val="00E14C09"/>
    <w:rsid w:val="00E14F53"/>
    <w:rsid w:val="00E1545E"/>
    <w:rsid w:val="00E15752"/>
    <w:rsid w:val="00E15813"/>
    <w:rsid w:val="00E1589C"/>
    <w:rsid w:val="00E15952"/>
    <w:rsid w:val="00E1598C"/>
    <w:rsid w:val="00E159B2"/>
    <w:rsid w:val="00E15ABF"/>
    <w:rsid w:val="00E15B64"/>
    <w:rsid w:val="00E15C46"/>
    <w:rsid w:val="00E15CC3"/>
    <w:rsid w:val="00E15CDB"/>
    <w:rsid w:val="00E16000"/>
    <w:rsid w:val="00E1634A"/>
    <w:rsid w:val="00E16481"/>
    <w:rsid w:val="00E16516"/>
    <w:rsid w:val="00E16792"/>
    <w:rsid w:val="00E16B01"/>
    <w:rsid w:val="00E16BCC"/>
    <w:rsid w:val="00E16E9B"/>
    <w:rsid w:val="00E16EF2"/>
    <w:rsid w:val="00E16F1D"/>
    <w:rsid w:val="00E1705A"/>
    <w:rsid w:val="00E174FF"/>
    <w:rsid w:val="00E1759E"/>
    <w:rsid w:val="00E17620"/>
    <w:rsid w:val="00E1777D"/>
    <w:rsid w:val="00E17BF4"/>
    <w:rsid w:val="00E17D15"/>
    <w:rsid w:val="00E17E45"/>
    <w:rsid w:val="00E201E9"/>
    <w:rsid w:val="00E204EE"/>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5D4"/>
    <w:rsid w:val="00E2469E"/>
    <w:rsid w:val="00E24874"/>
    <w:rsid w:val="00E24B99"/>
    <w:rsid w:val="00E24BF6"/>
    <w:rsid w:val="00E24DBB"/>
    <w:rsid w:val="00E24DF6"/>
    <w:rsid w:val="00E25793"/>
    <w:rsid w:val="00E2584C"/>
    <w:rsid w:val="00E25A5F"/>
    <w:rsid w:val="00E25D45"/>
    <w:rsid w:val="00E25EB5"/>
    <w:rsid w:val="00E25EDF"/>
    <w:rsid w:val="00E264AB"/>
    <w:rsid w:val="00E2656C"/>
    <w:rsid w:val="00E265C9"/>
    <w:rsid w:val="00E265FF"/>
    <w:rsid w:val="00E26657"/>
    <w:rsid w:val="00E267FB"/>
    <w:rsid w:val="00E26AB2"/>
    <w:rsid w:val="00E26ECE"/>
    <w:rsid w:val="00E2710C"/>
    <w:rsid w:val="00E271DA"/>
    <w:rsid w:val="00E2725F"/>
    <w:rsid w:val="00E27729"/>
    <w:rsid w:val="00E2776A"/>
    <w:rsid w:val="00E27BAD"/>
    <w:rsid w:val="00E27DDB"/>
    <w:rsid w:val="00E27FC9"/>
    <w:rsid w:val="00E3005B"/>
    <w:rsid w:val="00E300FF"/>
    <w:rsid w:val="00E301C5"/>
    <w:rsid w:val="00E30227"/>
    <w:rsid w:val="00E303F3"/>
    <w:rsid w:val="00E30457"/>
    <w:rsid w:val="00E304F7"/>
    <w:rsid w:val="00E30785"/>
    <w:rsid w:val="00E3093D"/>
    <w:rsid w:val="00E3097C"/>
    <w:rsid w:val="00E30A26"/>
    <w:rsid w:val="00E30CD1"/>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46D"/>
    <w:rsid w:val="00E33533"/>
    <w:rsid w:val="00E33C58"/>
    <w:rsid w:val="00E33D3B"/>
    <w:rsid w:val="00E33EE7"/>
    <w:rsid w:val="00E33F00"/>
    <w:rsid w:val="00E3409B"/>
    <w:rsid w:val="00E34388"/>
    <w:rsid w:val="00E34407"/>
    <w:rsid w:val="00E3467F"/>
    <w:rsid w:val="00E348F3"/>
    <w:rsid w:val="00E34957"/>
    <w:rsid w:val="00E34F02"/>
    <w:rsid w:val="00E355A4"/>
    <w:rsid w:val="00E355AE"/>
    <w:rsid w:val="00E357F5"/>
    <w:rsid w:val="00E35A0C"/>
    <w:rsid w:val="00E35C5A"/>
    <w:rsid w:val="00E36126"/>
    <w:rsid w:val="00E36173"/>
    <w:rsid w:val="00E361E4"/>
    <w:rsid w:val="00E36230"/>
    <w:rsid w:val="00E363FD"/>
    <w:rsid w:val="00E36760"/>
    <w:rsid w:val="00E368AF"/>
    <w:rsid w:val="00E36B93"/>
    <w:rsid w:val="00E36BB0"/>
    <w:rsid w:val="00E36BBC"/>
    <w:rsid w:val="00E36C2E"/>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ACA"/>
    <w:rsid w:val="00E41BE4"/>
    <w:rsid w:val="00E41CD1"/>
    <w:rsid w:val="00E41D08"/>
    <w:rsid w:val="00E41E66"/>
    <w:rsid w:val="00E41EF0"/>
    <w:rsid w:val="00E4200E"/>
    <w:rsid w:val="00E42498"/>
    <w:rsid w:val="00E429EE"/>
    <w:rsid w:val="00E42A6A"/>
    <w:rsid w:val="00E42AC9"/>
    <w:rsid w:val="00E42B3F"/>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A51"/>
    <w:rsid w:val="00E45B70"/>
    <w:rsid w:val="00E45BB2"/>
    <w:rsid w:val="00E45D61"/>
    <w:rsid w:val="00E4601D"/>
    <w:rsid w:val="00E461C8"/>
    <w:rsid w:val="00E46315"/>
    <w:rsid w:val="00E46381"/>
    <w:rsid w:val="00E463D4"/>
    <w:rsid w:val="00E46803"/>
    <w:rsid w:val="00E46877"/>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248"/>
    <w:rsid w:val="00E509D2"/>
    <w:rsid w:val="00E50E14"/>
    <w:rsid w:val="00E50F9F"/>
    <w:rsid w:val="00E50FCE"/>
    <w:rsid w:val="00E50FF1"/>
    <w:rsid w:val="00E511DC"/>
    <w:rsid w:val="00E51340"/>
    <w:rsid w:val="00E513E4"/>
    <w:rsid w:val="00E514BB"/>
    <w:rsid w:val="00E517A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97"/>
    <w:rsid w:val="00E52A3B"/>
    <w:rsid w:val="00E52AAD"/>
    <w:rsid w:val="00E52C95"/>
    <w:rsid w:val="00E52EC3"/>
    <w:rsid w:val="00E52F56"/>
    <w:rsid w:val="00E5317A"/>
    <w:rsid w:val="00E534D4"/>
    <w:rsid w:val="00E53664"/>
    <w:rsid w:val="00E53832"/>
    <w:rsid w:val="00E53871"/>
    <w:rsid w:val="00E53955"/>
    <w:rsid w:val="00E53A94"/>
    <w:rsid w:val="00E53F2C"/>
    <w:rsid w:val="00E53FF4"/>
    <w:rsid w:val="00E54121"/>
    <w:rsid w:val="00E54276"/>
    <w:rsid w:val="00E54329"/>
    <w:rsid w:val="00E545CE"/>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5A76"/>
    <w:rsid w:val="00E55ACF"/>
    <w:rsid w:val="00E55DC1"/>
    <w:rsid w:val="00E55E51"/>
    <w:rsid w:val="00E5613C"/>
    <w:rsid w:val="00E56267"/>
    <w:rsid w:val="00E562D7"/>
    <w:rsid w:val="00E56323"/>
    <w:rsid w:val="00E56474"/>
    <w:rsid w:val="00E564FD"/>
    <w:rsid w:val="00E56735"/>
    <w:rsid w:val="00E567E4"/>
    <w:rsid w:val="00E56B85"/>
    <w:rsid w:val="00E56BB8"/>
    <w:rsid w:val="00E56DE3"/>
    <w:rsid w:val="00E570A6"/>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499"/>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2EC"/>
    <w:rsid w:val="00E6541C"/>
    <w:rsid w:val="00E655E7"/>
    <w:rsid w:val="00E655FF"/>
    <w:rsid w:val="00E65A5E"/>
    <w:rsid w:val="00E65C35"/>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414"/>
    <w:rsid w:val="00E67753"/>
    <w:rsid w:val="00E678CC"/>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93"/>
    <w:rsid w:val="00E718C0"/>
    <w:rsid w:val="00E71A0B"/>
    <w:rsid w:val="00E71AE5"/>
    <w:rsid w:val="00E71C79"/>
    <w:rsid w:val="00E71CB4"/>
    <w:rsid w:val="00E71D4E"/>
    <w:rsid w:val="00E71F8E"/>
    <w:rsid w:val="00E720BD"/>
    <w:rsid w:val="00E722CA"/>
    <w:rsid w:val="00E725F7"/>
    <w:rsid w:val="00E72902"/>
    <w:rsid w:val="00E7296C"/>
    <w:rsid w:val="00E72B79"/>
    <w:rsid w:val="00E72BD5"/>
    <w:rsid w:val="00E72BD7"/>
    <w:rsid w:val="00E72CF6"/>
    <w:rsid w:val="00E735A4"/>
    <w:rsid w:val="00E7382B"/>
    <w:rsid w:val="00E738FB"/>
    <w:rsid w:val="00E73AA2"/>
    <w:rsid w:val="00E73AF2"/>
    <w:rsid w:val="00E73DC7"/>
    <w:rsid w:val="00E742C8"/>
    <w:rsid w:val="00E742D1"/>
    <w:rsid w:val="00E74428"/>
    <w:rsid w:val="00E747E2"/>
    <w:rsid w:val="00E74864"/>
    <w:rsid w:val="00E74920"/>
    <w:rsid w:val="00E74C58"/>
    <w:rsid w:val="00E74CEF"/>
    <w:rsid w:val="00E750EF"/>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D5"/>
    <w:rsid w:val="00E77DE3"/>
    <w:rsid w:val="00E77DFE"/>
    <w:rsid w:val="00E77E3A"/>
    <w:rsid w:val="00E77EB2"/>
    <w:rsid w:val="00E804CD"/>
    <w:rsid w:val="00E80528"/>
    <w:rsid w:val="00E80755"/>
    <w:rsid w:val="00E8085D"/>
    <w:rsid w:val="00E80BB8"/>
    <w:rsid w:val="00E80E5E"/>
    <w:rsid w:val="00E80F46"/>
    <w:rsid w:val="00E80FB6"/>
    <w:rsid w:val="00E81400"/>
    <w:rsid w:val="00E81561"/>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71"/>
    <w:rsid w:val="00E85752"/>
    <w:rsid w:val="00E8576C"/>
    <w:rsid w:val="00E858B1"/>
    <w:rsid w:val="00E85B46"/>
    <w:rsid w:val="00E85C54"/>
    <w:rsid w:val="00E85D51"/>
    <w:rsid w:val="00E8611D"/>
    <w:rsid w:val="00E862A2"/>
    <w:rsid w:val="00E8638F"/>
    <w:rsid w:val="00E86673"/>
    <w:rsid w:val="00E8672A"/>
    <w:rsid w:val="00E86828"/>
    <w:rsid w:val="00E86925"/>
    <w:rsid w:val="00E8692D"/>
    <w:rsid w:val="00E86A9A"/>
    <w:rsid w:val="00E86B4B"/>
    <w:rsid w:val="00E86C5E"/>
    <w:rsid w:val="00E86F2C"/>
    <w:rsid w:val="00E86F3F"/>
    <w:rsid w:val="00E8724F"/>
    <w:rsid w:val="00E87423"/>
    <w:rsid w:val="00E875F8"/>
    <w:rsid w:val="00E877FC"/>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ACF"/>
    <w:rsid w:val="00E94BC3"/>
    <w:rsid w:val="00E94C09"/>
    <w:rsid w:val="00E94C4D"/>
    <w:rsid w:val="00E94E88"/>
    <w:rsid w:val="00E94F0E"/>
    <w:rsid w:val="00E94FE0"/>
    <w:rsid w:val="00E9584B"/>
    <w:rsid w:val="00E95C3C"/>
    <w:rsid w:val="00E95C5C"/>
    <w:rsid w:val="00E95D3F"/>
    <w:rsid w:val="00E95FF7"/>
    <w:rsid w:val="00E961A1"/>
    <w:rsid w:val="00E961E2"/>
    <w:rsid w:val="00E9647B"/>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BE0"/>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BD5"/>
    <w:rsid w:val="00EA2C3D"/>
    <w:rsid w:val="00EA2E16"/>
    <w:rsid w:val="00EA3269"/>
    <w:rsid w:val="00EA3A35"/>
    <w:rsid w:val="00EA42D6"/>
    <w:rsid w:val="00EA4314"/>
    <w:rsid w:val="00EA43EE"/>
    <w:rsid w:val="00EA47F7"/>
    <w:rsid w:val="00EA49F9"/>
    <w:rsid w:val="00EA4ACA"/>
    <w:rsid w:val="00EA4E30"/>
    <w:rsid w:val="00EA4E46"/>
    <w:rsid w:val="00EA4FC3"/>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83"/>
    <w:rsid w:val="00EB1023"/>
    <w:rsid w:val="00EB10CF"/>
    <w:rsid w:val="00EB125C"/>
    <w:rsid w:val="00EB1480"/>
    <w:rsid w:val="00EB148D"/>
    <w:rsid w:val="00EB14B8"/>
    <w:rsid w:val="00EB15AD"/>
    <w:rsid w:val="00EB1B8A"/>
    <w:rsid w:val="00EB1D61"/>
    <w:rsid w:val="00EB2104"/>
    <w:rsid w:val="00EB22DE"/>
    <w:rsid w:val="00EB234D"/>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64"/>
    <w:rsid w:val="00EB52E7"/>
    <w:rsid w:val="00EB553B"/>
    <w:rsid w:val="00EB5621"/>
    <w:rsid w:val="00EB5A85"/>
    <w:rsid w:val="00EB5FA6"/>
    <w:rsid w:val="00EB601C"/>
    <w:rsid w:val="00EB603D"/>
    <w:rsid w:val="00EB60E1"/>
    <w:rsid w:val="00EB6186"/>
    <w:rsid w:val="00EB6258"/>
    <w:rsid w:val="00EB63D8"/>
    <w:rsid w:val="00EB6621"/>
    <w:rsid w:val="00EB66D0"/>
    <w:rsid w:val="00EB66FA"/>
    <w:rsid w:val="00EB6844"/>
    <w:rsid w:val="00EB6BBC"/>
    <w:rsid w:val="00EB6FFA"/>
    <w:rsid w:val="00EB7038"/>
    <w:rsid w:val="00EB7182"/>
    <w:rsid w:val="00EB75D8"/>
    <w:rsid w:val="00EB769E"/>
    <w:rsid w:val="00EB76FE"/>
    <w:rsid w:val="00EB789A"/>
    <w:rsid w:val="00EB79D5"/>
    <w:rsid w:val="00EB7ABD"/>
    <w:rsid w:val="00EB7B50"/>
    <w:rsid w:val="00EB7BB4"/>
    <w:rsid w:val="00EB7C3C"/>
    <w:rsid w:val="00EB7E3A"/>
    <w:rsid w:val="00EB7FA8"/>
    <w:rsid w:val="00EC0038"/>
    <w:rsid w:val="00EC0049"/>
    <w:rsid w:val="00EC00B8"/>
    <w:rsid w:val="00EC0225"/>
    <w:rsid w:val="00EC02A3"/>
    <w:rsid w:val="00EC043F"/>
    <w:rsid w:val="00EC0516"/>
    <w:rsid w:val="00EC0520"/>
    <w:rsid w:val="00EC0632"/>
    <w:rsid w:val="00EC07BE"/>
    <w:rsid w:val="00EC07E1"/>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975"/>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D58"/>
    <w:rsid w:val="00EC2F10"/>
    <w:rsid w:val="00EC3126"/>
    <w:rsid w:val="00EC3290"/>
    <w:rsid w:val="00EC351E"/>
    <w:rsid w:val="00EC355E"/>
    <w:rsid w:val="00EC36C3"/>
    <w:rsid w:val="00EC379A"/>
    <w:rsid w:val="00EC3A5F"/>
    <w:rsid w:val="00EC3CD8"/>
    <w:rsid w:val="00EC3DFE"/>
    <w:rsid w:val="00EC3EC4"/>
    <w:rsid w:val="00EC3EF3"/>
    <w:rsid w:val="00EC4051"/>
    <w:rsid w:val="00EC411C"/>
    <w:rsid w:val="00EC4370"/>
    <w:rsid w:val="00EC444B"/>
    <w:rsid w:val="00EC44FC"/>
    <w:rsid w:val="00EC45E9"/>
    <w:rsid w:val="00EC47F8"/>
    <w:rsid w:val="00EC4C5C"/>
    <w:rsid w:val="00EC4C85"/>
    <w:rsid w:val="00EC5327"/>
    <w:rsid w:val="00EC55B1"/>
    <w:rsid w:val="00EC56B7"/>
    <w:rsid w:val="00EC5866"/>
    <w:rsid w:val="00EC586C"/>
    <w:rsid w:val="00EC58E1"/>
    <w:rsid w:val="00EC58EA"/>
    <w:rsid w:val="00EC59B0"/>
    <w:rsid w:val="00EC59E8"/>
    <w:rsid w:val="00EC5BF3"/>
    <w:rsid w:val="00EC5E9B"/>
    <w:rsid w:val="00EC5FD9"/>
    <w:rsid w:val="00EC60B4"/>
    <w:rsid w:val="00EC61F6"/>
    <w:rsid w:val="00EC6389"/>
    <w:rsid w:val="00EC659E"/>
    <w:rsid w:val="00EC6629"/>
    <w:rsid w:val="00EC68F5"/>
    <w:rsid w:val="00EC6C0B"/>
    <w:rsid w:val="00EC7186"/>
    <w:rsid w:val="00EC71CC"/>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E01"/>
    <w:rsid w:val="00ED0F0A"/>
    <w:rsid w:val="00ED1132"/>
    <w:rsid w:val="00ED12D5"/>
    <w:rsid w:val="00ED1334"/>
    <w:rsid w:val="00ED17A9"/>
    <w:rsid w:val="00ED1B82"/>
    <w:rsid w:val="00ED1D33"/>
    <w:rsid w:val="00ED1D56"/>
    <w:rsid w:val="00ED1EA5"/>
    <w:rsid w:val="00ED20BB"/>
    <w:rsid w:val="00ED2269"/>
    <w:rsid w:val="00ED2D1C"/>
    <w:rsid w:val="00ED2D9B"/>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4C1"/>
    <w:rsid w:val="00ED477E"/>
    <w:rsid w:val="00ED479E"/>
    <w:rsid w:val="00ED48B0"/>
    <w:rsid w:val="00ED49B6"/>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C70"/>
    <w:rsid w:val="00ED6CBD"/>
    <w:rsid w:val="00ED6D17"/>
    <w:rsid w:val="00ED6DC8"/>
    <w:rsid w:val="00ED6E1B"/>
    <w:rsid w:val="00ED6F66"/>
    <w:rsid w:val="00ED74FE"/>
    <w:rsid w:val="00ED75FA"/>
    <w:rsid w:val="00ED7781"/>
    <w:rsid w:val="00ED7880"/>
    <w:rsid w:val="00ED7959"/>
    <w:rsid w:val="00ED7A47"/>
    <w:rsid w:val="00ED7AF2"/>
    <w:rsid w:val="00ED7C0A"/>
    <w:rsid w:val="00ED7DAD"/>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394"/>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6E29"/>
    <w:rsid w:val="00EE6E87"/>
    <w:rsid w:val="00EE707B"/>
    <w:rsid w:val="00EE741D"/>
    <w:rsid w:val="00EE74F0"/>
    <w:rsid w:val="00EE764C"/>
    <w:rsid w:val="00EE765C"/>
    <w:rsid w:val="00EE7672"/>
    <w:rsid w:val="00EE795A"/>
    <w:rsid w:val="00EE7AFB"/>
    <w:rsid w:val="00EE7BAD"/>
    <w:rsid w:val="00EE7BD2"/>
    <w:rsid w:val="00EE7C84"/>
    <w:rsid w:val="00EE7D34"/>
    <w:rsid w:val="00EE7D43"/>
    <w:rsid w:val="00EE7D86"/>
    <w:rsid w:val="00EE7E6B"/>
    <w:rsid w:val="00EF00AE"/>
    <w:rsid w:val="00EF0231"/>
    <w:rsid w:val="00EF04DB"/>
    <w:rsid w:val="00EF0553"/>
    <w:rsid w:val="00EF084A"/>
    <w:rsid w:val="00EF0929"/>
    <w:rsid w:val="00EF09B7"/>
    <w:rsid w:val="00EF0B7A"/>
    <w:rsid w:val="00EF0D48"/>
    <w:rsid w:val="00EF0FBF"/>
    <w:rsid w:val="00EF1132"/>
    <w:rsid w:val="00EF1148"/>
    <w:rsid w:val="00EF137B"/>
    <w:rsid w:val="00EF14A3"/>
    <w:rsid w:val="00EF159E"/>
    <w:rsid w:val="00EF162C"/>
    <w:rsid w:val="00EF1841"/>
    <w:rsid w:val="00EF189D"/>
    <w:rsid w:val="00EF19A0"/>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3AC"/>
    <w:rsid w:val="00EF3733"/>
    <w:rsid w:val="00EF379A"/>
    <w:rsid w:val="00EF3CEE"/>
    <w:rsid w:val="00EF3DB8"/>
    <w:rsid w:val="00EF3DD5"/>
    <w:rsid w:val="00EF3DE8"/>
    <w:rsid w:val="00EF433C"/>
    <w:rsid w:val="00EF446F"/>
    <w:rsid w:val="00EF4503"/>
    <w:rsid w:val="00EF4764"/>
    <w:rsid w:val="00EF4AE1"/>
    <w:rsid w:val="00EF4BC3"/>
    <w:rsid w:val="00EF4C54"/>
    <w:rsid w:val="00EF4D77"/>
    <w:rsid w:val="00EF4DDF"/>
    <w:rsid w:val="00EF4E79"/>
    <w:rsid w:val="00EF5038"/>
    <w:rsid w:val="00EF50AB"/>
    <w:rsid w:val="00EF5288"/>
    <w:rsid w:val="00EF52EE"/>
    <w:rsid w:val="00EF537E"/>
    <w:rsid w:val="00EF55B7"/>
    <w:rsid w:val="00EF55D6"/>
    <w:rsid w:val="00EF57E0"/>
    <w:rsid w:val="00EF61A3"/>
    <w:rsid w:val="00EF63E7"/>
    <w:rsid w:val="00EF63EF"/>
    <w:rsid w:val="00EF63F4"/>
    <w:rsid w:val="00EF648B"/>
    <w:rsid w:val="00EF64D1"/>
    <w:rsid w:val="00EF6572"/>
    <w:rsid w:val="00EF6609"/>
    <w:rsid w:val="00EF6631"/>
    <w:rsid w:val="00EF668D"/>
    <w:rsid w:val="00EF6756"/>
    <w:rsid w:val="00EF67F2"/>
    <w:rsid w:val="00EF69C3"/>
    <w:rsid w:val="00EF69EC"/>
    <w:rsid w:val="00EF6B09"/>
    <w:rsid w:val="00EF6CCD"/>
    <w:rsid w:val="00EF6D6C"/>
    <w:rsid w:val="00EF6DB3"/>
    <w:rsid w:val="00EF6DFB"/>
    <w:rsid w:val="00EF70D8"/>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ECE"/>
    <w:rsid w:val="00F00F58"/>
    <w:rsid w:val="00F01080"/>
    <w:rsid w:val="00F01082"/>
    <w:rsid w:val="00F0112E"/>
    <w:rsid w:val="00F013A6"/>
    <w:rsid w:val="00F0158C"/>
    <w:rsid w:val="00F0164E"/>
    <w:rsid w:val="00F01C99"/>
    <w:rsid w:val="00F01D34"/>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C8C"/>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4A7"/>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2DE4"/>
    <w:rsid w:val="00F13003"/>
    <w:rsid w:val="00F13212"/>
    <w:rsid w:val="00F133F8"/>
    <w:rsid w:val="00F1340F"/>
    <w:rsid w:val="00F135E1"/>
    <w:rsid w:val="00F13696"/>
    <w:rsid w:val="00F136F7"/>
    <w:rsid w:val="00F137CC"/>
    <w:rsid w:val="00F13B04"/>
    <w:rsid w:val="00F13CAA"/>
    <w:rsid w:val="00F13CF8"/>
    <w:rsid w:val="00F13DA9"/>
    <w:rsid w:val="00F13F5A"/>
    <w:rsid w:val="00F13FF3"/>
    <w:rsid w:val="00F141F3"/>
    <w:rsid w:val="00F143B5"/>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6FB8"/>
    <w:rsid w:val="00F1717A"/>
    <w:rsid w:val="00F17556"/>
    <w:rsid w:val="00F17598"/>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C4B"/>
    <w:rsid w:val="00F21D31"/>
    <w:rsid w:val="00F21D79"/>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EB2"/>
    <w:rsid w:val="00F23F48"/>
    <w:rsid w:val="00F23F58"/>
    <w:rsid w:val="00F2401C"/>
    <w:rsid w:val="00F241FF"/>
    <w:rsid w:val="00F24278"/>
    <w:rsid w:val="00F242E5"/>
    <w:rsid w:val="00F2431D"/>
    <w:rsid w:val="00F2467A"/>
    <w:rsid w:val="00F246CB"/>
    <w:rsid w:val="00F247A9"/>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37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1E9D"/>
    <w:rsid w:val="00F31FA5"/>
    <w:rsid w:val="00F320F9"/>
    <w:rsid w:val="00F3270D"/>
    <w:rsid w:val="00F3275D"/>
    <w:rsid w:val="00F327C5"/>
    <w:rsid w:val="00F329A6"/>
    <w:rsid w:val="00F32A4B"/>
    <w:rsid w:val="00F32CE4"/>
    <w:rsid w:val="00F32E9D"/>
    <w:rsid w:val="00F32F20"/>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F"/>
    <w:rsid w:val="00F34F9D"/>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7"/>
    <w:rsid w:val="00F37D4F"/>
    <w:rsid w:val="00F37E46"/>
    <w:rsid w:val="00F37F32"/>
    <w:rsid w:val="00F4010F"/>
    <w:rsid w:val="00F403AA"/>
    <w:rsid w:val="00F4070B"/>
    <w:rsid w:val="00F40803"/>
    <w:rsid w:val="00F40DAC"/>
    <w:rsid w:val="00F41209"/>
    <w:rsid w:val="00F4131F"/>
    <w:rsid w:val="00F41359"/>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173"/>
    <w:rsid w:val="00F43852"/>
    <w:rsid w:val="00F4387D"/>
    <w:rsid w:val="00F438DD"/>
    <w:rsid w:val="00F43994"/>
    <w:rsid w:val="00F43CB7"/>
    <w:rsid w:val="00F43CFF"/>
    <w:rsid w:val="00F43D4A"/>
    <w:rsid w:val="00F43F37"/>
    <w:rsid w:val="00F44098"/>
    <w:rsid w:val="00F44146"/>
    <w:rsid w:val="00F442EF"/>
    <w:rsid w:val="00F44335"/>
    <w:rsid w:val="00F4447C"/>
    <w:rsid w:val="00F44783"/>
    <w:rsid w:val="00F44A58"/>
    <w:rsid w:val="00F44A95"/>
    <w:rsid w:val="00F44C29"/>
    <w:rsid w:val="00F44E07"/>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6EE9"/>
    <w:rsid w:val="00F47185"/>
    <w:rsid w:val="00F47322"/>
    <w:rsid w:val="00F47487"/>
    <w:rsid w:val="00F474DE"/>
    <w:rsid w:val="00F475D5"/>
    <w:rsid w:val="00F47665"/>
    <w:rsid w:val="00F476A5"/>
    <w:rsid w:val="00F476D1"/>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CB1"/>
    <w:rsid w:val="00F50F2A"/>
    <w:rsid w:val="00F50F75"/>
    <w:rsid w:val="00F51085"/>
    <w:rsid w:val="00F510B0"/>
    <w:rsid w:val="00F51330"/>
    <w:rsid w:val="00F5157F"/>
    <w:rsid w:val="00F51871"/>
    <w:rsid w:val="00F51888"/>
    <w:rsid w:val="00F518A0"/>
    <w:rsid w:val="00F518D3"/>
    <w:rsid w:val="00F519AF"/>
    <w:rsid w:val="00F51F24"/>
    <w:rsid w:val="00F52011"/>
    <w:rsid w:val="00F52092"/>
    <w:rsid w:val="00F52130"/>
    <w:rsid w:val="00F5214D"/>
    <w:rsid w:val="00F52460"/>
    <w:rsid w:val="00F52626"/>
    <w:rsid w:val="00F5272A"/>
    <w:rsid w:val="00F52939"/>
    <w:rsid w:val="00F52A2E"/>
    <w:rsid w:val="00F52B47"/>
    <w:rsid w:val="00F52BE3"/>
    <w:rsid w:val="00F52E37"/>
    <w:rsid w:val="00F534C0"/>
    <w:rsid w:val="00F53833"/>
    <w:rsid w:val="00F53994"/>
    <w:rsid w:val="00F53997"/>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5AB"/>
    <w:rsid w:val="00F577BD"/>
    <w:rsid w:val="00F57815"/>
    <w:rsid w:val="00F57CFA"/>
    <w:rsid w:val="00F57DDC"/>
    <w:rsid w:val="00F57F5D"/>
    <w:rsid w:val="00F600FF"/>
    <w:rsid w:val="00F601F4"/>
    <w:rsid w:val="00F60292"/>
    <w:rsid w:val="00F60313"/>
    <w:rsid w:val="00F6076E"/>
    <w:rsid w:val="00F607BC"/>
    <w:rsid w:val="00F609AB"/>
    <w:rsid w:val="00F60A45"/>
    <w:rsid w:val="00F60BEB"/>
    <w:rsid w:val="00F60D1F"/>
    <w:rsid w:val="00F60D31"/>
    <w:rsid w:val="00F60F72"/>
    <w:rsid w:val="00F612AC"/>
    <w:rsid w:val="00F613DC"/>
    <w:rsid w:val="00F6160C"/>
    <w:rsid w:val="00F616EB"/>
    <w:rsid w:val="00F61974"/>
    <w:rsid w:val="00F61A3E"/>
    <w:rsid w:val="00F61B01"/>
    <w:rsid w:val="00F61B0C"/>
    <w:rsid w:val="00F61C20"/>
    <w:rsid w:val="00F61C54"/>
    <w:rsid w:val="00F61DA0"/>
    <w:rsid w:val="00F61E6A"/>
    <w:rsid w:val="00F61E99"/>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C6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1FC"/>
    <w:rsid w:val="00F673B1"/>
    <w:rsid w:val="00F675A4"/>
    <w:rsid w:val="00F67673"/>
    <w:rsid w:val="00F676B3"/>
    <w:rsid w:val="00F67767"/>
    <w:rsid w:val="00F67854"/>
    <w:rsid w:val="00F67A51"/>
    <w:rsid w:val="00F67AA6"/>
    <w:rsid w:val="00F67B40"/>
    <w:rsid w:val="00F67C6D"/>
    <w:rsid w:val="00F67F12"/>
    <w:rsid w:val="00F70006"/>
    <w:rsid w:val="00F70179"/>
    <w:rsid w:val="00F704B8"/>
    <w:rsid w:val="00F70564"/>
    <w:rsid w:val="00F705FA"/>
    <w:rsid w:val="00F70621"/>
    <w:rsid w:val="00F70709"/>
    <w:rsid w:val="00F707B1"/>
    <w:rsid w:val="00F709DC"/>
    <w:rsid w:val="00F70C03"/>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275"/>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56"/>
    <w:rsid w:val="00F80276"/>
    <w:rsid w:val="00F804A0"/>
    <w:rsid w:val="00F8057E"/>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4"/>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3E"/>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2F4"/>
    <w:rsid w:val="00F87358"/>
    <w:rsid w:val="00F87367"/>
    <w:rsid w:val="00F8736F"/>
    <w:rsid w:val="00F87383"/>
    <w:rsid w:val="00F87487"/>
    <w:rsid w:val="00F87596"/>
    <w:rsid w:val="00F87708"/>
    <w:rsid w:val="00F878F2"/>
    <w:rsid w:val="00F87B06"/>
    <w:rsid w:val="00F87B6B"/>
    <w:rsid w:val="00F87CB8"/>
    <w:rsid w:val="00F87CC3"/>
    <w:rsid w:val="00F87E64"/>
    <w:rsid w:val="00F9020D"/>
    <w:rsid w:val="00F9025C"/>
    <w:rsid w:val="00F9063E"/>
    <w:rsid w:val="00F90783"/>
    <w:rsid w:val="00F90AD2"/>
    <w:rsid w:val="00F90BA7"/>
    <w:rsid w:val="00F90C63"/>
    <w:rsid w:val="00F90C9A"/>
    <w:rsid w:val="00F90D35"/>
    <w:rsid w:val="00F90E21"/>
    <w:rsid w:val="00F91033"/>
    <w:rsid w:val="00F9112F"/>
    <w:rsid w:val="00F91679"/>
    <w:rsid w:val="00F916E8"/>
    <w:rsid w:val="00F9189F"/>
    <w:rsid w:val="00F91C59"/>
    <w:rsid w:val="00F91C99"/>
    <w:rsid w:val="00F91E87"/>
    <w:rsid w:val="00F91F60"/>
    <w:rsid w:val="00F91FBF"/>
    <w:rsid w:val="00F920C0"/>
    <w:rsid w:val="00F92135"/>
    <w:rsid w:val="00F92166"/>
    <w:rsid w:val="00F921AF"/>
    <w:rsid w:val="00F921B3"/>
    <w:rsid w:val="00F922C3"/>
    <w:rsid w:val="00F9242B"/>
    <w:rsid w:val="00F92536"/>
    <w:rsid w:val="00F9287C"/>
    <w:rsid w:val="00F92BD7"/>
    <w:rsid w:val="00F92EF9"/>
    <w:rsid w:val="00F92FAA"/>
    <w:rsid w:val="00F9305F"/>
    <w:rsid w:val="00F930E2"/>
    <w:rsid w:val="00F93411"/>
    <w:rsid w:val="00F935C6"/>
    <w:rsid w:val="00F935EC"/>
    <w:rsid w:val="00F935FC"/>
    <w:rsid w:val="00F9379C"/>
    <w:rsid w:val="00F937C2"/>
    <w:rsid w:val="00F937DF"/>
    <w:rsid w:val="00F93BC3"/>
    <w:rsid w:val="00F93EC1"/>
    <w:rsid w:val="00F93F53"/>
    <w:rsid w:val="00F94000"/>
    <w:rsid w:val="00F9403D"/>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4E0"/>
    <w:rsid w:val="00F96869"/>
    <w:rsid w:val="00F96A52"/>
    <w:rsid w:val="00F96B99"/>
    <w:rsid w:val="00F96F3F"/>
    <w:rsid w:val="00F971DD"/>
    <w:rsid w:val="00F97333"/>
    <w:rsid w:val="00F97566"/>
    <w:rsid w:val="00F975A1"/>
    <w:rsid w:val="00F978A6"/>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16C"/>
    <w:rsid w:val="00FA3287"/>
    <w:rsid w:val="00FA38D0"/>
    <w:rsid w:val="00FA3959"/>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6AE"/>
    <w:rsid w:val="00FA56E7"/>
    <w:rsid w:val="00FA5BFD"/>
    <w:rsid w:val="00FA5C38"/>
    <w:rsid w:val="00FA5E4D"/>
    <w:rsid w:val="00FA5E5C"/>
    <w:rsid w:val="00FA6179"/>
    <w:rsid w:val="00FA62B3"/>
    <w:rsid w:val="00FA62BC"/>
    <w:rsid w:val="00FA63C7"/>
    <w:rsid w:val="00FA65A1"/>
    <w:rsid w:val="00FA65C9"/>
    <w:rsid w:val="00FA674D"/>
    <w:rsid w:val="00FA69E5"/>
    <w:rsid w:val="00FA6CF0"/>
    <w:rsid w:val="00FA6DFF"/>
    <w:rsid w:val="00FA6FFD"/>
    <w:rsid w:val="00FA709C"/>
    <w:rsid w:val="00FA709F"/>
    <w:rsid w:val="00FA7340"/>
    <w:rsid w:val="00FA7376"/>
    <w:rsid w:val="00FA73A7"/>
    <w:rsid w:val="00FA7486"/>
    <w:rsid w:val="00FA74F6"/>
    <w:rsid w:val="00FA77C3"/>
    <w:rsid w:val="00FA77F6"/>
    <w:rsid w:val="00FA787B"/>
    <w:rsid w:val="00FA799F"/>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1D"/>
    <w:rsid w:val="00FB0EC4"/>
    <w:rsid w:val="00FB0FD4"/>
    <w:rsid w:val="00FB113E"/>
    <w:rsid w:val="00FB11EF"/>
    <w:rsid w:val="00FB120C"/>
    <w:rsid w:val="00FB13F2"/>
    <w:rsid w:val="00FB1499"/>
    <w:rsid w:val="00FB1593"/>
    <w:rsid w:val="00FB192C"/>
    <w:rsid w:val="00FB1BB8"/>
    <w:rsid w:val="00FB1DD1"/>
    <w:rsid w:val="00FB2104"/>
    <w:rsid w:val="00FB22C7"/>
    <w:rsid w:val="00FB2397"/>
    <w:rsid w:val="00FB24DB"/>
    <w:rsid w:val="00FB251F"/>
    <w:rsid w:val="00FB2853"/>
    <w:rsid w:val="00FB29DF"/>
    <w:rsid w:val="00FB2A89"/>
    <w:rsid w:val="00FB2A8D"/>
    <w:rsid w:val="00FB2C0F"/>
    <w:rsid w:val="00FB2C2B"/>
    <w:rsid w:val="00FB2C44"/>
    <w:rsid w:val="00FB2DA8"/>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08D"/>
    <w:rsid w:val="00FB6195"/>
    <w:rsid w:val="00FB6501"/>
    <w:rsid w:val="00FB662C"/>
    <w:rsid w:val="00FB67DA"/>
    <w:rsid w:val="00FB686D"/>
    <w:rsid w:val="00FB68F9"/>
    <w:rsid w:val="00FB695C"/>
    <w:rsid w:val="00FB6AED"/>
    <w:rsid w:val="00FB6CE6"/>
    <w:rsid w:val="00FB6D1D"/>
    <w:rsid w:val="00FB6E7B"/>
    <w:rsid w:val="00FB71BD"/>
    <w:rsid w:val="00FB73FB"/>
    <w:rsid w:val="00FB75D3"/>
    <w:rsid w:val="00FB7865"/>
    <w:rsid w:val="00FB7BDB"/>
    <w:rsid w:val="00FB7F73"/>
    <w:rsid w:val="00FC0031"/>
    <w:rsid w:val="00FC00D0"/>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3E"/>
    <w:rsid w:val="00FC1836"/>
    <w:rsid w:val="00FC1949"/>
    <w:rsid w:val="00FC1AB4"/>
    <w:rsid w:val="00FC1C3F"/>
    <w:rsid w:val="00FC1CD4"/>
    <w:rsid w:val="00FC1EBB"/>
    <w:rsid w:val="00FC2196"/>
    <w:rsid w:val="00FC24B7"/>
    <w:rsid w:val="00FC2653"/>
    <w:rsid w:val="00FC26E1"/>
    <w:rsid w:val="00FC2874"/>
    <w:rsid w:val="00FC29D1"/>
    <w:rsid w:val="00FC2AB0"/>
    <w:rsid w:val="00FC2D61"/>
    <w:rsid w:val="00FC2D9C"/>
    <w:rsid w:val="00FC2DBA"/>
    <w:rsid w:val="00FC2E9F"/>
    <w:rsid w:val="00FC307C"/>
    <w:rsid w:val="00FC31A0"/>
    <w:rsid w:val="00FC3481"/>
    <w:rsid w:val="00FC353F"/>
    <w:rsid w:val="00FC3770"/>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890"/>
    <w:rsid w:val="00FC5917"/>
    <w:rsid w:val="00FC5D94"/>
    <w:rsid w:val="00FC5F3D"/>
    <w:rsid w:val="00FC5F68"/>
    <w:rsid w:val="00FC609C"/>
    <w:rsid w:val="00FC6181"/>
    <w:rsid w:val="00FC649A"/>
    <w:rsid w:val="00FC6554"/>
    <w:rsid w:val="00FC65A3"/>
    <w:rsid w:val="00FC67ED"/>
    <w:rsid w:val="00FC6952"/>
    <w:rsid w:val="00FC6B2B"/>
    <w:rsid w:val="00FC6CC7"/>
    <w:rsid w:val="00FC6D57"/>
    <w:rsid w:val="00FC6F34"/>
    <w:rsid w:val="00FC70E6"/>
    <w:rsid w:val="00FC7496"/>
    <w:rsid w:val="00FC7619"/>
    <w:rsid w:val="00FC7ABA"/>
    <w:rsid w:val="00FC7ABE"/>
    <w:rsid w:val="00FC7ACD"/>
    <w:rsid w:val="00FC7BB5"/>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08"/>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834"/>
    <w:rsid w:val="00FD390B"/>
    <w:rsid w:val="00FD3AE8"/>
    <w:rsid w:val="00FD3B0C"/>
    <w:rsid w:val="00FD3DEB"/>
    <w:rsid w:val="00FD40EC"/>
    <w:rsid w:val="00FD4180"/>
    <w:rsid w:val="00FD418E"/>
    <w:rsid w:val="00FD41A3"/>
    <w:rsid w:val="00FD41F9"/>
    <w:rsid w:val="00FD46A2"/>
    <w:rsid w:val="00FD4742"/>
    <w:rsid w:val="00FD476F"/>
    <w:rsid w:val="00FD4913"/>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824"/>
    <w:rsid w:val="00FE295B"/>
    <w:rsid w:val="00FE2AD5"/>
    <w:rsid w:val="00FE2ED4"/>
    <w:rsid w:val="00FE2EDF"/>
    <w:rsid w:val="00FE2FF6"/>
    <w:rsid w:val="00FE31D7"/>
    <w:rsid w:val="00FE33DC"/>
    <w:rsid w:val="00FE37CA"/>
    <w:rsid w:val="00FE3932"/>
    <w:rsid w:val="00FE399D"/>
    <w:rsid w:val="00FE3DBC"/>
    <w:rsid w:val="00FE3E0E"/>
    <w:rsid w:val="00FE42C4"/>
    <w:rsid w:val="00FE42DE"/>
    <w:rsid w:val="00FE436D"/>
    <w:rsid w:val="00FE438C"/>
    <w:rsid w:val="00FE47C7"/>
    <w:rsid w:val="00FE4872"/>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A55"/>
    <w:rsid w:val="00FE5D86"/>
    <w:rsid w:val="00FE5FAC"/>
    <w:rsid w:val="00FE6042"/>
    <w:rsid w:val="00FE6426"/>
    <w:rsid w:val="00FE642B"/>
    <w:rsid w:val="00FE644E"/>
    <w:rsid w:val="00FE64CB"/>
    <w:rsid w:val="00FE6599"/>
    <w:rsid w:val="00FE6A17"/>
    <w:rsid w:val="00FE6B21"/>
    <w:rsid w:val="00FE6F07"/>
    <w:rsid w:val="00FE73FD"/>
    <w:rsid w:val="00FE7458"/>
    <w:rsid w:val="00FE7792"/>
    <w:rsid w:val="00FE77BA"/>
    <w:rsid w:val="00FE788C"/>
    <w:rsid w:val="00FE7A7B"/>
    <w:rsid w:val="00FE7D17"/>
    <w:rsid w:val="00FE7D6C"/>
    <w:rsid w:val="00FE7D91"/>
    <w:rsid w:val="00FE7E7E"/>
    <w:rsid w:val="00FE7EAD"/>
    <w:rsid w:val="00FE7F2A"/>
    <w:rsid w:val="00FF013A"/>
    <w:rsid w:val="00FF0269"/>
    <w:rsid w:val="00FF044C"/>
    <w:rsid w:val="00FF0454"/>
    <w:rsid w:val="00FF0704"/>
    <w:rsid w:val="00FF070A"/>
    <w:rsid w:val="00FF078F"/>
    <w:rsid w:val="00FF0990"/>
    <w:rsid w:val="00FF0F7C"/>
    <w:rsid w:val="00FF0FD5"/>
    <w:rsid w:val="00FF1023"/>
    <w:rsid w:val="00FF1068"/>
    <w:rsid w:val="00FF11A3"/>
    <w:rsid w:val="00FF11CE"/>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182"/>
    <w:rsid w:val="00FF4267"/>
    <w:rsid w:val="00FF42BC"/>
    <w:rsid w:val="00FF44F0"/>
    <w:rsid w:val="00FF4515"/>
    <w:rsid w:val="00FF52D9"/>
    <w:rsid w:val="00FF53D7"/>
    <w:rsid w:val="00FF54F1"/>
    <w:rsid w:val="00FF5516"/>
    <w:rsid w:val="00FF564B"/>
    <w:rsid w:val="00FF565D"/>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26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2"/>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3"/>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 w:type="character" w:styleId="UnresolvedMention">
    <w:name w:val="Unresolved Mention"/>
    <w:basedOn w:val="DefaultParagraphFont"/>
    <w:uiPriority w:val="99"/>
    <w:semiHidden/>
    <w:unhideWhenUsed/>
    <w:rsid w:val="00DB5391"/>
    <w:rPr>
      <w:color w:val="605E5C"/>
      <w:shd w:val="clear" w:color="auto" w:fill="E1DFDD"/>
    </w:rPr>
  </w:style>
  <w:style w:type="paragraph" w:customStyle="1" w:styleId="0Maintext">
    <w:name w:val="0 Main text"/>
    <w:basedOn w:val="Normal"/>
    <w:link w:val="0MaintextChar"/>
    <w:qFormat/>
    <w:rsid w:val="007F2B44"/>
    <w:pPr>
      <w:overflowPunct/>
      <w:autoSpaceDE/>
      <w:autoSpaceDN/>
      <w:adjustRightInd/>
      <w:spacing w:after="120" w:line="276" w:lineRule="auto"/>
      <w:jc w:val="both"/>
      <w:textAlignment w:val="auto"/>
    </w:pPr>
    <w:rPr>
      <w:rFonts w:cs="Batang"/>
      <w:lang w:eastAsia="en-US"/>
    </w:rPr>
  </w:style>
  <w:style w:type="character" w:customStyle="1" w:styleId="0MaintextChar">
    <w:name w:val="0 Main text Char"/>
    <w:basedOn w:val="DefaultParagraphFont"/>
    <w:link w:val="0Maintext"/>
    <w:qFormat/>
    <w:rsid w:val="007F2B44"/>
    <w:rPr>
      <w:rFonts w:eastAsia="Times New Roman" w:cs="Batang"/>
      <w:lang w:eastAsia="en-US"/>
    </w:rPr>
  </w:style>
  <w:style w:type="paragraph" w:customStyle="1" w:styleId="H3Proposal">
    <w:name w:val="H3_Proposal"/>
    <w:basedOn w:val="Heading3"/>
    <w:qFormat/>
    <w:rsid w:val="007F2B44"/>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8969">
      <w:bodyDiv w:val="1"/>
      <w:marLeft w:val="0"/>
      <w:marRight w:val="0"/>
      <w:marTop w:val="0"/>
      <w:marBottom w:val="0"/>
      <w:divBdr>
        <w:top w:val="none" w:sz="0" w:space="0" w:color="auto"/>
        <w:left w:val="none" w:sz="0" w:space="0" w:color="auto"/>
        <w:bottom w:val="none" w:sz="0" w:space="0" w:color="auto"/>
        <w:right w:val="none" w:sz="0" w:space="0" w:color="auto"/>
      </w:divBdr>
    </w:div>
    <w:div w:id="23875021">
      <w:bodyDiv w:val="1"/>
      <w:marLeft w:val="0"/>
      <w:marRight w:val="0"/>
      <w:marTop w:val="0"/>
      <w:marBottom w:val="0"/>
      <w:divBdr>
        <w:top w:val="none" w:sz="0" w:space="0" w:color="auto"/>
        <w:left w:val="none" w:sz="0" w:space="0" w:color="auto"/>
        <w:bottom w:val="none" w:sz="0" w:space="0" w:color="auto"/>
        <w:right w:val="none" w:sz="0" w:space="0" w:color="auto"/>
      </w:divBdr>
    </w:div>
    <w:div w:id="25910497">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2801939">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566359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4255997">
      <w:bodyDiv w:val="1"/>
      <w:marLeft w:val="0"/>
      <w:marRight w:val="0"/>
      <w:marTop w:val="0"/>
      <w:marBottom w:val="0"/>
      <w:divBdr>
        <w:top w:val="none" w:sz="0" w:space="0" w:color="auto"/>
        <w:left w:val="none" w:sz="0" w:space="0" w:color="auto"/>
        <w:bottom w:val="none" w:sz="0" w:space="0" w:color="auto"/>
        <w:right w:val="none" w:sz="0" w:space="0" w:color="auto"/>
      </w:divBdr>
    </w:div>
    <w:div w:id="96097590">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28910987">
      <w:bodyDiv w:val="1"/>
      <w:marLeft w:val="0"/>
      <w:marRight w:val="0"/>
      <w:marTop w:val="0"/>
      <w:marBottom w:val="0"/>
      <w:divBdr>
        <w:top w:val="none" w:sz="0" w:space="0" w:color="auto"/>
        <w:left w:val="none" w:sz="0" w:space="0" w:color="auto"/>
        <w:bottom w:val="none" w:sz="0" w:space="0" w:color="auto"/>
        <w:right w:val="none" w:sz="0" w:space="0" w:color="auto"/>
      </w:divBdr>
    </w:div>
    <w:div w:id="133304359">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45368026">
      <w:bodyDiv w:val="1"/>
      <w:marLeft w:val="0"/>
      <w:marRight w:val="0"/>
      <w:marTop w:val="0"/>
      <w:marBottom w:val="0"/>
      <w:divBdr>
        <w:top w:val="none" w:sz="0" w:space="0" w:color="auto"/>
        <w:left w:val="none" w:sz="0" w:space="0" w:color="auto"/>
        <w:bottom w:val="none" w:sz="0" w:space="0" w:color="auto"/>
        <w:right w:val="none" w:sz="0" w:space="0" w:color="auto"/>
      </w:divBdr>
    </w:div>
    <w:div w:id="159656789">
      <w:bodyDiv w:val="1"/>
      <w:marLeft w:val="0"/>
      <w:marRight w:val="0"/>
      <w:marTop w:val="0"/>
      <w:marBottom w:val="0"/>
      <w:divBdr>
        <w:top w:val="none" w:sz="0" w:space="0" w:color="auto"/>
        <w:left w:val="none" w:sz="0" w:space="0" w:color="auto"/>
        <w:bottom w:val="none" w:sz="0" w:space="0" w:color="auto"/>
        <w:right w:val="none" w:sz="0" w:space="0" w:color="auto"/>
      </w:divBdr>
    </w:div>
    <w:div w:id="193467810">
      <w:bodyDiv w:val="1"/>
      <w:marLeft w:val="0"/>
      <w:marRight w:val="0"/>
      <w:marTop w:val="0"/>
      <w:marBottom w:val="0"/>
      <w:divBdr>
        <w:top w:val="none" w:sz="0" w:space="0" w:color="auto"/>
        <w:left w:val="none" w:sz="0" w:space="0" w:color="auto"/>
        <w:bottom w:val="none" w:sz="0" w:space="0" w:color="auto"/>
        <w:right w:val="none" w:sz="0" w:space="0" w:color="auto"/>
      </w:divBdr>
    </w:div>
    <w:div w:id="194656642">
      <w:bodyDiv w:val="1"/>
      <w:marLeft w:val="0"/>
      <w:marRight w:val="0"/>
      <w:marTop w:val="0"/>
      <w:marBottom w:val="0"/>
      <w:divBdr>
        <w:top w:val="none" w:sz="0" w:space="0" w:color="auto"/>
        <w:left w:val="none" w:sz="0" w:space="0" w:color="auto"/>
        <w:bottom w:val="none" w:sz="0" w:space="0" w:color="auto"/>
        <w:right w:val="none" w:sz="0" w:space="0" w:color="auto"/>
      </w:divBdr>
    </w:div>
    <w:div w:id="203713973">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14779106">
      <w:bodyDiv w:val="1"/>
      <w:marLeft w:val="0"/>
      <w:marRight w:val="0"/>
      <w:marTop w:val="0"/>
      <w:marBottom w:val="0"/>
      <w:divBdr>
        <w:top w:val="none" w:sz="0" w:space="0" w:color="auto"/>
        <w:left w:val="none" w:sz="0" w:space="0" w:color="auto"/>
        <w:bottom w:val="none" w:sz="0" w:space="0" w:color="auto"/>
        <w:right w:val="none" w:sz="0" w:space="0" w:color="auto"/>
      </w:divBdr>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61306361">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1331955">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299313731">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434877">
      <w:bodyDiv w:val="1"/>
      <w:marLeft w:val="0"/>
      <w:marRight w:val="0"/>
      <w:marTop w:val="0"/>
      <w:marBottom w:val="0"/>
      <w:divBdr>
        <w:top w:val="none" w:sz="0" w:space="0" w:color="auto"/>
        <w:left w:val="none" w:sz="0" w:space="0" w:color="auto"/>
        <w:bottom w:val="none" w:sz="0" w:space="0" w:color="auto"/>
        <w:right w:val="none" w:sz="0" w:space="0" w:color="auto"/>
      </w:divBdr>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5797067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227384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22411265">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0413496">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50436991">
      <w:bodyDiv w:val="1"/>
      <w:marLeft w:val="0"/>
      <w:marRight w:val="0"/>
      <w:marTop w:val="0"/>
      <w:marBottom w:val="0"/>
      <w:divBdr>
        <w:top w:val="none" w:sz="0" w:space="0" w:color="auto"/>
        <w:left w:val="none" w:sz="0" w:space="0" w:color="auto"/>
        <w:bottom w:val="none" w:sz="0" w:space="0" w:color="auto"/>
        <w:right w:val="none" w:sz="0" w:space="0" w:color="auto"/>
      </w:divBdr>
    </w:div>
    <w:div w:id="453328321">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68013035">
      <w:bodyDiv w:val="1"/>
      <w:marLeft w:val="0"/>
      <w:marRight w:val="0"/>
      <w:marTop w:val="0"/>
      <w:marBottom w:val="0"/>
      <w:divBdr>
        <w:top w:val="none" w:sz="0" w:space="0" w:color="auto"/>
        <w:left w:val="none" w:sz="0" w:space="0" w:color="auto"/>
        <w:bottom w:val="none" w:sz="0" w:space="0" w:color="auto"/>
        <w:right w:val="none" w:sz="0" w:space="0" w:color="auto"/>
      </w:divBdr>
      <w:divsChild>
        <w:div w:id="860819979">
          <w:marLeft w:val="432"/>
          <w:marRight w:val="0"/>
          <w:marTop w:val="240"/>
          <w:marBottom w:val="0"/>
          <w:divBdr>
            <w:top w:val="none" w:sz="0" w:space="0" w:color="auto"/>
            <w:left w:val="none" w:sz="0" w:space="0" w:color="auto"/>
            <w:bottom w:val="none" w:sz="0" w:space="0" w:color="auto"/>
            <w:right w:val="none" w:sz="0" w:space="0" w:color="auto"/>
          </w:divBdr>
        </w:div>
        <w:div w:id="1986467311">
          <w:marLeft w:val="1267"/>
          <w:marRight w:val="0"/>
          <w:marTop w:val="180"/>
          <w:marBottom w:val="0"/>
          <w:divBdr>
            <w:top w:val="none" w:sz="0" w:space="0" w:color="auto"/>
            <w:left w:val="none" w:sz="0" w:space="0" w:color="auto"/>
            <w:bottom w:val="none" w:sz="0" w:space="0" w:color="auto"/>
            <w:right w:val="none" w:sz="0" w:space="0" w:color="auto"/>
          </w:divBdr>
        </w:div>
        <w:div w:id="1521314854">
          <w:marLeft w:val="1267"/>
          <w:marRight w:val="0"/>
          <w:marTop w:val="180"/>
          <w:marBottom w:val="0"/>
          <w:divBdr>
            <w:top w:val="none" w:sz="0" w:space="0" w:color="auto"/>
            <w:left w:val="none" w:sz="0" w:space="0" w:color="auto"/>
            <w:bottom w:val="none" w:sz="0" w:space="0" w:color="auto"/>
            <w:right w:val="none" w:sz="0" w:space="0" w:color="auto"/>
          </w:divBdr>
        </w:div>
        <w:div w:id="794182718">
          <w:marLeft w:val="1267"/>
          <w:marRight w:val="0"/>
          <w:marTop w:val="180"/>
          <w:marBottom w:val="0"/>
          <w:divBdr>
            <w:top w:val="none" w:sz="0" w:space="0" w:color="auto"/>
            <w:left w:val="none" w:sz="0" w:space="0" w:color="auto"/>
            <w:bottom w:val="none" w:sz="0" w:space="0" w:color="auto"/>
            <w:right w:val="none" w:sz="0" w:space="0" w:color="auto"/>
          </w:divBdr>
        </w:div>
      </w:divsChild>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89908471">
      <w:bodyDiv w:val="1"/>
      <w:marLeft w:val="0"/>
      <w:marRight w:val="0"/>
      <w:marTop w:val="0"/>
      <w:marBottom w:val="0"/>
      <w:divBdr>
        <w:top w:val="none" w:sz="0" w:space="0" w:color="auto"/>
        <w:left w:val="none" w:sz="0" w:space="0" w:color="auto"/>
        <w:bottom w:val="none" w:sz="0" w:space="0" w:color="auto"/>
        <w:right w:val="none" w:sz="0" w:space="0" w:color="auto"/>
      </w:divBdr>
    </w:div>
    <w:div w:id="495150794">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320397">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4155291">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2522336">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237634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7405491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26006382">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64480899">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02823560">
      <w:bodyDiv w:val="1"/>
      <w:marLeft w:val="0"/>
      <w:marRight w:val="0"/>
      <w:marTop w:val="0"/>
      <w:marBottom w:val="0"/>
      <w:divBdr>
        <w:top w:val="none" w:sz="0" w:space="0" w:color="auto"/>
        <w:left w:val="none" w:sz="0" w:space="0" w:color="auto"/>
        <w:bottom w:val="none" w:sz="0" w:space="0" w:color="auto"/>
        <w:right w:val="none" w:sz="0" w:space="0" w:color="auto"/>
      </w:divBdr>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16591867">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112614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88743215">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1575062">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2574998">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0968581">
      <w:bodyDiv w:val="1"/>
      <w:marLeft w:val="0"/>
      <w:marRight w:val="0"/>
      <w:marTop w:val="0"/>
      <w:marBottom w:val="0"/>
      <w:divBdr>
        <w:top w:val="none" w:sz="0" w:space="0" w:color="auto"/>
        <w:left w:val="none" w:sz="0" w:space="0" w:color="auto"/>
        <w:bottom w:val="none" w:sz="0" w:space="0" w:color="auto"/>
        <w:right w:val="none" w:sz="0" w:space="0" w:color="auto"/>
      </w:divBdr>
    </w:div>
    <w:div w:id="861667337">
      <w:bodyDiv w:val="1"/>
      <w:marLeft w:val="0"/>
      <w:marRight w:val="0"/>
      <w:marTop w:val="0"/>
      <w:marBottom w:val="0"/>
      <w:divBdr>
        <w:top w:val="none" w:sz="0" w:space="0" w:color="auto"/>
        <w:left w:val="none" w:sz="0" w:space="0" w:color="auto"/>
        <w:bottom w:val="none" w:sz="0" w:space="0" w:color="auto"/>
        <w:right w:val="none" w:sz="0" w:space="0" w:color="auto"/>
      </w:divBdr>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899248488">
      <w:bodyDiv w:val="1"/>
      <w:marLeft w:val="0"/>
      <w:marRight w:val="0"/>
      <w:marTop w:val="0"/>
      <w:marBottom w:val="0"/>
      <w:divBdr>
        <w:top w:val="none" w:sz="0" w:space="0" w:color="auto"/>
        <w:left w:val="none" w:sz="0" w:space="0" w:color="auto"/>
        <w:bottom w:val="none" w:sz="0" w:space="0" w:color="auto"/>
        <w:right w:val="none" w:sz="0" w:space="0" w:color="auto"/>
      </w:divBdr>
    </w:div>
    <w:div w:id="907034204">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33392924">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46622860">
      <w:bodyDiv w:val="1"/>
      <w:marLeft w:val="0"/>
      <w:marRight w:val="0"/>
      <w:marTop w:val="0"/>
      <w:marBottom w:val="0"/>
      <w:divBdr>
        <w:top w:val="none" w:sz="0" w:space="0" w:color="auto"/>
        <w:left w:val="none" w:sz="0" w:space="0" w:color="auto"/>
        <w:bottom w:val="none" w:sz="0" w:space="0" w:color="auto"/>
        <w:right w:val="none" w:sz="0" w:space="0" w:color="auto"/>
      </w:divBdr>
    </w:div>
    <w:div w:id="957755878">
      <w:bodyDiv w:val="1"/>
      <w:marLeft w:val="0"/>
      <w:marRight w:val="0"/>
      <w:marTop w:val="0"/>
      <w:marBottom w:val="0"/>
      <w:divBdr>
        <w:top w:val="none" w:sz="0" w:space="0" w:color="auto"/>
        <w:left w:val="none" w:sz="0" w:space="0" w:color="auto"/>
        <w:bottom w:val="none" w:sz="0" w:space="0" w:color="auto"/>
        <w:right w:val="none" w:sz="0" w:space="0" w:color="auto"/>
      </w:divBdr>
    </w:div>
    <w:div w:id="967397177">
      <w:bodyDiv w:val="1"/>
      <w:marLeft w:val="0"/>
      <w:marRight w:val="0"/>
      <w:marTop w:val="0"/>
      <w:marBottom w:val="0"/>
      <w:divBdr>
        <w:top w:val="none" w:sz="0" w:space="0" w:color="auto"/>
        <w:left w:val="none" w:sz="0" w:space="0" w:color="auto"/>
        <w:bottom w:val="none" w:sz="0" w:space="0" w:color="auto"/>
        <w:right w:val="none" w:sz="0" w:space="0" w:color="auto"/>
      </w:divBdr>
    </w:div>
    <w:div w:id="970212982">
      <w:bodyDiv w:val="1"/>
      <w:marLeft w:val="0"/>
      <w:marRight w:val="0"/>
      <w:marTop w:val="0"/>
      <w:marBottom w:val="0"/>
      <w:divBdr>
        <w:top w:val="none" w:sz="0" w:space="0" w:color="auto"/>
        <w:left w:val="none" w:sz="0" w:space="0" w:color="auto"/>
        <w:bottom w:val="none" w:sz="0" w:space="0" w:color="auto"/>
        <w:right w:val="none" w:sz="0" w:space="0" w:color="auto"/>
      </w:divBdr>
    </w:div>
    <w:div w:id="975912610">
      <w:bodyDiv w:val="1"/>
      <w:marLeft w:val="0"/>
      <w:marRight w:val="0"/>
      <w:marTop w:val="0"/>
      <w:marBottom w:val="0"/>
      <w:divBdr>
        <w:top w:val="none" w:sz="0" w:space="0" w:color="auto"/>
        <w:left w:val="none" w:sz="0" w:space="0" w:color="auto"/>
        <w:bottom w:val="none" w:sz="0" w:space="0" w:color="auto"/>
        <w:right w:val="none" w:sz="0" w:space="0" w:color="auto"/>
      </w:divBdr>
    </w:div>
    <w:div w:id="985281649">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996375620">
      <w:bodyDiv w:val="1"/>
      <w:marLeft w:val="0"/>
      <w:marRight w:val="0"/>
      <w:marTop w:val="0"/>
      <w:marBottom w:val="0"/>
      <w:divBdr>
        <w:top w:val="none" w:sz="0" w:space="0" w:color="auto"/>
        <w:left w:val="none" w:sz="0" w:space="0" w:color="auto"/>
        <w:bottom w:val="none" w:sz="0" w:space="0" w:color="auto"/>
        <w:right w:val="none" w:sz="0" w:space="0" w:color="auto"/>
      </w:divBdr>
    </w:div>
    <w:div w:id="1004674611">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12802285">
      <w:bodyDiv w:val="1"/>
      <w:marLeft w:val="0"/>
      <w:marRight w:val="0"/>
      <w:marTop w:val="0"/>
      <w:marBottom w:val="0"/>
      <w:divBdr>
        <w:top w:val="none" w:sz="0" w:space="0" w:color="auto"/>
        <w:left w:val="none" w:sz="0" w:space="0" w:color="auto"/>
        <w:bottom w:val="none" w:sz="0" w:space="0" w:color="auto"/>
        <w:right w:val="none" w:sz="0" w:space="0" w:color="auto"/>
      </w:divBdr>
    </w:div>
    <w:div w:id="1020545642">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43139059">
      <w:bodyDiv w:val="1"/>
      <w:marLeft w:val="0"/>
      <w:marRight w:val="0"/>
      <w:marTop w:val="0"/>
      <w:marBottom w:val="0"/>
      <w:divBdr>
        <w:top w:val="none" w:sz="0" w:space="0" w:color="auto"/>
        <w:left w:val="none" w:sz="0" w:space="0" w:color="auto"/>
        <w:bottom w:val="none" w:sz="0" w:space="0" w:color="auto"/>
        <w:right w:val="none" w:sz="0" w:space="0" w:color="auto"/>
      </w:divBdr>
    </w:div>
    <w:div w:id="1044451281">
      <w:bodyDiv w:val="1"/>
      <w:marLeft w:val="0"/>
      <w:marRight w:val="0"/>
      <w:marTop w:val="0"/>
      <w:marBottom w:val="0"/>
      <w:divBdr>
        <w:top w:val="none" w:sz="0" w:space="0" w:color="auto"/>
        <w:left w:val="none" w:sz="0" w:space="0" w:color="auto"/>
        <w:bottom w:val="none" w:sz="0" w:space="0" w:color="auto"/>
        <w:right w:val="none" w:sz="0" w:space="0" w:color="auto"/>
      </w:divBdr>
    </w:div>
    <w:div w:id="1045183341">
      <w:bodyDiv w:val="1"/>
      <w:marLeft w:val="0"/>
      <w:marRight w:val="0"/>
      <w:marTop w:val="0"/>
      <w:marBottom w:val="0"/>
      <w:divBdr>
        <w:top w:val="none" w:sz="0" w:space="0" w:color="auto"/>
        <w:left w:val="none" w:sz="0" w:space="0" w:color="auto"/>
        <w:bottom w:val="none" w:sz="0" w:space="0" w:color="auto"/>
        <w:right w:val="none" w:sz="0" w:space="0" w:color="auto"/>
      </w:divBdr>
    </w:div>
    <w:div w:id="1046877943">
      <w:bodyDiv w:val="1"/>
      <w:marLeft w:val="0"/>
      <w:marRight w:val="0"/>
      <w:marTop w:val="0"/>
      <w:marBottom w:val="0"/>
      <w:divBdr>
        <w:top w:val="none" w:sz="0" w:space="0" w:color="auto"/>
        <w:left w:val="none" w:sz="0" w:space="0" w:color="auto"/>
        <w:bottom w:val="none" w:sz="0" w:space="0" w:color="auto"/>
        <w:right w:val="none" w:sz="0" w:space="0" w:color="auto"/>
      </w:divBdr>
    </w:div>
    <w:div w:id="1060129252">
      <w:bodyDiv w:val="1"/>
      <w:marLeft w:val="0"/>
      <w:marRight w:val="0"/>
      <w:marTop w:val="0"/>
      <w:marBottom w:val="0"/>
      <w:divBdr>
        <w:top w:val="none" w:sz="0" w:space="0" w:color="auto"/>
        <w:left w:val="none" w:sz="0" w:space="0" w:color="auto"/>
        <w:bottom w:val="none" w:sz="0" w:space="0" w:color="auto"/>
        <w:right w:val="none" w:sz="0" w:space="0" w:color="auto"/>
      </w:divBdr>
    </w:div>
    <w:div w:id="1061052216">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4211303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6478078">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6773397">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1819680">
      <w:bodyDiv w:val="1"/>
      <w:marLeft w:val="0"/>
      <w:marRight w:val="0"/>
      <w:marTop w:val="0"/>
      <w:marBottom w:val="0"/>
      <w:divBdr>
        <w:top w:val="none" w:sz="0" w:space="0" w:color="auto"/>
        <w:left w:val="none" w:sz="0" w:space="0" w:color="auto"/>
        <w:bottom w:val="none" w:sz="0" w:space="0" w:color="auto"/>
        <w:right w:val="none" w:sz="0" w:space="0" w:color="auto"/>
      </w:divBdr>
    </w:div>
    <w:div w:id="1208491530">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29220488">
      <w:bodyDiv w:val="1"/>
      <w:marLeft w:val="0"/>
      <w:marRight w:val="0"/>
      <w:marTop w:val="0"/>
      <w:marBottom w:val="0"/>
      <w:divBdr>
        <w:top w:val="none" w:sz="0" w:space="0" w:color="auto"/>
        <w:left w:val="none" w:sz="0" w:space="0" w:color="auto"/>
        <w:bottom w:val="none" w:sz="0" w:space="0" w:color="auto"/>
        <w:right w:val="none" w:sz="0" w:space="0" w:color="auto"/>
      </w:divBdr>
    </w:div>
    <w:div w:id="1230530982">
      <w:bodyDiv w:val="1"/>
      <w:marLeft w:val="0"/>
      <w:marRight w:val="0"/>
      <w:marTop w:val="0"/>
      <w:marBottom w:val="0"/>
      <w:divBdr>
        <w:top w:val="none" w:sz="0" w:space="0" w:color="auto"/>
        <w:left w:val="none" w:sz="0" w:space="0" w:color="auto"/>
        <w:bottom w:val="none" w:sz="0" w:space="0" w:color="auto"/>
        <w:right w:val="none" w:sz="0" w:space="0" w:color="auto"/>
      </w:divBdr>
    </w:div>
    <w:div w:id="1232275887">
      <w:bodyDiv w:val="1"/>
      <w:marLeft w:val="0"/>
      <w:marRight w:val="0"/>
      <w:marTop w:val="0"/>
      <w:marBottom w:val="0"/>
      <w:divBdr>
        <w:top w:val="none" w:sz="0" w:space="0" w:color="auto"/>
        <w:left w:val="none" w:sz="0" w:space="0" w:color="auto"/>
        <w:bottom w:val="none" w:sz="0" w:space="0" w:color="auto"/>
        <w:right w:val="none" w:sz="0" w:space="0" w:color="auto"/>
      </w:divBdr>
    </w:div>
    <w:div w:id="1233084044">
      <w:bodyDiv w:val="1"/>
      <w:marLeft w:val="0"/>
      <w:marRight w:val="0"/>
      <w:marTop w:val="0"/>
      <w:marBottom w:val="0"/>
      <w:divBdr>
        <w:top w:val="none" w:sz="0" w:space="0" w:color="auto"/>
        <w:left w:val="none" w:sz="0" w:space="0" w:color="auto"/>
        <w:bottom w:val="none" w:sz="0" w:space="0" w:color="auto"/>
        <w:right w:val="none" w:sz="0" w:space="0" w:color="auto"/>
      </w:divBdr>
    </w:div>
    <w:div w:id="1255556667">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277371634">
      <w:bodyDiv w:val="1"/>
      <w:marLeft w:val="0"/>
      <w:marRight w:val="0"/>
      <w:marTop w:val="0"/>
      <w:marBottom w:val="0"/>
      <w:divBdr>
        <w:top w:val="none" w:sz="0" w:space="0" w:color="auto"/>
        <w:left w:val="none" w:sz="0" w:space="0" w:color="auto"/>
        <w:bottom w:val="none" w:sz="0" w:space="0" w:color="auto"/>
        <w:right w:val="none" w:sz="0" w:space="0" w:color="auto"/>
      </w:divBdr>
    </w:div>
    <w:div w:id="1285691295">
      <w:bodyDiv w:val="1"/>
      <w:marLeft w:val="0"/>
      <w:marRight w:val="0"/>
      <w:marTop w:val="0"/>
      <w:marBottom w:val="0"/>
      <w:divBdr>
        <w:top w:val="none" w:sz="0" w:space="0" w:color="auto"/>
        <w:left w:val="none" w:sz="0" w:space="0" w:color="auto"/>
        <w:bottom w:val="none" w:sz="0" w:space="0" w:color="auto"/>
        <w:right w:val="none" w:sz="0" w:space="0" w:color="auto"/>
      </w:divBdr>
    </w:div>
    <w:div w:id="1289120213">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24695716">
      <w:bodyDiv w:val="1"/>
      <w:marLeft w:val="0"/>
      <w:marRight w:val="0"/>
      <w:marTop w:val="0"/>
      <w:marBottom w:val="0"/>
      <w:divBdr>
        <w:top w:val="none" w:sz="0" w:space="0" w:color="auto"/>
        <w:left w:val="none" w:sz="0" w:space="0" w:color="auto"/>
        <w:bottom w:val="none" w:sz="0" w:space="0" w:color="auto"/>
        <w:right w:val="none" w:sz="0" w:space="0" w:color="auto"/>
      </w:divBdr>
    </w:div>
    <w:div w:id="1344240560">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46402738">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339828">
      <w:bodyDiv w:val="1"/>
      <w:marLeft w:val="0"/>
      <w:marRight w:val="0"/>
      <w:marTop w:val="0"/>
      <w:marBottom w:val="0"/>
      <w:divBdr>
        <w:top w:val="none" w:sz="0" w:space="0" w:color="auto"/>
        <w:left w:val="none" w:sz="0" w:space="0" w:color="auto"/>
        <w:bottom w:val="none" w:sz="0" w:space="0" w:color="auto"/>
        <w:right w:val="none" w:sz="0" w:space="0" w:color="auto"/>
      </w:divBdr>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58920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38595830">
      <w:bodyDiv w:val="1"/>
      <w:marLeft w:val="0"/>
      <w:marRight w:val="0"/>
      <w:marTop w:val="0"/>
      <w:marBottom w:val="0"/>
      <w:divBdr>
        <w:top w:val="none" w:sz="0" w:space="0" w:color="auto"/>
        <w:left w:val="none" w:sz="0" w:space="0" w:color="auto"/>
        <w:bottom w:val="none" w:sz="0" w:space="0" w:color="auto"/>
        <w:right w:val="none" w:sz="0" w:space="0" w:color="auto"/>
      </w:divBdr>
    </w:div>
    <w:div w:id="144214666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87471012">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17960146">
      <w:bodyDiv w:val="1"/>
      <w:marLeft w:val="0"/>
      <w:marRight w:val="0"/>
      <w:marTop w:val="0"/>
      <w:marBottom w:val="0"/>
      <w:divBdr>
        <w:top w:val="none" w:sz="0" w:space="0" w:color="auto"/>
        <w:left w:val="none" w:sz="0" w:space="0" w:color="auto"/>
        <w:bottom w:val="none" w:sz="0" w:space="0" w:color="auto"/>
        <w:right w:val="none" w:sz="0" w:space="0" w:color="auto"/>
      </w:divBdr>
    </w:div>
    <w:div w:id="1522888244">
      <w:bodyDiv w:val="1"/>
      <w:marLeft w:val="0"/>
      <w:marRight w:val="0"/>
      <w:marTop w:val="0"/>
      <w:marBottom w:val="0"/>
      <w:divBdr>
        <w:top w:val="none" w:sz="0" w:space="0" w:color="auto"/>
        <w:left w:val="none" w:sz="0" w:space="0" w:color="auto"/>
        <w:bottom w:val="none" w:sz="0" w:space="0" w:color="auto"/>
        <w:right w:val="none" w:sz="0" w:space="0" w:color="auto"/>
      </w:divBdr>
    </w:div>
    <w:div w:id="1537233214">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49415901">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09703192">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2906836">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54484026">
      <w:bodyDiv w:val="1"/>
      <w:marLeft w:val="0"/>
      <w:marRight w:val="0"/>
      <w:marTop w:val="0"/>
      <w:marBottom w:val="0"/>
      <w:divBdr>
        <w:top w:val="none" w:sz="0" w:space="0" w:color="auto"/>
        <w:left w:val="none" w:sz="0" w:space="0" w:color="auto"/>
        <w:bottom w:val="none" w:sz="0" w:space="0" w:color="auto"/>
        <w:right w:val="none" w:sz="0" w:space="0" w:color="auto"/>
      </w:divBdr>
    </w:div>
    <w:div w:id="1663240147">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0520369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0980775">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1102363">
      <w:bodyDiv w:val="1"/>
      <w:marLeft w:val="0"/>
      <w:marRight w:val="0"/>
      <w:marTop w:val="0"/>
      <w:marBottom w:val="0"/>
      <w:divBdr>
        <w:top w:val="none" w:sz="0" w:space="0" w:color="auto"/>
        <w:left w:val="none" w:sz="0" w:space="0" w:color="auto"/>
        <w:bottom w:val="none" w:sz="0" w:space="0" w:color="auto"/>
        <w:right w:val="none" w:sz="0" w:space="0" w:color="auto"/>
      </w:divBdr>
    </w:div>
    <w:div w:id="1788961543">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789422413">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57428948">
      <w:bodyDiv w:val="1"/>
      <w:marLeft w:val="0"/>
      <w:marRight w:val="0"/>
      <w:marTop w:val="0"/>
      <w:marBottom w:val="0"/>
      <w:divBdr>
        <w:top w:val="none" w:sz="0" w:space="0" w:color="auto"/>
        <w:left w:val="none" w:sz="0" w:space="0" w:color="auto"/>
        <w:bottom w:val="none" w:sz="0" w:space="0" w:color="auto"/>
        <w:right w:val="none" w:sz="0" w:space="0" w:color="auto"/>
      </w:divBdr>
    </w:div>
    <w:div w:id="1861310408">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6840749">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7619487">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1998604828">
      <w:bodyDiv w:val="1"/>
      <w:marLeft w:val="0"/>
      <w:marRight w:val="0"/>
      <w:marTop w:val="0"/>
      <w:marBottom w:val="0"/>
      <w:divBdr>
        <w:top w:val="none" w:sz="0" w:space="0" w:color="auto"/>
        <w:left w:val="none" w:sz="0" w:space="0" w:color="auto"/>
        <w:bottom w:val="none" w:sz="0" w:space="0" w:color="auto"/>
        <w:right w:val="none" w:sz="0" w:space="0" w:color="auto"/>
      </w:divBdr>
    </w:div>
    <w:div w:id="2000956527">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6615878">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39237237">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88720672">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2.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3.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1648</TotalTime>
  <Pages>11</Pages>
  <Words>5317</Words>
  <Characters>30311</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35557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419</cp:revision>
  <cp:lastPrinted>2017-10-02T09:51:00Z</cp:lastPrinted>
  <dcterms:created xsi:type="dcterms:W3CDTF">2025-03-28T03:04:00Z</dcterms:created>
  <dcterms:modified xsi:type="dcterms:W3CDTF">2025-05-09T21:10:00Z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