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87911" w14:textId="0D85EAE5" w:rsidR="00621068" w:rsidRPr="00D31C65" w:rsidRDefault="00621068" w:rsidP="00621068">
      <w:pPr>
        <w:pStyle w:val="Header"/>
        <w:tabs>
          <w:tab w:val="center" w:pos="4536"/>
          <w:tab w:val="right" w:pos="9639"/>
          <w:tab w:val="right" w:pos="9781"/>
        </w:tabs>
        <w:ind w:right="-58"/>
        <w:jc w:val="both"/>
        <w:rPr>
          <w:rFonts w:ascii="Times New Roman" w:eastAsia="MS Mincho" w:hAnsi="Times New Roman"/>
          <w:bCs/>
          <w:sz w:val="28"/>
          <w:szCs w:val="24"/>
          <w:lang w:val="en-US" w:eastAsia="zh-TW"/>
        </w:rPr>
      </w:pPr>
      <w:bookmarkStart w:id="0" w:name="historyclause"/>
      <w:bookmarkStart w:id="1" w:name="_Toc383764588"/>
      <w:r w:rsidRPr="00D31C65">
        <w:rPr>
          <w:rFonts w:ascii="Times New Roman" w:eastAsia="MS Mincho" w:hAnsi="Times New Roman"/>
          <w:bCs/>
          <w:sz w:val="28"/>
          <w:szCs w:val="24"/>
          <w:lang w:val="en-US"/>
        </w:rPr>
        <w:t>3GPP TSG RAN WG1 #</w:t>
      </w:r>
      <w:r w:rsidR="00AC1376">
        <w:rPr>
          <w:rFonts w:ascii="Times New Roman" w:eastAsia="MS Mincho" w:hAnsi="Times New Roman"/>
          <w:bCs/>
          <w:sz w:val="28"/>
          <w:szCs w:val="24"/>
          <w:lang w:val="en-US"/>
        </w:rPr>
        <w:t>12</w:t>
      </w:r>
      <w:r w:rsidR="00451311">
        <w:rPr>
          <w:rFonts w:ascii="Times New Roman" w:eastAsia="MS Mincho" w:hAnsi="Times New Roman"/>
          <w:bCs/>
          <w:sz w:val="28"/>
          <w:szCs w:val="24"/>
          <w:lang w:val="en-US"/>
        </w:rPr>
        <w:t>1</w:t>
      </w:r>
      <w:r w:rsidRPr="00D31C65">
        <w:rPr>
          <w:rFonts w:ascii="Times New Roman" w:eastAsia="MS Mincho" w:hAnsi="Times New Roman"/>
          <w:bCs/>
          <w:sz w:val="28"/>
          <w:szCs w:val="24"/>
          <w:lang w:val="en-US"/>
        </w:rPr>
        <w:tab/>
      </w:r>
      <w:r w:rsidRPr="00D31C65">
        <w:rPr>
          <w:rFonts w:ascii="Times New Roman" w:eastAsia="MS Mincho" w:hAnsi="Times New Roman"/>
          <w:bCs/>
          <w:sz w:val="28"/>
          <w:szCs w:val="24"/>
          <w:lang w:val="en-US"/>
        </w:rPr>
        <w:tab/>
        <w:t>R1-</w:t>
      </w:r>
      <w:r w:rsidR="008D0F58" w:rsidRPr="008D0F58">
        <w:rPr>
          <w:rFonts w:ascii="Times New Roman" w:eastAsia="MS Mincho" w:hAnsi="Times New Roman"/>
          <w:bCs/>
          <w:sz w:val="28"/>
          <w:szCs w:val="24"/>
          <w:lang w:val="en-US"/>
        </w:rPr>
        <w:t>2</w:t>
      </w:r>
      <w:r w:rsidR="00A52351">
        <w:rPr>
          <w:rFonts w:ascii="Times New Roman" w:eastAsia="MS Mincho" w:hAnsi="Times New Roman"/>
          <w:bCs/>
          <w:sz w:val="28"/>
          <w:szCs w:val="24"/>
          <w:lang w:val="en-US"/>
        </w:rPr>
        <w:t>50</w:t>
      </w:r>
      <w:r w:rsidR="00451311">
        <w:rPr>
          <w:rFonts w:ascii="Times New Roman" w:eastAsia="MS Mincho" w:hAnsi="Times New Roman"/>
          <w:bCs/>
          <w:sz w:val="28"/>
          <w:szCs w:val="24"/>
          <w:lang w:val="en-US"/>
        </w:rPr>
        <w:t>4258</w:t>
      </w:r>
    </w:p>
    <w:p w14:paraId="245C683C" w14:textId="3565563C" w:rsidR="00AC1376" w:rsidRPr="00D31C65" w:rsidRDefault="00BB12CB" w:rsidP="00AC1376">
      <w:pPr>
        <w:tabs>
          <w:tab w:val="center" w:pos="4536"/>
          <w:tab w:val="right" w:pos="9072"/>
        </w:tabs>
        <w:rPr>
          <w:rFonts w:eastAsia="MS Mincho"/>
          <w:b/>
          <w:bCs/>
          <w:sz w:val="28"/>
          <w:lang w:eastAsia="ja-JP"/>
        </w:rPr>
      </w:pPr>
      <w:r w:rsidRPr="00BB12CB">
        <w:rPr>
          <w:rFonts w:eastAsia="MS Mincho"/>
          <w:b/>
          <w:bCs/>
          <w:sz w:val="28"/>
          <w:lang w:eastAsia="ja-JP"/>
        </w:rPr>
        <w:t>St Julian</w:t>
      </w:r>
      <w:r w:rsidR="00AC1376" w:rsidRPr="00D31C65">
        <w:rPr>
          <w:rFonts w:eastAsia="MS Mincho"/>
          <w:b/>
          <w:bCs/>
          <w:sz w:val="28"/>
          <w:lang w:eastAsia="ja-JP"/>
        </w:rPr>
        <w:t xml:space="preserve">, </w:t>
      </w:r>
      <w:r>
        <w:rPr>
          <w:rFonts w:eastAsiaTheme="minorEastAsia"/>
          <w:b/>
          <w:bCs/>
          <w:sz w:val="28"/>
          <w:lang w:eastAsia="zh-TW"/>
        </w:rPr>
        <w:t>Malta</w:t>
      </w:r>
      <w:r w:rsidR="00AC1376" w:rsidRPr="00D31C65">
        <w:rPr>
          <w:rFonts w:eastAsia="MS Mincho"/>
          <w:b/>
          <w:bCs/>
          <w:sz w:val="28"/>
          <w:lang w:eastAsia="ja-JP"/>
        </w:rPr>
        <w:t xml:space="preserve">, </w:t>
      </w:r>
      <w:r>
        <w:rPr>
          <w:rFonts w:eastAsia="MS Mincho"/>
          <w:b/>
          <w:bCs/>
          <w:sz w:val="28"/>
          <w:lang w:eastAsia="ja-JP"/>
        </w:rPr>
        <w:t>May</w:t>
      </w:r>
      <w:r w:rsidR="00AC1376">
        <w:rPr>
          <w:rFonts w:eastAsia="MS Mincho"/>
          <w:b/>
          <w:bCs/>
          <w:sz w:val="28"/>
          <w:lang w:eastAsia="ja-JP"/>
        </w:rPr>
        <w:t xml:space="preserve"> </w:t>
      </w:r>
      <w:r>
        <w:rPr>
          <w:rFonts w:eastAsia="MS Mincho"/>
          <w:b/>
          <w:bCs/>
          <w:sz w:val="28"/>
          <w:lang w:eastAsia="ja-JP"/>
        </w:rPr>
        <w:t>19</w:t>
      </w:r>
      <w:r w:rsidR="00AC1376" w:rsidRPr="00D31C65">
        <w:rPr>
          <w:rFonts w:eastAsia="MS Mincho"/>
          <w:b/>
          <w:bCs/>
          <w:sz w:val="28"/>
          <w:vertAlign w:val="superscript"/>
          <w:lang w:eastAsia="ja-JP"/>
        </w:rPr>
        <w:t>th</w:t>
      </w:r>
      <w:r w:rsidR="00AC1376" w:rsidRPr="00D31C65">
        <w:rPr>
          <w:rFonts w:eastAsia="MS Mincho"/>
          <w:b/>
          <w:bCs/>
          <w:sz w:val="28"/>
          <w:lang w:eastAsia="ja-JP"/>
        </w:rPr>
        <w:t xml:space="preserve"> –</w:t>
      </w:r>
      <w:r w:rsidR="000800D9">
        <w:rPr>
          <w:rFonts w:eastAsia="MS Mincho"/>
          <w:b/>
          <w:bCs/>
          <w:sz w:val="28"/>
          <w:lang w:eastAsia="ja-JP"/>
        </w:rPr>
        <w:t xml:space="preserve"> </w:t>
      </w:r>
      <w:r>
        <w:rPr>
          <w:rFonts w:eastAsia="MS Mincho"/>
          <w:b/>
          <w:bCs/>
          <w:sz w:val="28"/>
          <w:lang w:eastAsia="ja-JP"/>
        </w:rPr>
        <w:t>23</w:t>
      </w:r>
      <w:r>
        <w:rPr>
          <w:rFonts w:eastAsia="MS Mincho"/>
          <w:b/>
          <w:bCs/>
          <w:sz w:val="28"/>
          <w:vertAlign w:val="superscript"/>
          <w:lang w:eastAsia="ja-JP"/>
        </w:rPr>
        <w:t>rd</w:t>
      </w:r>
      <w:r w:rsidR="00AC1376" w:rsidRPr="00D31C65">
        <w:rPr>
          <w:rFonts w:eastAsia="MS Mincho"/>
          <w:b/>
          <w:bCs/>
          <w:sz w:val="28"/>
          <w:lang w:eastAsia="ja-JP"/>
        </w:rPr>
        <w:t>, 202</w:t>
      </w:r>
      <w:r w:rsidR="009D51BB">
        <w:rPr>
          <w:rFonts w:eastAsia="MS Mincho"/>
          <w:b/>
          <w:bCs/>
          <w:sz w:val="28"/>
          <w:lang w:eastAsia="ja-JP"/>
        </w:rPr>
        <w:t>5</w:t>
      </w:r>
    </w:p>
    <w:p w14:paraId="06E770FF" w14:textId="12DF13ED" w:rsidR="006517D0" w:rsidRPr="00D31C65"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D31C65">
        <w:rPr>
          <w:rFonts w:ascii="Times New Roman" w:eastAsia="MS Mincho" w:hAnsi="Times New Roman"/>
          <w:bCs/>
          <w:sz w:val="28"/>
          <w:szCs w:val="24"/>
          <w:lang w:val="en-US"/>
        </w:rPr>
        <w:t>Agenda Item:</w:t>
      </w:r>
      <w:r w:rsidRPr="00D31C65">
        <w:rPr>
          <w:rFonts w:ascii="Times New Roman" w:hAnsi="Times New Roman"/>
          <w:bCs/>
          <w:sz w:val="28"/>
          <w:szCs w:val="24"/>
          <w:lang w:val="en-US" w:eastAsia="zh-TW"/>
        </w:rPr>
        <w:t xml:space="preserve"> </w:t>
      </w:r>
      <w:r w:rsidR="005E4A7F" w:rsidRPr="00D31C65">
        <w:rPr>
          <w:rFonts w:ascii="Times New Roman" w:hAnsi="Times New Roman"/>
          <w:bCs/>
          <w:sz w:val="28"/>
          <w:szCs w:val="24"/>
          <w:lang w:val="en-US" w:eastAsia="zh-TW"/>
        </w:rPr>
        <w:t>9</w:t>
      </w:r>
      <w:r w:rsidR="00EB7F95" w:rsidRPr="00D31C65">
        <w:rPr>
          <w:rFonts w:ascii="Times New Roman" w:hAnsi="Times New Roman"/>
          <w:bCs/>
          <w:sz w:val="28"/>
          <w:szCs w:val="24"/>
          <w:lang w:val="en-US" w:eastAsia="zh-TW"/>
        </w:rPr>
        <w:t>.</w:t>
      </w:r>
      <w:r w:rsidR="00D31C65">
        <w:rPr>
          <w:rFonts w:ascii="Times New Roman" w:hAnsi="Times New Roman"/>
          <w:bCs/>
          <w:sz w:val="28"/>
          <w:szCs w:val="24"/>
          <w:lang w:val="en-US" w:eastAsia="zh-TW"/>
        </w:rPr>
        <w:t>1.1</w:t>
      </w:r>
    </w:p>
    <w:p w14:paraId="77E6A679" w14:textId="77777777" w:rsidR="006517D0" w:rsidRPr="00D31C65"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Source:</w:t>
      </w:r>
      <w:r w:rsidRPr="00D31C65">
        <w:rPr>
          <w:rFonts w:ascii="Times New Roman" w:hAnsi="Times New Roman"/>
          <w:bCs/>
          <w:sz w:val="28"/>
          <w:szCs w:val="24"/>
          <w:lang w:val="en-US" w:eastAsia="zh-TW"/>
        </w:rPr>
        <w:t xml:space="preserve"> </w:t>
      </w:r>
      <w:r w:rsidRPr="00D31C65">
        <w:rPr>
          <w:rFonts w:ascii="Times New Roman" w:eastAsia="MS Mincho" w:hAnsi="Times New Roman"/>
          <w:bCs/>
          <w:sz w:val="28"/>
          <w:szCs w:val="24"/>
          <w:lang w:val="en-US"/>
        </w:rPr>
        <w:t>MediaTek Inc.</w:t>
      </w:r>
    </w:p>
    <w:p w14:paraId="668D66DE" w14:textId="1D024882" w:rsidR="006517D0" w:rsidRPr="00D31C65"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D31C65">
        <w:rPr>
          <w:rFonts w:ascii="Times New Roman" w:eastAsia="MS Mincho" w:hAnsi="Times New Roman"/>
          <w:bCs/>
          <w:sz w:val="28"/>
          <w:szCs w:val="24"/>
          <w:lang w:val="en-US"/>
        </w:rPr>
        <w:t>Title:</w:t>
      </w:r>
      <w:r w:rsidRPr="00D31C65">
        <w:rPr>
          <w:rFonts w:ascii="Times New Roman" w:eastAsia="MS Mincho" w:hAnsi="Times New Roman"/>
          <w:bCs/>
          <w:sz w:val="28"/>
          <w:szCs w:val="24"/>
          <w:lang w:val="en-US"/>
        </w:rPr>
        <w:tab/>
      </w:r>
      <w:r w:rsidR="00F1090C">
        <w:rPr>
          <w:rFonts w:ascii="Times New Roman" w:eastAsia="MS Mincho" w:hAnsi="Times New Roman"/>
          <w:bCs/>
          <w:sz w:val="28"/>
          <w:szCs w:val="24"/>
          <w:lang w:val="en-US"/>
        </w:rPr>
        <w:t>Discussion on s</w:t>
      </w:r>
      <w:r w:rsidR="00D31C65" w:rsidRPr="00D31C65">
        <w:rPr>
          <w:rFonts w:ascii="Times New Roman" w:eastAsia="MS Mincho" w:hAnsi="Times New Roman"/>
          <w:bCs/>
          <w:sz w:val="28"/>
          <w:szCs w:val="24"/>
          <w:lang w:val="en-US"/>
        </w:rPr>
        <w:t>pecification support for</w:t>
      </w:r>
      <w:r w:rsidR="003A7633">
        <w:rPr>
          <w:rFonts w:ascii="Times New Roman" w:eastAsia="MS Mincho" w:hAnsi="Times New Roman"/>
          <w:bCs/>
          <w:sz w:val="28"/>
          <w:szCs w:val="24"/>
          <w:lang w:val="en-US"/>
        </w:rPr>
        <w:t xml:space="preserve"> AIML-based</w:t>
      </w:r>
      <w:r w:rsidR="00D31C65" w:rsidRPr="00D31C65">
        <w:rPr>
          <w:rFonts w:ascii="Times New Roman" w:eastAsia="MS Mincho" w:hAnsi="Times New Roman"/>
          <w:bCs/>
          <w:sz w:val="28"/>
          <w:szCs w:val="24"/>
          <w:lang w:val="en-US"/>
        </w:rPr>
        <w:t xml:space="preserve"> beam management</w:t>
      </w:r>
    </w:p>
    <w:p w14:paraId="59B036AD" w14:textId="0EAE22F7" w:rsidR="006517D0" w:rsidRPr="00D31C65"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Document for:</w:t>
      </w:r>
      <w:r w:rsidRPr="00D31C65">
        <w:rPr>
          <w:rFonts w:ascii="Times New Roman" w:hAnsi="Times New Roman"/>
          <w:bCs/>
          <w:sz w:val="28"/>
          <w:szCs w:val="24"/>
          <w:lang w:val="en-US" w:eastAsia="zh-TW"/>
        </w:rPr>
        <w:t xml:space="preserve"> </w:t>
      </w:r>
      <w:r w:rsidR="00DD41ED" w:rsidRPr="00D31C65">
        <w:rPr>
          <w:rFonts w:ascii="Times New Roman" w:eastAsia="MS Mincho" w:hAnsi="Times New Roman"/>
          <w:bCs/>
          <w:sz w:val="28"/>
          <w:szCs w:val="24"/>
          <w:lang w:val="en-US"/>
        </w:rPr>
        <w:t>Discussion</w:t>
      </w:r>
      <w:r w:rsidR="00D24191" w:rsidRPr="00D31C65">
        <w:rPr>
          <w:rFonts w:ascii="Times New Roman" w:eastAsia="MS Mincho" w:hAnsi="Times New Roman"/>
          <w:bCs/>
          <w:sz w:val="28"/>
          <w:szCs w:val="24"/>
          <w:lang w:val="en-US"/>
        </w:rPr>
        <w:t xml:space="preserve"> &amp; Decision</w:t>
      </w:r>
    </w:p>
    <w:p w14:paraId="582E777E" w14:textId="77777777" w:rsidR="00615E57" w:rsidRPr="00D31C65"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 xml:space="preserve"> </w:t>
      </w:r>
      <w:bookmarkStart w:id="2" w:name="_Ref4683067"/>
      <w:r w:rsidR="00615E57" w:rsidRPr="00D31C65">
        <w:rPr>
          <w:rFonts w:ascii="Times New Roman" w:eastAsia="MS Mincho" w:hAnsi="Times New Roman"/>
          <w:b/>
          <w:sz w:val="32"/>
          <w:szCs w:val="32"/>
          <w:lang w:val="en-US"/>
        </w:rPr>
        <w:t>Introduction</w:t>
      </w:r>
      <w:bookmarkEnd w:id="2"/>
      <w:r w:rsidR="00615E57" w:rsidRPr="00D31C65">
        <w:rPr>
          <w:rFonts w:ascii="Times New Roman" w:eastAsia="MS Mincho" w:hAnsi="Times New Roman"/>
          <w:b/>
          <w:sz w:val="32"/>
          <w:szCs w:val="32"/>
          <w:lang w:val="en-US"/>
        </w:rPr>
        <w:t xml:space="preserve"> </w:t>
      </w:r>
    </w:p>
    <w:p w14:paraId="7C15C070" w14:textId="08A12C5B" w:rsidR="003022D8" w:rsidRPr="003022D8" w:rsidRDefault="00DD4D37" w:rsidP="003022D8">
      <w:pPr>
        <w:spacing w:before="100" w:beforeAutospacing="1" w:after="100" w:afterAutospacing="1"/>
        <w:jc w:val="both"/>
        <w:rPr>
          <w:color w:val="000000" w:themeColor="text1"/>
        </w:rPr>
      </w:pPr>
      <w:r>
        <w:rPr>
          <w:color w:val="000000" w:themeColor="text1"/>
        </w:rPr>
        <w:t>During the RAN Plenary RP#94 meeting, Artificial Intelligence (AI)/Machine Learning (ML)</w:t>
      </w:r>
      <w:r w:rsidR="008D5547" w:rsidRPr="00D31C65">
        <w:rPr>
          <w:color w:val="000000" w:themeColor="text1"/>
        </w:rPr>
        <w:t xml:space="preserve">-based </w:t>
      </w:r>
      <w:r>
        <w:rPr>
          <w:color w:val="000000" w:themeColor="text1"/>
        </w:rPr>
        <w:t>b</w:t>
      </w:r>
      <w:r w:rsidR="008D5547" w:rsidRPr="00D31C65">
        <w:rPr>
          <w:color w:val="000000" w:themeColor="text1"/>
        </w:rPr>
        <w:t>eam management has been identified as one of the three use cases for investigation and evaluation</w:t>
      </w:r>
      <w:r>
        <w:rPr>
          <w:color w:val="000000" w:themeColor="text1"/>
        </w:rPr>
        <w:t xml:space="preserve"> in a new Study Item (SI) to study on AI/ML</w:t>
      </w:r>
      <w:r w:rsidR="008D5547" w:rsidRPr="00D31C65">
        <w:rPr>
          <w:color w:val="000000" w:themeColor="text1"/>
        </w:rPr>
        <w:t>. In RAN1 109e the</w:t>
      </w:r>
      <w:r w:rsidR="00B42419" w:rsidRPr="00D31C65">
        <w:rPr>
          <w:color w:val="000000" w:themeColor="text1"/>
        </w:rPr>
        <w:t xml:space="preserve"> </w:t>
      </w:r>
      <w:r w:rsidR="008D5547" w:rsidRPr="00D31C65">
        <w:rPr>
          <w:color w:val="000000" w:themeColor="text1"/>
        </w:rPr>
        <w:t xml:space="preserve">SI on </w:t>
      </w:r>
      <w:r>
        <w:rPr>
          <w:color w:val="000000" w:themeColor="text1"/>
        </w:rPr>
        <w:t>AI/ML</w:t>
      </w:r>
      <w:r w:rsidR="008D5547" w:rsidRPr="00D31C65">
        <w:rPr>
          <w:color w:val="000000" w:themeColor="text1"/>
        </w:rPr>
        <w:t xml:space="preserve"> for NR air interface has been initiated. The SI includes </w:t>
      </w:r>
      <w:r w:rsidR="00554C06">
        <w:rPr>
          <w:color w:val="000000" w:themeColor="text1"/>
        </w:rPr>
        <w:t>“</w:t>
      </w:r>
      <w:r w:rsidR="00554C06" w:rsidRPr="00554C06">
        <w:rPr>
          <w:color w:val="000000" w:themeColor="text1"/>
        </w:rPr>
        <w:t>Evaluation on AI/ML for beam management</w:t>
      </w:r>
      <w:r w:rsidR="00554C06">
        <w:rPr>
          <w:color w:val="000000" w:themeColor="text1"/>
        </w:rPr>
        <w:t xml:space="preserve">” under the agenda 9.3.2.1 and </w:t>
      </w:r>
      <w:r w:rsidR="008D5547" w:rsidRPr="00D31C65">
        <w:rPr>
          <w:color w:val="000000" w:themeColor="text1"/>
        </w:rPr>
        <w:t xml:space="preserve">“Other aspects on AI/ML for beam management” under the agenda 9.3.2.2. </w:t>
      </w:r>
      <w:r w:rsidR="003022D8">
        <w:rPr>
          <w:color w:val="000000" w:themeColor="text1"/>
        </w:rPr>
        <w:t xml:space="preserve">In </w:t>
      </w:r>
      <w:r w:rsidR="003022D8" w:rsidRPr="003022D8">
        <w:rPr>
          <w:color w:val="000000" w:themeColor="text1"/>
        </w:rPr>
        <w:t>the study</w:t>
      </w:r>
      <w:r w:rsidR="003022D8">
        <w:rPr>
          <w:color w:val="000000" w:themeColor="text1"/>
        </w:rPr>
        <w:t xml:space="preserve">, two basic use-cases for AI/ML-based beam management has been evaluated, that is </w:t>
      </w:r>
      <w:r w:rsidR="003022D8" w:rsidRPr="003022D8">
        <w:rPr>
          <w:color w:val="000000" w:themeColor="text1"/>
        </w:rPr>
        <w:t>“AI/ML for Beam Management in Spatial Domain” and “AI/ML for Beam Management in Temporal Domain”</w:t>
      </w:r>
      <w:r w:rsidR="003022D8">
        <w:rPr>
          <w:color w:val="000000" w:themeColor="text1"/>
        </w:rPr>
        <w:t xml:space="preserve">, which </w:t>
      </w:r>
      <w:r w:rsidR="003022D8" w:rsidRPr="003022D8">
        <w:rPr>
          <w:color w:val="000000" w:themeColor="text1"/>
        </w:rPr>
        <w:t>are defined as:</w:t>
      </w:r>
    </w:p>
    <w:p w14:paraId="69848D45" w14:textId="77777777" w:rsidR="003022D8" w:rsidRPr="003022D8" w:rsidRDefault="003022D8" w:rsidP="003022D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Spatial-domain beam prediction for Set A of beams based on measurement results of Set B of beams.</w:t>
      </w:r>
    </w:p>
    <w:p w14:paraId="5F7A76B6" w14:textId="6F6C305E" w:rsidR="003022D8" w:rsidRDefault="003022D8" w:rsidP="00B04A2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Temporal DL beam prediction for Set A of beams based on the historic measurement results of Set B of beams.</w:t>
      </w:r>
    </w:p>
    <w:p w14:paraId="0989C69F" w14:textId="62CCB485" w:rsidR="00B04A28" w:rsidRDefault="00DD4D37" w:rsidP="00B04A28">
      <w:pPr>
        <w:spacing w:before="100" w:beforeAutospacing="1" w:after="100" w:afterAutospacing="1"/>
        <w:jc w:val="both"/>
        <w:rPr>
          <w:color w:val="000000" w:themeColor="text1"/>
        </w:rPr>
      </w:pPr>
      <w:r>
        <w:rPr>
          <w:color w:val="000000" w:themeColor="text1"/>
        </w:rPr>
        <w:t xml:space="preserve">The study results are </w:t>
      </w:r>
      <w:r w:rsidR="003022D8">
        <w:rPr>
          <w:color w:val="000000" w:themeColor="text1"/>
        </w:rPr>
        <w:t xml:space="preserve">later </w:t>
      </w:r>
      <w:r>
        <w:rPr>
          <w:color w:val="000000" w:themeColor="text1"/>
        </w:rPr>
        <w:t xml:space="preserve">noted in the technical report TR </w:t>
      </w:r>
      <w:r w:rsidR="00B04A28" w:rsidRPr="00B04A28">
        <w:rPr>
          <w:color w:val="000000" w:themeColor="text1"/>
        </w:rPr>
        <w:t>38.843</w:t>
      </w:r>
      <w:r w:rsidR="00554C06">
        <w:rPr>
          <w:color w:val="000000" w:themeColor="text1"/>
        </w:rPr>
        <w:fldChar w:fldCharType="begin"/>
      </w:r>
      <w:r w:rsidR="00554C06">
        <w:rPr>
          <w:color w:val="000000" w:themeColor="text1"/>
        </w:rPr>
        <w:instrText xml:space="preserve"> REF _Ref157686972 \r \h </w:instrText>
      </w:r>
      <w:r w:rsidR="00554C06">
        <w:rPr>
          <w:color w:val="000000" w:themeColor="text1"/>
        </w:rPr>
      </w:r>
      <w:r w:rsidR="00554C06">
        <w:rPr>
          <w:color w:val="000000" w:themeColor="text1"/>
        </w:rPr>
        <w:fldChar w:fldCharType="separate"/>
      </w:r>
      <w:r w:rsidR="00F43834">
        <w:rPr>
          <w:color w:val="000000" w:themeColor="text1"/>
        </w:rPr>
        <w:t>[1]</w:t>
      </w:r>
      <w:r w:rsidR="00554C06">
        <w:rPr>
          <w:color w:val="000000" w:themeColor="text1"/>
        </w:rPr>
        <w:fldChar w:fldCharType="end"/>
      </w:r>
      <w:r w:rsidR="00B04A28">
        <w:rPr>
          <w:color w:val="000000" w:themeColor="text1"/>
        </w:rPr>
        <w:t>.</w:t>
      </w:r>
      <w:r w:rsidR="003022D8">
        <w:rPr>
          <w:color w:val="000000" w:themeColor="text1"/>
        </w:rPr>
        <w:t xml:space="preserve"> Consequently, a Rel-19 work item has been proposed for specification support for AI/ML-based beam management</w:t>
      </w:r>
      <w:r w:rsidR="00B04A28">
        <w:rPr>
          <w:color w:val="000000" w:themeColor="text1"/>
        </w:rPr>
        <w:t xml:space="preserve"> during the RAN Plenary RP#102</w:t>
      </w:r>
      <w:r w:rsidR="003022D8">
        <w:rPr>
          <w:color w:val="000000" w:themeColor="text1"/>
        </w:rPr>
        <w:t>. T</w:t>
      </w:r>
      <w:r w:rsidR="00B04A28">
        <w:rPr>
          <w:color w:val="000000" w:themeColor="text1"/>
        </w:rPr>
        <w:t xml:space="preserve">he scope of </w:t>
      </w:r>
      <w:r w:rsidR="003022D8">
        <w:rPr>
          <w:color w:val="000000" w:themeColor="text1"/>
        </w:rPr>
        <w:t xml:space="preserve">this </w:t>
      </w:r>
      <w:r w:rsidR="00B04A28">
        <w:rPr>
          <w:color w:val="000000" w:themeColor="text1"/>
        </w:rPr>
        <w:t>Rel-19 work item for</w:t>
      </w:r>
      <w:r w:rsidR="003022D8">
        <w:rPr>
          <w:color w:val="000000" w:themeColor="text1"/>
        </w:rPr>
        <w:t xml:space="preserve"> supporting AI/ML</w:t>
      </w:r>
      <w:r w:rsidR="00B04A28">
        <w:rPr>
          <w:color w:val="000000" w:themeColor="text1"/>
        </w:rPr>
        <w:t xml:space="preserve"> beam management can be identified as follows</w:t>
      </w:r>
      <w:r w:rsidR="00554C06">
        <w:rPr>
          <w:color w:val="000000" w:themeColor="text1"/>
        </w:rPr>
        <w:fldChar w:fldCharType="begin"/>
      </w:r>
      <w:r w:rsidR="00554C06">
        <w:rPr>
          <w:color w:val="000000" w:themeColor="text1"/>
        </w:rPr>
        <w:instrText xml:space="preserve"> REF _Ref157686983 \r \h </w:instrText>
      </w:r>
      <w:r w:rsidR="00554C06">
        <w:rPr>
          <w:color w:val="000000" w:themeColor="text1"/>
        </w:rPr>
      </w:r>
      <w:r w:rsidR="00554C06">
        <w:rPr>
          <w:color w:val="000000" w:themeColor="text1"/>
        </w:rPr>
        <w:fldChar w:fldCharType="separate"/>
      </w:r>
      <w:r w:rsidR="00F43834">
        <w:rPr>
          <w:color w:val="000000" w:themeColor="text1"/>
        </w:rPr>
        <w:t>[2]</w:t>
      </w:r>
      <w:r w:rsidR="00554C06">
        <w:rPr>
          <w:color w:val="000000" w:themeColor="text1"/>
        </w:rPr>
        <w:fldChar w:fldCharType="end"/>
      </w:r>
      <w:r w:rsidR="00554C06">
        <w:rPr>
          <w:color w:val="000000" w:themeColor="text1"/>
        </w:rPr>
        <w:t xml:space="preserve"> </w:t>
      </w:r>
      <w:r w:rsidR="00B04A28">
        <w:rPr>
          <w:color w:val="000000" w:themeColor="text1"/>
        </w:rPr>
        <w:t>:</w:t>
      </w:r>
    </w:p>
    <w:tbl>
      <w:tblPr>
        <w:tblStyle w:val="TableGrid"/>
        <w:tblW w:w="0" w:type="auto"/>
        <w:tblLook w:val="04A0" w:firstRow="1" w:lastRow="0" w:firstColumn="1" w:lastColumn="0" w:noHBand="0" w:noVBand="1"/>
      </w:tblPr>
      <w:tblGrid>
        <w:gridCol w:w="9631"/>
      </w:tblGrid>
      <w:tr w:rsidR="00B04A28" w14:paraId="03715BD0" w14:textId="77777777" w:rsidTr="00B04A28">
        <w:tc>
          <w:tcPr>
            <w:tcW w:w="9631" w:type="dxa"/>
            <w:tcBorders>
              <w:top w:val="single" w:sz="4" w:space="0" w:color="auto"/>
              <w:left w:val="single" w:sz="4" w:space="0" w:color="auto"/>
              <w:bottom w:val="single" w:sz="4" w:space="0" w:color="auto"/>
              <w:right w:val="single" w:sz="4" w:space="0" w:color="auto"/>
            </w:tcBorders>
            <w:hideMark/>
          </w:tcPr>
          <w:p w14:paraId="05958799" w14:textId="77777777" w:rsidR="00B04A28" w:rsidRDefault="00B04A28">
            <w:pPr>
              <w:spacing w:after="0"/>
              <w:rPr>
                <w:bCs/>
                <w:sz w:val="20"/>
                <w:lang w:eastAsia="en-GB"/>
              </w:rPr>
            </w:pPr>
            <w:r>
              <w:rPr>
                <w:bCs/>
              </w:rPr>
              <w:t>Provide specification support for the following aspects:</w:t>
            </w:r>
          </w:p>
          <w:p w14:paraId="547FB725" w14:textId="77777777" w:rsidR="00B04A28" w:rsidRDefault="00B04A28">
            <w:pPr>
              <w:numPr>
                <w:ilvl w:val="0"/>
                <w:numId w:val="8"/>
              </w:numPr>
              <w:spacing w:after="0"/>
              <w:rPr>
                <w:bCs/>
                <w:sz w:val="20"/>
                <w:lang w:eastAsia="en-GB"/>
              </w:rPr>
            </w:pPr>
            <w:r>
              <w:rPr>
                <w:bCs/>
                <w:sz w:val="20"/>
                <w:lang w:eastAsia="en-GB"/>
              </w:rPr>
              <w:t>…</w:t>
            </w:r>
          </w:p>
          <w:p w14:paraId="42A1F9FB" w14:textId="77777777" w:rsidR="00B04A28" w:rsidRDefault="00B04A28">
            <w:pPr>
              <w:numPr>
                <w:ilvl w:val="0"/>
                <w:numId w:val="8"/>
              </w:numPr>
              <w:spacing w:after="0"/>
              <w:rPr>
                <w:bCs/>
                <w:sz w:val="20"/>
                <w:lang w:eastAsia="en-GB"/>
              </w:rPr>
            </w:pPr>
            <w:r>
              <w:rPr>
                <w:bCs/>
              </w:rPr>
              <w:t>Beam management - DL Tx beam prediction for both UE-sided model and NW-sided model, encompassing [RAN1/RAN2]:</w:t>
            </w:r>
          </w:p>
          <w:p w14:paraId="5AFFEF78" w14:textId="77777777" w:rsidR="00B04A28" w:rsidRDefault="00B04A28">
            <w:pPr>
              <w:numPr>
                <w:ilvl w:val="1"/>
                <w:numId w:val="8"/>
              </w:numPr>
              <w:spacing w:after="0"/>
              <w:rPr>
                <w:bCs/>
              </w:rPr>
            </w:pPr>
            <w:r>
              <w:rPr>
                <w:bCs/>
              </w:rPr>
              <w:t>Spatial-domain DL Tx beam prediction for Set A of beams based on measurement results of Set B of beams (“BM-Case1”)</w:t>
            </w:r>
          </w:p>
          <w:p w14:paraId="2792ADE8" w14:textId="77777777" w:rsidR="00B04A28" w:rsidRDefault="00B04A28">
            <w:pPr>
              <w:numPr>
                <w:ilvl w:val="1"/>
                <w:numId w:val="8"/>
              </w:numPr>
              <w:spacing w:after="0"/>
              <w:rPr>
                <w:bCs/>
              </w:rPr>
            </w:pPr>
            <w:r>
              <w:rPr>
                <w:bCs/>
              </w:rPr>
              <w:t>Temporal DL Tx beam prediction for Set A of beams based on the historic measurement results of Set B of beams (“BM-Case2”)</w:t>
            </w:r>
          </w:p>
          <w:p w14:paraId="4126528E" w14:textId="77777777" w:rsidR="00B04A28" w:rsidRDefault="00B04A28">
            <w:pPr>
              <w:numPr>
                <w:ilvl w:val="1"/>
                <w:numId w:val="8"/>
              </w:numPr>
              <w:spacing w:after="0"/>
              <w:rPr>
                <w:bCs/>
              </w:rPr>
            </w:pPr>
            <w:r>
              <w:rPr>
                <w:bCs/>
              </w:rPr>
              <w:t>Specify necessary signalling/mechanism(s) to facilitate LCM operations specific to the Beam Management use cases, if any</w:t>
            </w:r>
          </w:p>
          <w:p w14:paraId="7639F10B" w14:textId="77777777" w:rsidR="00B04A28" w:rsidRDefault="00B04A28">
            <w:pPr>
              <w:numPr>
                <w:ilvl w:val="1"/>
                <w:numId w:val="8"/>
              </w:numPr>
              <w:spacing w:after="0"/>
              <w:rPr>
                <w:bCs/>
              </w:rPr>
            </w:pPr>
            <w:r>
              <w:rPr>
                <w:bCs/>
              </w:rPr>
              <w:t xml:space="preserve">Enabling method(s) to ensure consistency between training and inference regarding NW-side additional conditions (if identified) for inference at UE </w:t>
            </w:r>
          </w:p>
          <w:p w14:paraId="27E11C92" w14:textId="77777777" w:rsidR="00B04A28" w:rsidRDefault="00B04A28">
            <w:pPr>
              <w:spacing w:after="0"/>
              <w:ind w:left="1080"/>
              <w:rPr>
                <w:bCs/>
                <w:sz w:val="20"/>
                <w:lang w:eastAsia="en-GB"/>
              </w:rPr>
            </w:pPr>
            <w:r>
              <w:rPr>
                <w:bCs/>
              </w:rPr>
              <w:t>NOTE: Strive for common framework design to support both BM-Case1 and BM-Case2</w:t>
            </w:r>
          </w:p>
          <w:p w14:paraId="0211E456" w14:textId="77777777" w:rsidR="00B04A28" w:rsidRDefault="00B04A28">
            <w:pPr>
              <w:numPr>
                <w:ilvl w:val="0"/>
                <w:numId w:val="8"/>
              </w:numPr>
              <w:spacing w:after="0"/>
              <w:rPr>
                <w:bCs/>
                <w:sz w:val="20"/>
                <w:lang w:eastAsia="en-GB"/>
              </w:rPr>
            </w:pPr>
            <w:r>
              <w:rPr>
                <w:bCs/>
                <w:sz w:val="20"/>
                <w:lang w:eastAsia="en-GB"/>
              </w:rPr>
              <w:t>…</w:t>
            </w:r>
          </w:p>
        </w:tc>
      </w:tr>
    </w:tbl>
    <w:p w14:paraId="4A6EAEE5" w14:textId="393AAED4" w:rsidR="00833AF0" w:rsidRDefault="00FD02C9" w:rsidP="0024151C">
      <w:pPr>
        <w:spacing w:before="100" w:beforeAutospacing="1" w:after="100" w:afterAutospacing="1"/>
        <w:jc w:val="both"/>
        <w:rPr>
          <w:color w:val="000000" w:themeColor="text1"/>
        </w:rPr>
      </w:pPr>
      <w:r>
        <w:rPr>
          <w:color w:val="000000" w:themeColor="text1"/>
        </w:rPr>
        <w:t xml:space="preserve">This document </w:t>
      </w:r>
      <w:r w:rsidR="00833AF0">
        <w:rPr>
          <w:color w:val="000000" w:themeColor="text1"/>
        </w:rPr>
        <w:t xml:space="preserve">will </w:t>
      </w:r>
      <w:r w:rsidR="004B17AB">
        <w:rPr>
          <w:color w:val="000000" w:themeColor="text1"/>
        </w:rPr>
        <w:t xml:space="preserve">mainly </w:t>
      </w:r>
      <w:r w:rsidR="00833AF0">
        <w:rPr>
          <w:color w:val="000000" w:themeColor="text1"/>
        </w:rPr>
        <w:t>focus on the following topics:</w:t>
      </w:r>
    </w:p>
    <w:p w14:paraId="49C117C8" w14:textId="19747ABF" w:rsidR="008A2FCE" w:rsidRDefault="008A2FCE">
      <w:pPr>
        <w:pStyle w:val="ListParagraph"/>
        <w:numPr>
          <w:ilvl w:val="0"/>
          <w:numId w:val="13"/>
        </w:numPr>
        <w:spacing w:before="100" w:beforeAutospacing="1" w:after="100" w:afterAutospacing="1"/>
        <w:jc w:val="both"/>
        <w:rPr>
          <w:color w:val="000000" w:themeColor="text1"/>
        </w:rPr>
      </w:pPr>
      <w:r>
        <w:rPr>
          <w:color w:val="000000" w:themeColor="text1"/>
        </w:rPr>
        <w:t xml:space="preserve">UE report content </w:t>
      </w:r>
    </w:p>
    <w:p w14:paraId="53A90076" w14:textId="6DEBB4E5" w:rsidR="003B5437" w:rsidRDefault="003B5437" w:rsidP="003B5437">
      <w:pPr>
        <w:pStyle w:val="ListParagraph"/>
        <w:numPr>
          <w:ilvl w:val="0"/>
          <w:numId w:val="13"/>
        </w:numPr>
        <w:spacing w:before="100" w:beforeAutospacing="1" w:after="100" w:afterAutospacing="1"/>
        <w:jc w:val="both"/>
        <w:rPr>
          <w:color w:val="000000" w:themeColor="text1"/>
        </w:rPr>
      </w:pPr>
      <w:r>
        <w:rPr>
          <w:color w:val="000000" w:themeColor="text1"/>
        </w:rPr>
        <w:t>Report timeline and CSI reference report</w:t>
      </w:r>
    </w:p>
    <w:p w14:paraId="4D60495A" w14:textId="6584CE5E" w:rsidR="003B5437" w:rsidRDefault="003B5437">
      <w:pPr>
        <w:pStyle w:val="ListParagraph"/>
        <w:numPr>
          <w:ilvl w:val="0"/>
          <w:numId w:val="13"/>
        </w:numPr>
        <w:spacing w:before="100" w:beforeAutospacing="1" w:after="100" w:afterAutospacing="1"/>
        <w:jc w:val="both"/>
        <w:rPr>
          <w:color w:val="000000" w:themeColor="text1"/>
        </w:rPr>
      </w:pPr>
      <w:r>
        <w:rPr>
          <w:color w:val="000000" w:themeColor="text1"/>
        </w:rPr>
        <w:t>CSI processing units</w:t>
      </w:r>
    </w:p>
    <w:p w14:paraId="779B3667" w14:textId="38E8931B" w:rsidR="00833AF0" w:rsidRDefault="00833AF0">
      <w:pPr>
        <w:pStyle w:val="ListParagraph"/>
        <w:numPr>
          <w:ilvl w:val="0"/>
          <w:numId w:val="13"/>
        </w:numPr>
        <w:spacing w:before="100" w:beforeAutospacing="1" w:after="100" w:afterAutospacing="1"/>
        <w:jc w:val="both"/>
        <w:rPr>
          <w:color w:val="000000" w:themeColor="text1"/>
        </w:rPr>
      </w:pPr>
      <w:r>
        <w:rPr>
          <w:color w:val="000000" w:themeColor="text1"/>
        </w:rPr>
        <w:t xml:space="preserve">Performance monitoring </w:t>
      </w:r>
      <w:r w:rsidR="00921949">
        <w:rPr>
          <w:color w:val="000000" w:themeColor="text1"/>
        </w:rPr>
        <w:t>configurations</w:t>
      </w:r>
      <w:r>
        <w:rPr>
          <w:color w:val="000000" w:themeColor="text1"/>
        </w:rPr>
        <w:t xml:space="preserve"> and metrics</w:t>
      </w:r>
    </w:p>
    <w:p w14:paraId="1512AE27" w14:textId="41071777" w:rsidR="00833AF0" w:rsidRDefault="00833AF0">
      <w:pPr>
        <w:pStyle w:val="ListParagraph"/>
        <w:numPr>
          <w:ilvl w:val="0"/>
          <w:numId w:val="13"/>
        </w:numPr>
        <w:spacing w:before="100" w:beforeAutospacing="1" w:after="100" w:afterAutospacing="1"/>
        <w:jc w:val="both"/>
        <w:rPr>
          <w:color w:val="000000" w:themeColor="text1"/>
        </w:rPr>
      </w:pPr>
      <w:r>
        <w:rPr>
          <w:color w:val="000000" w:themeColor="text1"/>
        </w:rPr>
        <w:t>Configuration of SetA/B</w:t>
      </w:r>
    </w:p>
    <w:p w14:paraId="2610795F" w14:textId="233BA856" w:rsidR="003B5437" w:rsidRPr="003B5437" w:rsidRDefault="003B5437" w:rsidP="003B5437">
      <w:pPr>
        <w:pStyle w:val="ListParagraph"/>
        <w:numPr>
          <w:ilvl w:val="0"/>
          <w:numId w:val="13"/>
        </w:numPr>
        <w:spacing w:before="100" w:beforeAutospacing="1" w:after="100" w:afterAutospacing="1"/>
        <w:jc w:val="both"/>
        <w:rPr>
          <w:color w:val="000000" w:themeColor="text1"/>
        </w:rPr>
      </w:pPr>
      <w:r>
        <w:rPr>
          <w:color w:val="000000" w:themeColor="text1"/>
        </w:rPr>
        <w:t>Associated ID discussions</w:t>
      </w:r>
    </w:p>
    <w:p w14:paraId="7DB9BBBD" w14:textId="57A21759" w:rsidR="0096292F" w:rsidRDefault="008D5547" w:rsidP="0024151C">
      <w:pPr>
        <w:spacing w:before="100" w:beforeAutospacing="1" w:after="100" w:afterAutospacing="1"/>
        <w:jc w:val="both"/>
        <w:rPr>
          <w:color w:val="000000" w:themeColor="text1"/>
        </w:rPr>
      </w:pPr>
      <w:r w:rsidRPr="00D31C65">
        <w:rPr>
          <w:color w:val="000000" w:themeColor="text1"/>
        </w:rPr>
        <w:t xml:space="preserve">In this contribution we </w:t>
      </w:r>
      <w:r w:rsidR="001D7E84">
        <w:rPr>
          <w:color w:val="000000" w:themeColor="text1"/>
        </w:rPr>
        <w:t xml:space="preserve">will </w:t>
      </w:r>
      <w:r w:rsidRPr="00D31C65">
        <w:rPr>
          <w:color w:val="000000" w:themeColor="text1"/>
        </w:rPr>
        <w:t>discuss the</w:t>
      </w:r>
      <w:r w:rsidR="00833AF0">
        <w:rPr>
          <w:color w:val="000000" w:themeColor="text1"/>
        </w:rPr>
        <w:t>se</w:t>
      </w:r>
      <w:r w:rsidRPr="00D31C65">
        <w:rPr>
          <w:color w:val="000000" w:themeColor="text1"/>
        </w:rPr>
        <w:t xml:space="preserve"> </w:t>
      </w:r>
      <w:r w:rsidR="00554C06">
        <w:rPr>
          <w:color w:val="000000" w:themeColor="text1"/>
        </w:rPr>
        <w:t>potential specification support</w:t>
      </w:r>
      <w:r w:rsidR="00833AF0">
        <w:rPr>
          <w:color w:val="000000" w:themeColor="text1"/>
        </w:rPr>
        <w:t>s</w:t>
      </w:r>
      <w:r w:rsidR="00AB5999">
        <w:rPr>
          <w:color w:val="000000" w:themeColor="text1"/>
        </w:rPr>
        <w:t>.</w:t>
      </w:r>
    </w:p>
    <w:p w14:paraId="0CFD9C44" w14:textId="4075A573" w:rsidR="004A39AD" w:rsidRPr="00EC4D10" w:rsidRDefault="004A39AD" w:rsidP="00EC4D10">
      <w:pPr>
        <w:pStyle w:val="Heading1"/>
        <w:numPr>
          <w:ilvl w:val="0"/>
          <w:numId w:val="1"/>
        </w:numPr>
        <w:rPr>
          <w:rFonts w:ascii="Times New Roman" w:eastAsia="MS Mincho" w:hAnsi="Times New Roman"/>
          <w:b/>
          <w:sz w:val="32"/>
          <w:szCs w:val="32"/>
          <w:lang w:val="en-US"/>
        </w:rPr>
      </w:pPr>
      <w:r w:rsidRPr="00D31C65">
        <w:rPr>
          <w:rFonts w:ascii="Times New Roman" w:eastAsia="MS Mincho" w:hAnsi="Times New Roman"/>
          <w:b/>
          <w:sz w:val="32"/>
          <w:szCs w:val="32"/>
          <w:lang w:val="en-US"/>
        </w:rPr>
        <w:lastRenderedPageBreak/>
        <w:t>Discussi</w:t>
      </w:r>
      <w:r w:rsidR="00183C5E" w:rsidRPr="00D31C65">
        <w:rPr>
          <w:rFonts w:ascii="Times New Roman" w:eastAsia="MS Mincho" w:hAnsi="Times New Roman"/>
          <w:b/>
          <w:sz w:val="32"/>
          <w:szCs w:val="32"/>
          <w:lang w:val="en-US"/>
        </w:rPr>
        <w:t>on</w:t>
      </w:r>
      <w:r w:rsidRPr="00EC4D10">
        <w:t xml:space="preserve"> </w:t>
      </w:r>
    </w:p>
    <w:p w14:paraId="72D03906" w14:textId="77777777" w:rsidR="008A2FCE" w:rsidRDefault="008A2FCE" w:rsidP="008A2FCE">
      <w:pPr>
        <w:pStyle w:val="Heading2"/>
        <w:numPr>
          <w:ilvl w:val="1"/>
          <w:numId w:val="9"/>
        </w:numPr>
        <w:rPr>
          <w:rFonts w:ascii="Times New Roman" w:hAnsi="Times New Roman"/>
          <w:sz w:val="28"/>
          <w:szCs w:val="28"/>
        </w:rPr>
      </w:pPr>
      <w:bookmarkStart w:id="3" w:name="_Ref178677092"/>
      <w:r>
        <w:rPr>
          <w:rFonts w:ascii="Times New Roman" w:hAnsi="Times New Roman"/>
          <w:sz w:val="28"/>
          <w:szCs w:val="28"/>
        </w:rPr>
        <w:t xml:space="preserve">Model inference </w:t>
      </w:r>
    </w:p>
    <w:p w14:paraId="39288F3F" w14:textId="77777777" w:rsidR="008A2FCE" w:rsidRDefault="008A2FCE" w:rsidP="008A2FCE">
      <w:pPr>
        <w:pStyle w:val="Heading3"/>
        <w:numPr>
          <w:ilvl w:val="2"/>
          <w:numId w:val="9"/>
        </w:numPr>
        <w:rPr>
          <w:rFonts w:ascii="Times New Roman" w:hAnsi="Times New Roman"/>
          <w:sz w:val="24"/>
          <w:szCs w:val="24"/>
        </w:rPr>
      </w:pPr>
      <w:r>
        <w:rPr>
          <w:rFonts w:ascii="Times New Roman" w:hAnsi="Times New Roman"/>
          <w:sz w:val="24"/>
          <w:szCs w:val="24"/>
        </w:rPr>
        <w:t>UE-side model</w:t>
      </w:r>
    </w:p>
    <w:p w14:paraId="640C254C" w14:textId="77777777" w:rsidR="008A2FCE" w:rsidRDefault="008A2FCE" w:rsidP="008A2FCE">
      <w:pPr>
        <w:pStyle w:val="Heading4"/>
        <w:numPr>
          <w:ilvl w:val="3"/>
          <w:numId w:val="9"/>
        </w:numPr>
        <w:tabs>
          <w:tab w:val="num" w:pos="2880"/>
        </w:tabs>
        <w:ind w:left="1224" w:hanging="1224"/>
        <w:rPr>
          <w:rFonts w:ascii="Times New Roman" w:eastAsia="SimSun" w:hAnsi="Times New Roman"/>
          <w:szCs w:val="24"/>
          <w:lang w:val="en-US" w:eastAsia="zh-CN"/>
        </w:rPr>
      </w:pPr>
      <w:r>
        <w:rPr>
          <w:rFonts w:ascii="Times New Roman" w:eastAsia="SimSun" w:hAnsi="Times New Roman"/>
          <w:szCs w:val="24"/>
          <w:lang w:val="en-US" w:eastAsia="zh-CN"/>
        </w:rPr>
        <w:t xml:space="preserve">Reporting content </w:t>
      </w:r>
    </w:p>
    <w:p w14:paraId="40FFC467" w14:textId="77777777" w:rsidR="008A2FCE" w:rsidRDefault="008A2FCE" w:rsidP="008A2FCE">
      <w:pPr>
        <w:jc w:val="both"/>
        <w:rPr>
          <w:lang w:eastAsia="zh-CN"/>
        </w:rPr>
      </w:pPr>
      <w:r>
        <w:rPr>
          <w:lang w:eastAsia="zh-CN"/>
        </w:rPr>
        <w:t xml:space="preserve">For UE-sided model, for the content in the report of inference results, currently we support two options: Option1: Beam ID and Option2: Beam ID + predicted RSRP. There is an remaining option (Option3) pending discussion. In Option3, UE will report beam ID on predicted Top K beam(s) and the corresponding probability related information. The probability is the probability of the beam to be the Top 1 beam, which is derived from the model output. The issue with this option is that it might be hard to find a way to test the probability reported by UE. For example, assuming Set A has 3 beams, Model A outputs probability [0.8,0.1,0.1], Model B outputs probability [0.4,0.3,0.3]. It does not necessarily mean Model B has less confidence on its prediction. Its output probability highly depends on the training dataset, and the dataset used by each company can be totally different. Therefore, it is not fair to conclude that Model B fails the test since it still gives the correct beam prediction. </w:t>
      </w:r>
    </w:p>
    <w:p w14:paraId="2F1E7D8F" w14:textId="77777777" w:rsidR="008A2FCE" w:rsidRDefault="008A2FCE" w:rsidP="008A2FCE">
      <w:pPr>
        <w:jc w:val="both"/>
        <w:rPr>
          <w:lang w:eastAsia="zh-CN"/>
        </w:rPr>
      </w:pPr>
      <w:r>
        <w:rPr>
          <w:lang w:eastAsia="zh-CN"/>
        </w:rPr>
        <w:t xml:space="preserve">One benefit mentioned so far for this option is that it can be used by NW to monitor the temporal domain beam probability change on the same model. For example, the reported best beam's probability history is: 0.8, 0.8, 0.8, 0.8, </w:t>
      </w:r>
      <w:r>
        <w:rPr>
          <w:color w:val="FF0000"/>
          <w:lang w:eastAsia="zh-CN"/>
        </w:rPr>
        <w:t>0.4</w:t>
      </w:r>
      <w:r>
        <w:rPr>
          <w:lang w:eastAsia="zh-CN"/>
        </w:rPr>
        <w:t>, 0.8, ... . For the report with best probability suddenly dropped to 0.4, NW may choose not to believe that report. If this situation happens frequently (i.e., the best probability drops frequently), we believe it will and should be captured by the performance monitoring process and NW should deactivate this model. If this situation rarely happens, then it should not impact on the overall performance much, also we still have BFR to take care of this. For both cases, we already have methods to solve this issue. Therefore, we prefer not to introduce this new option unless we are clear how to use and test it.</w:t>
      </w:r>
    </w:p>
    <w:p w14:paraId="3FC39E22" w14:textId="55A0B9F4" w:rsidR="008A2FCE" w:rsidRDefault="008A2FCE" w:rsidP="008A2FCE">
      <w:pPr>
        <w:spacing w:after="0"/>
        <w:jc w:val="both"/>
        <w:rPr>
          <w:b/>
          <w:bCs/>
          <w:i/>
          <w:iCs/>
        </w:rPr>
      </w:pPr>
      <w:r>
        <w:rPr>
          <w:b/>
          <w:bCs/>
          <w:i/>
          <w:iCs/>
        </w:rPr>
        <w:t xml:space="preserve">Proposal </w:t>
      </w:r>
      <w:r w:rsidR="0072446B">
        <w:rPr>
          <w:b/>
          <w:bCs/>
          <w:i/>
          <w:iCs/>
        </w:rPr>
        <w:t>1</w:t>
      </w:r>
      <w:r>
        <w:rPr>
          <w:b/>
          <w:bCs/>
          <w:i/>
          <w:iCs/>
        </w:rPr>
        <w:t xml:space="preserve">: For UE-sided model, for the content in the report of inference results, current agreed options are sufficient. </w:t>
      </w:r>
    </w:p>
    <w:p w14:paraId="541DC10E" w14:textId="77777777" w:rsidR="008A2FCE" w:rsidRDefault="008A2FCE" w:rsidP="008A2FCE">
      <w:pPr>
        <w:spacing w:after="0"/>
        <w:jc w:val="both"/>
        <w:rPr>
          <w:b/>
          <w:bCs/>
          <w:i/>
          <w:iCs/>
        </w:rPr>
      </w:pPr>
    </w:p>
    <w:p w14:paraId="2D398912" w14:textId="48941133" w:rsidR="008A2FCE" w:rsidRDefault="008A2FCE" w:rsidP="008A2FCE">
      <w:pPr>
        <w:pStyle w:val="Heading2"/>
        <w:numPr>
          <w:ilvl w:val="1"/>
          <w:numId w:val="9"/>
        </w:numPr>
        <w:rPr>
          <w:rFonts w:ascii="Times New Roman" w:hAnsi="Times New Roman"/>
          <w:sz w:val="28"/>
          <w:szCs w:val="28"/>
        </w:rPr>
      </w:pPr>
      <w:r>
        <w:rPr>
          <w:rFonts w:ascii="Times New Roman" w:hAnsi="Times New Roman"/>
          <w:sz w:val="28"/>
          <w:szCs w:val="28"/>
        </w:rPr>
        <w:t>Report timeline</w:t>
      </w:r>
      <w:r w:rsidR="0085320C">
        <w:rPr>
          <w:rFonts w:ascii="Times New Roman" w:hAnsi="Times New Roman"/>
          <w:sz w:val="28"/>
          <w:szCs w:val="28"/>
          <w:lang w:eastAsia="zh-TW"/>
        </w:rPr>
        <w:t xml:space="preserve"> and CSI reference resources</w:t>
      </w:r>
    </w:p>
    <w:p w14:paraId="4D0B7322" w14:textId="24D79231" w:rsidR="008A2FCE" w:rsidRDefault="00C07209" w:rsidP="008A2FCE">
      <w:pPr>
        <w:pStyle w:val="Heading3"/>
        <w:numPr>
          <w:ilvl w:val="2"/>
          <w:numId w:val="9"/>
        </w:numPr>
        <w:rPr>
          <w:rFonts w:ascii="Times New Roman" w:hAnsi="Times New Roman"/>
          <w:szCs w:val="28"/>
        </w:rPr>
      </w:pPr>
      <w:r>
        <w:rPr>
          <w:rFonts w:ascii="Times New Roman" w:hAnsi="Times New Roman"/>
          <w:szCs w:val="28"/>
        </w:rPr>
        <w:t>DCI triggered PUSCH report</w:t>
      </w:r>
    </w:p>
    <w:p w14:paraId="545CE88C" w14:textId="0FB3B866" w:rsidR="00681633" w:rsidRDefault="0085320C" w:rsidP="00C07209">
      <w:pPr>
        <w:jc w:val="both"/>
        <w:rPr>
          <w:lang w:val="en-GB" w:eastAsia="zh-TW"/>
        </w:rPr>
      </w:pPr>
      <w:r>
        <w:rPr>
          <w:lang w:val="en-GB"/>
        </w:rPr>
        <w:t xml:space="preserve">For </w:t>
      </w:r>
      <w:r w:rsidR="00C07209">
        <w:rPr>
          <w:lang w:val="en-GB"/>
        </w:rPr>
        <w:t xml:space="preserve">the </w:t>
      </w:r>
      <w:r>
        <w:rPr>
          <w:lang w:val="en-GB"/>
        </w:rPr>
        <w:t>report</w:t>
      </w:r>
      <w:r w:rsidR="00C07209">
        <w:rPr>
          <w:lang w:val="en-GB"/>
        </w:rPr>
        <w:t>s that is triggered by DCI (including AP and DC</w:t>
      </w:r>
      <w:r w:rsidR="00C07209">
        <w:rPr>
          <w:rFonts w:hint="eastAsia"/>
          <w:lang w:val="en-GB" w:eastAsia="zh-TW"/>
        </w:rPr>
        <w:t>I t</w:t>
      </w:r>
      <w:r w:rsidR="00C07209">
        <w:rPr>
          <w:lang w:val="en-GB" w:eastAsia="zh-TW"/>
        </w:rPr>
        <w:t>riggered SP</w:t>
      </w:r>
      <w:r w:rsidR="00C07209">
        <w:rPr>
          <w:lang w:val="en-GB"/>
        </w:rPr>
        <w:t>)</w:t>
      </w:r>
      <w:r>
        <w:rPr>
          <w:lang w:val="en-GB"/>
        </w:rPr>
        <w:t xml:space="preserve">, currently there are two restrictions that defines </w:t>
      </w:r>
      <w:r w:rsidR="00C07209">
        <w:rPr>
          <w:lang w:val="en-GB"/>
        </w:rPr>
        <w:t xml:space="preserve">the report timeline: the Z and Z’ delay requirement. </w:t>
      </w:r>
      <w:r w:rsidR="00272179">
        <w:rPr>
          <w:lang w:val="en-GB"/>
        </w:rPr>
        <w:t xml:space="preserve">As </w:t>
      </w:r>
      <w:r w:rsidR="00272179">
        <w:rPr>
          <w:lang w:val="en-GB" w:eastAsia="zh-TW"/>
        </w:rPr>
        <w:t xml:space="preserve">illustrated </w:t>
      </w:r>
      <w:r w:rsidR="00272179" w:rsidRPr="00272179">
        <w:rPr>
          <w:lang w:val="en-GB" w:eastAsia="zh-TW"/>
        </w:rPr>
        <w:t xml:space="preserve">in </w:t>
      </w:r>
      <w:r w:rsidR="00272179" w:rsidRPr="00272179">
        <w:rPr>
          <w:lang w:val="en-GB" w:eastAsia="zh-TW"/>
        </w:rPr>
        <w:fldChar w:fldCharType="begin"/>
      </w:r>
      <w:r w:rsidR="00272179" w:rsidRPr="00272179">
        <w:rPr>
          <w:lang w:val="en-GB" w:eastAsia="zh-TW"/>
        </w:rPr>
        <w:instrText xml:space="preserve"> REF _Ref197630386 \h  \* MERGEFORMAT </w:instrText>
      </w:r>
      <w:r w:rsidR="00272179" w:rsidRPr="00272179">
        <w:rPr>
          <w:lang w:val="en-GB" w:eastAsia="zh-TW"/>
        </w:rPr>
      </w:r>
      <w:r w:rsidR="00272179" w:rsidRPr="00272179">
        <w:rPr>
          <w:lang w:val="en-GB" w:eastAsia="zh-TW"/>
        </w:rPr>
        <w:fldChar w:fldCharType="separate"/>
      </w:r>
      <w:r w:rsidR="00F43834" w:rsidRPr="00F43834">
        <w:rPr>
          <w:iCs/>
          <w:lang w:eastAsia="zh-CN"/>
        </w:rPr>
        <w:t xml:space="preserve">Figure </w:t>
      </w:r>
      <w:r w:rsidR="00F43834" w:rsidRPr="00F43834">
        <w:rPr>
          <w:iCs/>
          <w:noProof/>
          <w:lang w:eastAsia="zh-CN"/>
        </w:rPr>
        <w:t>1</w:t>
      </w:r>
      <w:r w:rsidR="00272179" w:rsidRPr="00272179">
        <w:rPr>
          <w:lang w:val="en-GB" w:eastAsia="zh-TW"/>
        </w:rPr>
        <w:fldChar w:fldCharType="end"/>
      </w:r>
      <w:r w:rsidR="00272179">
        <w:rPr>
          <w:lang w:val="en-GB" w:eastAsia="zh-TW"/>
        </w:rPr>
        <w:t>, t</w:t>
      </w:r>
      <w:r w:rsidR="00C07209">
        <w:rPr>
          <w:lang w:val="en-GB"/>
        </w:rPr>
        <w:t xml:space="preserve">he Z requirement defines the required duration </w:t>
      </w:r>
      <w:r w:rsidR="00C07209" w:rsidRPr="00C07209">
        <w:rPr>
          <w:rFonts w:hint="eastAsia"/>
          <w:lang w:val="en-GB"/>
        </w:rPr>
        <w:t>between the last symbol of the triggering DCI and the first symbol of reporting PUSCH</w:t>
      </w:r>
      <w:r w:rsidR="00C07209">
        <w:rPr>
          <w:lang w:val="en-GB"/>
        </w:rPr>
        <w:t>. The Z’ requirement defines t</w:t>
      </w:r>
      <w:r w:rsidR="00C07209" w:rsidRPr="00C07209">
        <w:rPr>
          <w:rFonts w:hint="eastAsia"/>
          <w:lang w:val="en-GB"/>
        </w:rPr>
        <w:t xml:space="preserve">he duration between the last symbol of </w:t>
      </w:r>
      <w:r w:rsidR="00C07209">
        <w:rPr>
          <w:lang w:val="en-GB"/>
        </w:rPr>
        <w:t xml:space="preserve">the </w:t>
      </w:r>
      <w:r w:rsidR="00C07209">
        <w:t xml:space="preserve">CSI-RS resource configured for channel measurement </w:t>
      </w:r>
      <w:r w:rsidR="00C07209" w:rsidRPr="00C07209">
        <w:rPr>
          <w:rFonts w:hint="eastAsia"/>
          <w:lang w:val="en-GB"/>
        </w:rPr>
        <w:t>and the first symbol of reporting PUSCH</w:t>
      </w:r>
      <w:r w:rsidR="00C07209">
        <w:rPr>
          <w:lang w:val="en-GB"/>
        </w:rPr>
        <w:t xml:space="preserve">. </w:t>
      </w:r>
      <w:r w:rsidR="00C07209">
        <w:rPr>
          <w:lang w:val="en-GB" w:eastAsia="zh-TW"/>
        </w:rPr>
        <w:t xml:space="preserve">The value of Z and Z’ is defined in </w:t>
      </w:r>
      <w:r w:rsidR="00681633">
        <w:rPr>
          <w:lang w:val="en-GB" w:eastAsia="zh-TW"/>
        </w:rPr>
        <w:t xml:space="preserve">Table 5.4-2 of TS 38.214 </w:t>
      </w:r>
      <w:r w:rsidR="00681633">
        <w:rPr>
          <w:lang w:val="en-GB" w:eastAsia="zh-TW"/>
        </w:rPr>
        <w:fldChar w:fldCharType="begin"/>
      </w:r>
      <w:r w:rsidR="00681633">
        <w:rPr>
          <w:lang w:val="en-GB" w:eastAsia="zh-TW"/>
        </w:rPr>
        <w:instrText xml:space="preserve"> REF _Ref178875441 \r \h </w:instrText>
      </w:r>
      <w:r w:rsidR="00681633">
        <w:rPr>
          <w:lang w:val="en-GB" w:eastAsia="zh-TW"/>
        </w:rPr>
      </w:r>
      <w:r w:rsidR="00681633">
        <w:rPr>
          <w:lang w:val="en-GB" w:eastAsia="zh-TW"/>
        </w:rPr>
        <w:fldChar w:fldCharType="separate"/>
      </w:r>
      <w:r w:rsidR="00F43834">
        <w:rPr>
          <w:lang w:val="en-GB" w:eastAsia="zh-TW"/>
        </w:rPr>
        <w:t>[3]</w:t>
      </w:r>
      <w:r w:rsidR="00681633">
        <w:rPr>
          <w:lang w:val="en-GB" w:eastAsia="zh-TW"/>
        </w:rPr>
        <w:fldChar w:fldCharType="end"/>
      </w:r>
      <w:r w:rsidR="00681633">
        <w:rPr>
          <w:lang w:val="en-GB" w:eastAsia="zh-TW"/>
        </w:rPr>
        <w:t xml:space="preserve">, with Z1/Z1’ defined for beam reporting with SINR and Z3/Z3’ defined for beam reporting with L1-RSRP. This timeline restriction applies to each AP report, while for </w:t>
      </w:r>
      <w:r w:rsidR="00681633">
        <w:rPr>
          <w:lang w:val="en-GB"/>
        </w:rPr>
        <w:t>DC</w:t>
      </w:r>
      <w:r w:rsidR="00681633">
        <w:rPr>
          <w:lang w:val="en-GB" w:eastAsia="zh-TW"/>
        </w:rPr>
        <w:t xml:space="preserve">I triggered SP, this timeline only applies to the first report of the triggered SP. </w:t>
      </w:r>
    </w:p>
    <w:p w14:paraId="6DA58DF0" w14:textId="2C239A2D" w:rsidR="0085320C" w:rsidRDefault="00681633" w:rsidP="00C07209">
      <w:pPr>
        <w:jc w:val="both"/>
      </w:pPr>
      <w:r>
        <w:t xml:space="preserve">However, the current Z/Z' delay values are designed without the consideration of AI/ML model operation. Before receiving the DCI triggering signal, UE has no prior knowledge on when it will receive the activation signal. UE has no way to prepare its model for inference beforehand. Therefore, all the inference preparation such as model loading and variable activation need to happen after UE receives the DCI. Combining with the current Z/Z' delay requirement, it is almost impossible for UE to complete model inference and prepare the report within the timeline. Also, different UEs may have different AI/ML model implementations and model complexities that requires different Z/Z' timelines. Therefore, we propose that for the </w:t>
      </w:r>
      <w:r>
        <w:rPr>
          <w:lang w:val="en-GB"/>
        </w:rPr>
        <w:t xml:space="preserve">report timeline of the DCI triggered AI BM reports, the value of Z and Z’ for the </w:t>
      </w:r>
      <w:r>
        <w:t xml:space="preserve">Z/Z' delay requirement should be determined by UE capability. </w:t>
      </w:r>
      <w:r w:rsidR="00BA373D">
        <w:t xml:space="preserve">One simple way to achieve this is to introduce a new UE capability </w:t>
      </w:r>
      <w:r w:rsidR="00E71FD9">
        <w:t xml:space="preserve">on model inference timing </w:t>
      </w:r>
      <w:r w:rsidR="00BA373D">
        <w:t>(e.g., model</w:t>
      </w:r>
      <w:r w:rsidR="00E71FD9">
        <w:t>_inference_</w:t>
      </w:r>
      <w:r w:rsidR="00BA373D">
        <w:t>timing)</w:t>
      </w:r>
      <w:r w:rsidR="00E71FD9">
        <w:t xml:space="preserve">, which is added on top to the current Z/Z’ timeline.  </w:t>
      </w:r>
    </w:p>
    <w:p w14:paraId="6A09AE29" w14:textId="6A4B09DE" w:rsidR="00250DED" w:rsidRDefault="00871DF4" w:rsidP="00250DED">
      <w:pPr>
        <w:jc w:val="center"/>
      </w:pPr>
      <w:r>
        <w:rPr>
          <w:noProof/>
        </w:rPr>
        <w:lastRenderedPageBreak/>
        <w:drawing>
          <wp:inline distT="0" distB="0" distL="0" distR="0" wp14:anchorId="02DF6502" wp14:editId="2D44C5E5">
            <wp:extent cx="2419350" cy="1341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8799" cy="1346549"/>
                    </a:xfrm>
                    <a:prstGeom prst="rect">
                      <a:avLst/>
                    </a:prstGeom>
                    <a:noFill/>
                  </pic:spPr>
                </pic:pic>
              </a:graphicData>
            </a:graphic>
          </wp:inline>
        </w:drawing>
      </w:r>
    </w:p>
    <w:p w14:paraId="3EAFE0C2" w14:textId="0090E166" w:rsidR="00250DED" w:rsidRDefault="00250DED" w:rsidP="00250DED">
      <w:pPr>
        <w:jc w:val="center"/>
        <w:rPr>
          <w:b/>
          <w:lang w:eastAsia="zh-TW"/>
        </w:rPr>
      </w:pPr>
      <w:bookmarkStart w:id="4" w:name="_Ref197630386"/>
      <w:r>
        <w:rPr>
          <w:b/>
          <w:iCs/>
          <w:lang w:eastAsia="zh-CN"/>
        </w:rPr>
        <w:t xml:space="preserve">Figure </w:t>
      </w:r>
      <w:r>
        <w:fldChar w:fldCharType="begin"/>
      </w:r>
      <w:r>
        <w:rPr>
          <w:b/>
          <w:iCs/>
          <w:lang w:eastAsia="zh-CN"/>
        </w:rPr>
        <w:instrText xml:space="preserve"> SEQ Figure \* ARABIC </w:instrText>
      </w:r>
      <w:r>
        <w:fldChar w:fldCharType="separate"/>
      </w:r>
      <w:r w:rsidR="00F43834">
        <w:rPr>
          <w:b/>
          <w:iCs/>
          <w:noProof/>
          <w:lang w:eastAsia="zh-CN"/>
        </w:rPr>
        <w:t>1</w:t>
      </w:r>
      <w:r>
        <w:fldChar w:fldCharType="end"/>
      </w:r>
      <w:bookmarkEnd w:id="4"/>
      <w:r>
        <w:rPr>
          <w:b/>
          <w:iCs/>
          <w:lang w:eastAsia="zh-CN"/>
        </w:rPr>
        <w:t xml:space="preserve">: the Z/Z’ timeline restriction for </w:t>
      </w:r>
      <w:r w:rsidRPr="00250DED">
        <w:rPr>
          <w:b/>
          <w:iCs/>
          <w:lang w:eastAsia="zh-CN"/>
        </w:rPr>
        <w:t xml:space="preserve">DCI triggered PUSCH </w:t>
      </w:r>
      <w:r w:rsidR="00871DF4" w:rsidRPr="00250DED">
        <w:rPr>
          <w:b/>
          <w:iCs/>
          <w:lang w:eastAsia="zh-CN"/>
        </w:rPr>
        <w:t>report.</w:t>
      </w:r>
    </w:p>
    <w:p w14:paraId="0005F19B" w14:textId="77777777" w:rsidR="00250DED" w:rsidRDefault="00250DED" w:rsidP="00C07209">
      <w:pPr>
        <w:jc w:val="both"/>
      </w:pPr>
    </w:p>
    <w:p w14:paraId="6E5E2140" w14:textId="3F91A0F5" w:rsidR="00681633" w:rsidRDefault="00681633" w:rsidP="00681633">
      <w:pPr>
        <w:jc w:val="both"/>
        <w:rPr>
          <w:b/>
          <w:bCs/>
          <w:i/>
          <w:iCs/>
        </w:rPr>
      </w:pPr>
      <w:r>
        <w:rPr>
          <w:b/>
          <w:bCs/>
          <w:i/>
          <w:iCs/>
        </w:rPr>
        <w:t xml:space="preserve">Proposal </w:t>
      </w:r>
      <w:r w:rsidR="0072446B">
        <w:rPr>
          <w:b/>
          <w:bCs/>
          <w:i/>
          <w:iCs/>
        </w:rPr>
        <w:t>2</w:t>
      </w:r>
      <w:r>
        <w:rPr>
          <w:b/>
          <w:bCs/>
          <w:i/>
          <w:iCs/>
        </w:rPr>
        <w:t xml:space="preserve">: For BM Case1, when the report is a </w:t>
      </w:r>
      <w:r w:rsidRPr="00681633">
        <w:rPr>
          <w:b/>
          <w:bCs/>
          <w:i/>
          <w:iCs/>
        </w:rPr>
        <w:t>DCI triggered PUSCH reports</w:t>
      </w:r>
      <w:r>
        <w:rPr>
          <w:b/>
          <w:bCs/>
          <w:i/>
          <w:iCs/>
        </w:rPr>
        <w:t xml:space="preserve">, the Z/Z' </w:t>
      </w:r>
      <w:r w:rsidR="00E71FD9">
        <w:rPr>
          <w:b/>
          <w:bCs/>
          <w:i/>
          <w:iCs/>
        </w:rPr>
        <w:t>report timeline r</w:t>
      </w:r>
      <w:r>
        <w:rPr>
          <w:b/>
          <w:bCs/>
          <w:i/>
          <w:iCs/>
        </w:rPr>
        <w:t>equirement should be determined by UE capability.</w:t>
      </w:r>
    </w:p>
    <w:p w14:paraId="7993791E" w14:textId="20A6C6F1" w:rsidR="00681633" w:rsidRDefault="00681633" w:rsidP="00681633">
      <w:pPr>
        <w:jc w:val="both"/>
        <w:rPr>
          <w:b/>
          <w:bCs/>
          <w:i/>
          <w:iCs/>
        </w:rPr>
      </w:pPr>
      <w:r>
        <w:rPr>
          <w:b/>
          <w:bCs/>
          <w:i/>
          <w:iCs/>
        </w:rPr>
        <w:t xml:space="preserve">Proposal </w:t>
      </w:r>
      <w:r w:rsidR="0072446B">
        <w:rPr>
          <w:b/>
          <w:bCs/>
          <w:i/>
          <w:iCs/>
        </w:rPr>
        <w:t>3</w:t>
      </w:r>
      <w:r>
        <w:rPr>
          <w:b/>
          <w:bCs/>
          <w:i/>
          <w:iCs/>
        </w:rPr>
        <w:t xml:space="preserve">: For BM Case2, when the report is a DCI triggered PUSCH reports, the Z/Z' </w:t>
      </w:r>
      <w:r w:rsidR="00E71FD9">
        <w:rPr>
          <w:b/>
          <w:bCs/>
          <w:i/>
          <w:iCs/>
        </w:rPr>
        <w:t xml:space="preserve">report timeline </w:t>
      </w:r>
      <w:r>
        <w:rPr>
          <w:b/>
          <w:bCs/>
          <w:i/>
          <w:iCs/>
        </w:rPr>
        <w:t>requirement should be determined by UE capability.</w:t>
      </w:r>
    </w:p>
    <w:p w14:paraId="39832F15" w14:textId="392B72FD" w:rsidR="00E71FD9" w:rsidRDefault="00E71FD9" w:rsidP="00E71FD9">
      <w:pPr>
        <w:jc w:val="both"/>
        <w:rPr>
          <w:b/>
          <w:bCs/>
          <w:i/>
          <w:iCs/>
        </w:rPr>
      </w:pPr>
      <w:r>
        <w:rPr>
          <w:b/>
          <w:bCs/>
          <w:i/>
          <w:iCs/>
        </w:rPr>
        <w:t xml:space="preserve">Proposal </w:t>
      </w:r>
      <w:r w:rsidR="0072446B">
        <w:rPr>
          <w:b/>
          <w:bCs/>
          <w:i/>
          <w:iCs/>
        </w:rPr>
        <w:t>4</w:t>
      </w:r>
      <w:r>
        <w:rPr>
          <w:b/>
          <w:bCs/>
          <w:i/>
          <w:iCs/>
        </w:rPr>
        <w:t>:</w:t>
      </w:r>
      <w:r w:rsidRPr="00E71FD9">
        <w:t xml:space="preserve"> </w:t>
      </w:r>
      <w:r>
        <w:rPr>
          <w:b/>
          <w:bCs/>
          <w:i/>
          <w:iCs/>
        </w:rPr>
        <w:t xml:space="preserve">For each BM Cases, </w:t>
      </w:r>
      <w:r w:rsidRPr="00E71FD9">
        <w:rPr>
          <w:b/>
          <w:bCs/>
          <w:i/>
          <w:iCs/>
        </w:rPr>
        <w:t xml:space="preserve">UE </w:t>
      </w:r>
      <w:r>
        <w:rPr>
          <w:b/>
          <w:bCs/>
          <w:i/>
          <w:iCs/>
        </w:rPr>
        <w:t xml:space="preserve">reports its corresponding </w:t>
      </w:r>
      <w:r w:rsidRPr="00E71FD9">
        <w:rPr>
          <w:b/>
          <w:bCs/>
          <w:i/>
          <w:iCs/>
        </w:rPr>
        <w:t>capability on model inference timing</w:t>
      </w:r>
      <w:r>
        <w:rPr>
          <w:b/>
          <w:bCs/>
          <w:i/>
          <w:iCs/>
        </w:rPr>
        <w:t>. The timing capability is added to the current value of Z and Z’ in the report timeline requirement.</w:t>
      </w:r>
    </w:p>
    <w:p w14:paraId="1A33E0E6" w14:textId="77777777" w:rsidR="00E71FD9" w:rsidRDefault="00E71FD9" w:rsidP="00681633">
      <w:pPr>
        <w:jc w:val="both"/>
        <w:rPr>
          <w:b/>
          <w:bCs/>
          <w:i/>
          <w:iCs/>
        </w:rPr>
      </w:pPr>
    </w:p>
    <w:p w14:paraId="24B96D8E" w14:textId="33D15B56" w:rsidR="00681633" w:rsidRDefault="00BA373D" w:rsidP="00681633">
      <w:pPr>
        <w:pStyle w:val="Heading3"/>
        <w:numPr>
          <w:ilvl w:val="2"/>
          <w:numId w:val="9"/>
        </w:numPr>
        <w:rPr>
          <w:rFonts w:ascii="Times New Roman" w:hAnsi="Times New Roman"/>
          <w:szCs w:val="28"/>
        </w:rPr>
      </w:pPr>
      <w:r>
        <w:rPr>
          <w:rFonts w:ascii="Times New Roman" w:hAnsi="Times New Roman"/>
          <w:szCs w:val="28"/>
        </w:rPr>
        <w:t xml:space="preserve">Periodic and </w:t>
      </w:r>
      <w:r w:rsidR="00681633">
        <w:rPr>
          <w:rFonts w:ascii="Times New Roman" w:hAnsi="Times New Roman"/>
          <w:szCs w:val="28"/>
        </w:rPr>
        <w:t>Semi-persistent reports on PUCCH</w:t>
      </w:r>
    </w:p>
    <w:p w14:paraId="4B4CC9C0" w14:textId="67C98A04" w:rsidR="008A2FCE" w:rsidRPr="00F73EC6" w:rsidRDefault="00681633" w:rsidP="008A2FCE">
      <w:pPr>
        <w:jc w:val="both"/>
        <w:rPr>
          <w:lang w:val="en-GB" w:eastAsia="zh-TW"/>
        </w:rPr>
      </w:pPr>
      <w:r>
        <w:rPr>
          <w:lang w:val="en-GB"/>
        </w:rPr>
        <w:t xml:space="preserve">In the current spec, for the </w:t>
      </w:r>
      <w:r w:rsidR="00BA373D">
        <w:rPr>
          <w:lang w:val="en-GB"/>
        </w:rPr>
        <w:t xml:space="preserve">periodic reports and </w:t>
      </w:r>
      <w:r>
        <w:rPr>
          <w:lang w:val="en-GB"/>
        </w:rPr>
        <w:t xml:space="preserve">semi-persistent reports on PUCCH, </w:t>
      </w:r>
      <w:r w:rsidR="00BA373D">
        <w:rPr>
          <w:lang w:val="en-GB"/>
        </w:rPr>
        <w:t xml:space="preserve">the report timeline is defined by the </w:t>
      </w:r>
      <w:r>
        <w:rPr>
          <w:lang w:val="en-GB"/>
        </w:rPr>
        <w:t>CSI reference resource</w:t>
      </w:r>
      <w:r w:rsidR="00BA373D">
        <w:rPr>
          <w:lang w:val="en-GB"/>
        </w:rPr>
        <w:t xml:space="preserve">. That is only the </w:t>
      </w:r>
      <w:r w:rsidR="00BA373D">
        <w:t xml:space="preserve">channel measurements on the P/SP CSI-RS/SSB resources that are configured no later than the </w:t>
      </w:r>
      <w:r w:rsidR="00BA373D">
        <w:rPr>
          <w:lang w:val="en-GB"/>
        </w:rPr>
        <w:t xml:space="preserve">CSI reference resource will be included in the report. </w:t>
      </w:r>
      <w:r w:rsidR="0062692B">
        <w:rPr>
          <w:lang w:val="en-GB"/>
        </w:rPr>
        <w:t xml:space="preserve">The CSI reference resource is defined </w:t>
      </w:r>
      <w:r w:rsidR="00767AC5">
        <w:rPr>
          <w:lang w:val="en-GB"/>
        </w:rPr>
        <w:t xml:space="preserve">mostly </w:t>
      </w:r>
      <w:r w:rsidR="0062692B">
        <w:rPr>
          <w:lang w:val="en-GB"/>
        </w:rPr>
        <w:t xml:space="preserve">based on a variable named: </w:t>
      </w:r>
      <m:oMath>
        <m:sSub>
          <m:sSubPr>
            <m:ctrlPr>
              <w:rPr>
                <w:rFonts w:ascii="Cambria Math" w:hAnsi="Cambria Math"/>
                <w:i/>
                <w:sz w:val="24"/>
                <w:szCs w:val="24"/>
                <w:lang w:val="en-GB"/>
              </w:rPr>
            </m:ctrlPr>
          </m:sSubPr>
          <m:e>
            <m:r>
              <w:rPr>
                <w:rFonts w:ascii="Cambria Math" w:hAnsi="Cambria Math"/>
                <w:lang w:val="en-GB"/>
              </w:rPr>
              <m:t>n</m:t>
            </m:r>
          </m:e>
          <m:sub>
            <m:r>
              <w:rPr>
                <w:rFonts w:ascii="Cambria Math" w:hAnsi="Cambria Math"/>
                <w:lang w:val="en-GB"/>
              </w:rPr>
              <m:t>CSI_ref</m:t>
            </m:r>
          </m:sub>
        </m:sSub>
      </m:oMath>
      <w:r w:rsidR="0062692B">
        <w:rPr>
          <w:lang w:val="en-GB" w:eastAsia="zh-TW"/>
        </w:rPr>
        <w:t xml:space="preserve">. </w:t>
      </w:r>
      <w:r w:rsidR="0062692B">
        <w:rPr>
          <w:lang w:val="en-GB"/>
        </w:rPr>
        <w:t xml:space="preserve"> </w:t>
      </w:r>
      <w:r w:rsidR="00BA373D">
        <w:rPr>
          <w:lang w:val="en-GB"/>
        </w:rPr>
        <w:t xml:space="preserve">In AI BM cases, since Set B consists of multiple CSI-RS resources, according to Clause 5.2.2.5 of </w:t>
      </w:r>
      <w:r w:rsidR="00BA373D">
        <w:rPr>
          <w:lang w:val="en-GB" w:eastAsia="zh-TW"/>
        </w:rPr>
        <w:t xml:space="preserve">TS 38.214 </w:t>
      </w:r>
      <w:r w:rsidR="00BA373D">
        <w:rPr>
          <w:lang w:val="en-GB" w:eastAsia="zh-TW"/>
        </w:rPr>
        <w:fldChar w:fldCharType="begin"/>
      </w:r>
      <w:r w:rsidR="00BA373D">
        <w:rPr>
          <w:lang w:val="en-GB" w:eastAsia="zh-TW"/>
        </w:rPr>
        <w:instrText xml:space="preserve"> REF _Ref178875441 \r \h </w:instrText>
      </w:r>
      <w:r w:rsidR="00BA373D">
        <w:rPr>
          <w:lang w:val="en-GB" w:eastAsia="zh-TW"/>
        </w:rPr>
      </w:r>
      <w:r w:rsidR="00BA373D">
        <w:rPr>
          <w:lang w:val="en-GB" w:eastAsia="zh-TW"/>
        </w:rPr>
        <w:fldChar w:fldCharType="separate"/>
      </w:r>
      <w:r w:rsidR="00F43834">
        <w:rPr>
          <w:lang w:val="en-GB" w:eastAsia="zh-TW"/>
        </w:rPr>
        <w:t>[3]</w:t>
      </w:r>
      <w:r w:rsidR="00BA373D">
        <w:rPr>
          <w:lang w:val="en-GB" w:eastAsia="zh-TW"/>
        </w:rPr>
        <w:fldChar w:fldCharType="end"/>
      </w:r>
      <w:r w:rsidR="00BA373D">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CSI_ref</m:t>
            </m:r>
          </m:sub>
        </m:sSub>
      </m:oMath>
      <w:r w:rsidR="0062692B">
        <w:rPr>
          <w:lang w:val="en-GB" w:eastAsia="zh-TW"/>
        </w:rPr>
        <w:t xml:space="preserve"> is </w:t>
      </w:r>
      <w:r w:rsidR="00303F18" w:rsidRPr="00303F18">
        <w:rPr>
          <w:lang w:val="en-GB" w:eastAsia="zh-TW"/>
        </w:rPr>
        <w:t>the smallest value greater than or equal to 5</w:t>
      </w:r>
      <w:r w:rsidR="00303F18">
        <w:rPr>
          <w:lang w:val="en-GB" w:eastAsia="zh-TW"/>
        </w:rPr>
        <w:t>*</w:t>
      </w:r>
      <m:oMath>
        <m:sSup>
          <m:sSupPr>
            <m:ctrlPr>
              <w:rPr>
                <w:rFonts w:ascii="Cambria Math" w:hAnsi="Cambria Math"/>
                <w:i/>
                <w:lang w:val="en-GB" w:eastAsia="zh-TW"/>
              </w:rPr>
            </m:ctrlPr>
          </m:sSupPr>
          <m:e>
            <m:r>
              <w:rPr>
                <w:rFonts w:ascii="Cambria Math" w:hAnsi="Cambria Math"/>
                <w:lang w:val="en-GB" w:eastAsia="zh-TW"/>
              </w:rPr>
              <m:t>2</m:t>
            </m:r>
          </m:e>
          <m:sup>
            <m:sSub>
              <m:sSubPr>
                <m:ctrlPr>
                  <w:rPr>
                    <w:rFonts w:ascii="Cambria Math" w:hAnsi="Cambria Math"/>
                    <w:vertAlign w:val="superscript"/>
                    <w:lang w:val="en-GB" w:eastAsia="zh-TW"/>
                  </w:rPr>
                </m:ctrlPr>
              </m:sSubPr>
              <m:e>
                <m:r>
                  <m:rPr>
                    <m:sty m:val="p"/>
                  </m:rPr>
                  <w:rPr>
                    <w:rFonts w:ascii="Cambria Math" w:hAnsi="Cambria Math"/>
                    <w:vertAlign w:val="superscript"/>
                    <w:lang w:val="en-GB" w:eastAsia="zh-TW"/>
                  </w:rPr>
                  <m:t>μ</m:t>
                </m:r>
              </m:e>
              <m:sub>
                <m:r>
                  <w:rPr>
                    <w:rFonts w:ascii="Cambria Math" w:hAnsi="Cambria Math"/>
                    <w:vertAlign w:val="superscript"/>
                    <w:lang w:val="en-GB" w:eastAsia="zh-TW"/>
                  </w:rPr>
                  <m:t>DL</m:t>
                </m:r>
              </m:sub>
            </m:sSub>
          </m:sup>
        </m:sSup>
      </m:oMath>
      <w:r w:rsidR="00303F18" w:rsidRPr="00303F18">
        <w:rPr>
          <w:lang w:val="en-GB" w:eastAsia="zh-TW"/>
        </w:rPr>
        <w:t>, such that it corresponds to a valid downlink slot</w:t>
      </w:r>
      <w:r w:rsidR="00303F18">
        <w:rPr>
          <w:lang w:val="en-GB" w:eastAsia="zh-TW"/>
        </w:rPr>
        <w:t>.</w:t>
      </w:r>
      <w:r w:rsidR="00F73EC6">
        <w:rPr>
          <w:lang w:val="en-GB" w:eastAsia="zh-TW"/>
        </w:rPr>
        <w:t xml:space="preserve"> </w:t>
      </w:r>
      <w:r w:rsidR="00303F18">
        <w:rPr>
          <w:lang w:val="en-GB" w:eastAsia="zh-TW"/>
        </w:rPr>
        <w:t xml:space="preserve"> </w:t>
      </w:r>
      <w:r w:rsidR="00F73EC6">
        <w:rPr>
          <w:lang w:val="en-GB" w:eastAsia="zh-TW"/>
        </w:rPr>
        <w:t>However</w:t>
      </w:r>
      <w:r w:rsidR="008A2FCE">
        <w:t>, the current value</w:t>
      </w:r>
      <w:r w:rsidR="00F73EC6">
        <w:t xml:space="preserve"> of </w:t>
      </w:r>
      <m:oMath>
        <m:sSub>
          <m:sSubPr>
            <m:ctrlPr>
              <w:rPr>
                <w:rFonts w:ascii="Cambria Math" w:hAnsi="Cambria Math"/>
                <w:i/>
                <w:sz w:val="24"/>
                <w:szCs w:val="24"/>
                <w:lang w:val="en-GB"/>
              </w:rPr>
            </m:ctrlPr>
          </m:sSubPr>
          <m:e>
            <m:r>
              <w:rPr>
                <w:rFonts w:ascii="Cambria Math" w:hAnsi="Cambria Math"/>
                <w:lang w:val="en-GB"/>
              </w:rPr>
              <m:t>n</m:t>
            </m:r>
          </m:e>
          <m:sub>
            <m:r>
              <w:rPr>
                <w:rFonts w:ascii="Cambria Math" w:hAnsi="Cambria Math"/>
                <w:lang w:val="en-GB"/>
              </w:rPr>
              <m:t>CSI_ref</m:t>
            </m:r>
          </m:sub>
        </m:sSub>
      </m:oMath>
      <w:r w:rsidR="008A2FCE">
        <w:t xml:space="preserve"> </w:t>
      </w:r>
      <w:r w:rsidR="00F73EC6">
        <w:t xml:space="preserve">does not consider any </w:t>
      </w:r>
      <w:r w:rsidR="008A2FCE">
        <w:t>AI/ML model operation.</w:t>
      </w:r>
      <w:r w:rsidR="00F73EC6">
        <w:t xml:space="preserve"> Meanwhile, AI/ML inference can only start after all the model input (i.e., Set B measurement) is ready at UE.</w:t>
      </w:r>
      <w:r w:rsidR="008A2FCE">
        <w:t xml:space="preserve"> Therefore, </w:t>
      </w:r>
      <w:r w:rsidR="00F73EC6">
        <w:t xml:space="preserve">the duration left for </w:t>
      </w:r>
      <w:r w:rsidR="008A2FCE">
        <w:t xml:space="preserve">UE to </w:t>
      </w:r>
      <w:r w:rsidR="00F73EC6">
        <w:t xml:space="preserve">perform </w:t>
      </w:r>
      <w:r w:rsidR="008A2FCE">
        <w:t>model inference</w:t>
      </w:r>
      <w:r w:rsidR="00F73EC6">
        <w:t xml:space="preserve"> maybe insufficient</w:t>
      </w:r>
      <w:r w:rsidR="008A2FCE">
        <w:t>. Therefore, we propose that</w:t>
      </w:r>
      <w:r w:rsidR="00F73EC6">
        <w:t xml:space="preserve"> the same UE capability on </w:t>
      </w:r>
      <w:r w:rsidR="00F73EC6" w:rsidRPr="00F73EC6">
        <w:t>model inference timing</w:t>
      </w:r>
      <w:r w:rsidR="00F73EC6">
        <w:t xml:space="preserve"> can be introduced to the </w:t>
      </w:r>
      <w:r w:rsidR="00F73EC6">
        <w:rPr>
          <w:lang w:val="en-GB"/>
        </w:rPr>
        <w:t>CSI reference resource timeline</w:t>
      </w:r>
      <w:r w:rsidR="008A2FCE">
        <w:t>.</w:t>
      </w:r>
    </w:p>
    <w:p w14:paraId="5BE4A1E4" w14:textId="0ACFE50B" w:rsidR="008A2FCE" w:rsidRDefault="008A2FCE" w:rsidP="008A2FCE">
      <w:pPr>
        <w:jc w:val="both"/>
      </w:pPr>
      <w:r>
        <w:rPr>
          <w:b/>
          <w:bCs/>
          <w:i/>
          <w:iCs/>
        </w:rPr>
        <w:t xml:space="preserve">Proposal </w:t>
      </w:r>
      <w:r w:rsidR="0072446B">
        <w:rPr>
          <w:b/>
          <w:bCs/>
          <w:i/>
          <w:iCs/>
        </w:rPr>
        <w:t>5</w:t>
      </w:r>
      <w:r>
        <w:rPr>
          <w:b/>
          <w:bCs/>
          <w:i/>
          <w:iCs/>
        </w:rPr>
        <w:t xml:space="preserve">: </w:t>
      </w:r>
      <w:r w:rsidR="00C95FDE" w:rsidRPr="00C95FDE">
        <w:rPr>
          <w:b/>
          <w:bCs/>
          <w:i/>
          <w:iCs/>
        </w:rPr>
        <w:t xml:space="preserve">the CSI reference resource </w:t>
      </w:r>
      <w:r w:rsidR="00C95FDE">
        <w:rPr>
          <w:b/>
          <w:bCs/>
          <w:i/>
          <w:iCs/>
        </w:rPr>
        <w:t>definition should consider model inference delay, which is expected to be higher than the legacy beam management operations, especially for BM Case2.</w:t>
      </w:r>
    </w:p>
    <w:p w14:paraId="6D238B2E" w14:textId="67EAB231" w:rsidR="008A2FCE" w:rsidRDefault="008A2FCE" w:rsidP="008A2FCE">
      <w:pPr>
        <w:jc w:val="both"/>
      </w:pPr>
      <w:r>
        <w:rPr>
          <w:b/>
          <w:bCs/>
          <w:i/>
          <w:iCs/>
        </w:rPr>
        <w:t xml:space="preserve">Proposal </w:t>
      </w:r>
      <w:r w:rsidR="0072446B">
        <w:rPr>
          <w:b/>
          <w:bCs/>
          <w:i/>
          <w:iCs/>
        </w:rPr>
        <w:t>6</w:t>
      </w:r>
      <w:r>
        <w:rPr>
          <w:b/>
          <w:bCs/>
          <w:i/>
          <w:iCs/>
        </w:rPr>
        <w:t xml:space="preserve">: </w:t>
      </w:r>
      <w:r w:rsidR="00C95FDE">
        <w:rPr>
          <w:b/>
          <w:bCs/>
          <w:i/>
          <w:iCs/>
        </w:rPr>
        <w:t>For each BM Cases, UE reports its corresponding capability on model inference timing. The timing capability is added to the n_CSI_ref</w:t>
      </w:r>
      <w:r w:rsidR="00C95FDE" w:rsidRPr="00C95FDE">
        <w:rPr>
          <w:b/>
          <w:bCs/>
          <w:i/>
          <w:iCs/>
        </w:rPr>
        <w:t xml:space="preserve"> variable </w:t>
      </w:r>
      <w:r w:rsidR="00C95FDE">
        <w:rPr>
          <w:b/>
          <w:bCs/>
          <w:i/>
          <w:iCs/>
        </w:rPr>
        <w:t>in</w:t>
      </w:r>
      <w:r w:rsidR="00C95FDE" w:rsidRPr="00C95FDE">
        <w:rPr>
          <w:b/>
          <w:bCs/>
          <w:i/>
          <w:iCs/>
        </w:rPr>
        <w:t xml:space="preserve"> the </w:t>
      </w:r>
      <w:r w:rsidR="00C95FDE">
        <w:rPr>
          <w:b/>
          <w:bCs/>
          <w:i/>
          <w:iCs/>
        </w:rPr>
        <w:t xml:space="preserve">definition of </w:t>
      </w:r>
      <w:r w:rsidR="00C95FDE" w:rsidRPr="00C95FDE">
        <w:rPr>
          <w:b/>
          <w:bCs/>
          <w:i/>
          <w:iCs/>
        </w:rPr>
        <w:t>CSI reference resource</w:t>
      </w:r>
      <w:r>
        <w:rPr>
          <w:b/>
          <w:bCs/>
          <w:i/>
          <w:iCs/>
        </w:rPr>
        <w:t>.</w:t>
      </w:r>
    </w:p>
    <w:p w14:paraId="57FBF5EB" w14:textId="77777777" w:rsidR="00096E97" w:rsidRDefault="00096E97" w:rsidP="00096E97">
      <w:pPr>
        <w:pStyle w:val="Heading2"/>
        <w:numPr>
          <w:ilvl w:val="1"/>
          <w:numId w:val="9"/>
        </w:numPr>
        <w:rPr>
          <w:rFonts w:ascii="Times New Roman" w:hAnsi="Times New Roman"/>
          <w:sz w:val="28"/>
          <w:szCs w:val="28"/>
        </w:rPr>
      </w:pPr>
      <w:r>
        <w:rPr>
          <w:rFonts w:ascii="Times New Roman" w:hAnsi="Times New Roman"/>
          <w:sz w:val="28"/>
          <w:szCs w:val="28"/>
        </w:rPr>
        <w:t>CSI processing units</w:t>
      </w:r>
    </w:p>
    <w:p w14:paraId="78162DC8" w14:textId="43A71C5E" w:rsidR="00096E97" w:rsidRDefault="00096E97" w:rsidP="00656E7F">
      <w:pPr>
        <w:pStyle w:val="Heading3"/>
        <w:numPr>
          <w:ilvl w:val="2"/>
          <w:numId w:val="101"/>
        </w:numPr>
        <w:rPr>
          <w:rFonts w:ascii="Times New Roman" w:hAnsi="Times New Roman"/>
          <w:szCs w:val="28"/>
        </w:rPr>
      </w:pPr>
      <w:r>
        <w:rPr>
          <w:rFonts w:ascii="Times New Roman" w:eastAsia="SimSun" w:hAnsi="Times New Roman"/>
          <w:szCs w:val="24"/>
          <w:lang w:val="en-US" w:eastAsia="zh-CN"/>
        </w:rPr>
        <w:t xml:space="preserve">CSI processing units </w:t>
      </w:r>
      <w:r>
        <w:rPr>
          <w:rFonts w:ascii="Times New Roman" w:hAnsi="Times New Roman"/>
          <w:szCs w:val="28"/>
        </w:rPr>
        <w:t>for UE-sided model</w:t>
      </w:r>
    </w:p>
    <w:p w14:paraId="05E743B3" w14:textId="5067E410" w:rsidR="00096E97" w:rsidRDefault="00096E97" w:rsidP="00096E97">
      <w:pPr>
        <w:jc w:val="both"/>
        <w:rPr>
          <w:bCs/>
          <w:iCs/>
          <w:lang w:eastAsia="zh-CN"/>
        </w:rPr>
      </w:pPr>
      <w:r>
        <w:rPr>
          <w:bCs/>
          <w:iCs/>
          <w:lang w:eastAsia="zh-CN"/>
        </w:rPr>
        <w:t xml:space="preserve">For CSI processing unit, </w:t>
      </w:r>
      <w:r w:rsidR="00DC6F4A">
        <w:rPr>
          <w:bCs/>
          <w:iCs/>
          <w:lang w:eastAsia="zh-CN"/>
        </w:rPr>
        <w:t>three</w:t>
      </w:r>
      <w:r>
        <w:rPr>
          <w:bCs/>
          <w:iCs/>
          <w:lang w:eastAsia="zh-CN"/>
        </w:rPr>
        <w:t xml:space="preserve"> related agreements have been made so far:</w:t>
      </w:r>
    </w:p>
    <w:tbl>
      <w:tblPr>
        <w:tblStyle w:val="TableGrid"/>
        <w:tblW w:w="0" w:type="auto"/>
        <w:tblLook w:val="04A0" w:firstRow="1" w:lastRow="0" w:firstColumn="1" w:lastColumn="0" w:noHBand="0" w:noVBand="1"/>
      </w:tblPr>
      <w:tblGrid>
        <w:gridCol w:w="9631"/>
      </w:tblGrid>
      <w:tr w:rsidR="00096E97" w14:paraId="431E6D3F" w14:textId="77777777" w:rsidTr="00096E97">
        <w:tc>
          <w:tcPr>
            <w:tcW w:w="9631" w:type="dxa"/>
            <w:tcBorders>
              <w:top w:val="single" w:sz="4" w:space="0" w:color="auto"/>
              <w:left w:val="single" w:sz="4" w:space="0" w:color="auto"/>
              <w:bottom w:val="single" w:sz="4" w:space="0" w:color="auto"/>
              <w:right w:val="single" w:sz="4" w:space="0" w:color="auto"/>
            </w:tcBorders>
          </w:tcPr>
          <w:p w14:paraId="141CEF30" w14:textId="77777777" w:rsidR="00096E97" w:rsidRDefault="00096E97">
            <w:pPr>
              <w:spacing w:after="0"/>
              <w:jc w:val="both"/>
              <w:rPr>
                <w:bCs/>
                <w:iCs/>
                <w:lang w:eastAsia="zh-CN"/>
              </w:rPr>
            </w:pPr>
            <w:r>
              <w:rPr>
                <w:bCs/>
                <w:iCs/>
                <w:highlight w:val="green"/>
                <w:lang w:val="en-GB" w:eastAsia="zh-CN"/>
              </w:rPr>
              <w:t>Agreement</w:t>
            </w:r>
          </w:p>
          <w:p w14:paraId="3510D104" w14:textId="77777777" w:rsidR="00096E97" w:rsidRDefault="00096E97">
            <w:pPr>
              <w:spacing w:after="0"/>
              <w:jc w:val="both"/>
              <w:rPr>
                <w:bCs/>
                <w:iCs/>
                <w:lang w:val="en-GB" w:eastAsia="zh-CN"/>
              </w:rPr>
            </w:pPr>
            <w:r>
              <w:rPr>
                <w:bCs/>
                <w:iCs/>
                <w:lang w:val="en-GB" w:eastAsia="zh-CN"/>
              </w:rPr>
              <w:t>For beam management, multiple CSI reports for inference for UE-side model can be configured/activated/triggered, which is up to UE capability.</w:t>
            </w:r>
          </w:p>
          <w:p w14:paraId="612F525B" w14:textId="77777777" w:rsidR="00096E97" w:rsidRDefault="00096E97">
            <w:pPr>
              <w:spacing w:after="0"/>
              <w:jc w:val="both"/>
              <w:rPr>
                <w:bCs/>
                <w:iCs/>
                <w:lang w:eastAsia="zh-CN"/>
              </w:rPr>
            </w:pPr>
          </w:p>
          <w:p w14:paraId="6F7746F8" w14:textId="77777777" w:rsidR="00096E97" w:rsidRDefault="00096E97">
            <w:pPr>
              <w:jc w:val="both"/>
              <w:rPr>
                <w:bCs/>
                <w:iCs/>
                <w:lang w:eastAsia="zh-CN"/>
              </w:rPr>
            </w:pPr>
            <w:r>
              <w:rPr>
                <w:bCs/>
                <w:iCs/>
                <w:highlight w:val="green"/>
                <w:lang w:val="en-GB" w:eastAsia="zh-CN"/>
              </w:rPr>
              <w:t>Agreement</w:t>
            </w:r>
          </w:p>
          <w:p w14:paraId="4DEA9719" w14:textId="77777777" w:rsidR="00096E97" w:rsidRDefault="00096E97">
            <w:pPr>
              <w:spacing w:after="0"/>
              <w:jc w:val="both"/>
              <w:rPr>
                <w:bCs/>
                <w:iCs/>
                <w:lang w:eastAsia="zh-CN"/>
              </w:rPr>
            </w:pPr>
            <w:r>
              <w:rPr>
                <w:bCs/>
                <w:iCs/>
                <w:lang w:val="en-GB" w:eastAsia="zh-CN"/>
              </w:rPr>
              <w:t>For UE-side model, existing CPU mechanism is used as a starting point for AI/ML-based CSI processing.</w:t>
            </w:r>
          </w:p>
          <w:p w14:paraId="3BB36F6D" w14:textId="77777777" w:rsidR="00096E97" w:rsidRDefault="00096E97" w:rsidP="00096E97">
            <w:pPr>
              <w:numPr>
                <w:ilvl w:val="0"/>
                <w:numId w:val="102"/>
              </w:numPr>
              <w:spacing w:after="0"/>
              <w:jc w:val="both"/>
              <w:rPr>
                <w:bCs/>
                <w:iCs/>
                <w:lang w:eastAsia="zh-CN"/>
              </w:rPr>
            </w:pPr>
            <w:r>
              <w:rPr>
                <w:bCs/>
                <w:iCs/>
                <w:lang w:val="en-GB" w:eastAsia="zh-CN"/>
              </w:rPr>
              <w:lastRenderedPageBreak/>
              <w:t>FFS whether the overall CPU should be shared or separately counted between legacy CSI reporting and AI/ML-based CSI reporting, and among AI/ML features/functionalities.</w:t>
            </w:r>
          </w:p>
          <w:p w14:paraId="6DC67E2A" w14:textId="77777777" w:rsidR="00096E97" w:rsidRDefault="00096E97" w:rsidP="00096E97">
            <w:pPr>
              <w:numPr>
                <w:ilvl w:val="0"/>
                <w:numId w:val="102"/>
              </w:numPr>
              <w:spacing w:after="0"/>
              <w:jc w:val="both"/>
              <w:rPr>
                <w:bCs/>
                <w:iCs/>
                <w:lang w:eastAsia="zh-CN"/>
              </w:rPr>
            </w:pPr>
            <w:r>
              <w:rPr>
                <w:bCs/>
                <w:iCs/>
                <w:lang w:val="en-GB" w:eastAsia="zh-CN"/>
              </w:rPr>
              <w:t>FFS whether it is fully applicable for BM-Case 1 and/or BM-Case 2</w:t>
            </w:r>
          </w:p>
          <w:p w14:paraId="72E2FBBA" w14:textId="77777777" w:rsidR="00096E97" w:rsidRDefault="00096E97">
            <w:pPr>
              <w:spacing w:after="0"/>
              <w:jc w:val="both"/>
              <w:rPr>
                <w:bCs/>
                <w:iCs/>
                <w:lang w:val="en-GB" w:eastAsia="zh-CN"/>
              </w:rPr>
            </w:pPr>
          </w:p>
          <w:p w14:paraId="08E0131F" w14:textId="77777777" w:rsidR="00096E97" w:rsidRDefault="00096E97">
            <w:pPr>
              <w:rPr>
                <w:rFonts w:eastAsia="DengXian"/>
                <w:sz w:val="20"/>
                <w:highlight w:val="green"/>
                <w:lang w:eastAsia="zh-CN"/>
              </w:rPr>
            </w:pPr>
            <w:r>
              <w:rPr>
                <w:rFonts w:eastAsia="DengXian"/>
                <w:highlight w:val="green"/>
                <w:lang w:eastAsia="zh-CN"/>
              </w:rPr>
              <w:t>Agreement</w:t>
            </w:r>
          </w:p>
          <w:p w14:paraId="174A4C2E" w14:textId="77777777" w:rsidR="00096E97" w:rsidRDefault="00096E97" w:rsidP="00096E97">
            <w:pPr>
              <w:pStyle w:val="ListParagraph"/>
              <w:numPr>
                <w:ilvl w:val="0"/>
                <w:numId w:val="103"/>
              </w:numPr>
              <w:spacing w:after="0" w:line="276" w:lineRule="auto"/>
              <w:jc w:val="both"/>
              <w:rPr>
                <w:kern w:val="24"/>
              </w:rPr>
            </w:pPr>
            <w:r>
              <w:rPr>
                <w:kern w:val="24"/>
              </w:rPr>
              <w:t xml:space="preserve">For UE-side model, for AI/ML based beam management for BM-Case 1 and BM-Case 2, for processing of a CSI report for inference, considering the following options for potential down selection: </w:t>
            </w:r>
          </w:p>
          <w:p w14:paraId="185931DE" w14:textId="77777777" w:rsidR="00096E97" w:rsidRDefault="00096E97" w:rsidP="00096E97">
            <w:pPr>
              <w:pStyle w:val="ListParagraph"/>
              <w:numPr>
                <w:ilvl w:val="1"/>
                <w:numId w:val="104"/>
              </w:numPr>
              <w:spacing w:after="0" w:line="276" w:lineRule="auto"/>
              <w:jc w:val="both"/>
              <w:rPr>
                <w:kern w:val="24"/>
              </w:rPr>
            </w:pPr>
            <w:r>
              <w:rPr>
                <w:rFonts w:eastAsia="DengXian"/>
                <w:kern w:val="24"/>
                <w:lang w:eastAsia="zh-CN"/>
              </w:rPr>
              <w:t>Option</w:t>
            </w:r>
            <w:r>
              <w:rPr>
                <w:kern w:val="24"/>
              </w:rPr>
              <w:t xml:space="preserve"> 1: only dedicated AI/ML PU is occupied, </w:t>
            </w:r>
            <m:oMath>
              <m:sSub>
                <m:sSubPr>
                  <m:ctrlPr>
                    <w:rPr>
                      <w:rFonts w:ascii="Cambria Math" w:eastAsia="Malgun Gothic" w:hAnsi="Cambria Math"/>
                      <w:kern w:val="24"/>
                      <w:lang w:eastAsia="ko-KR"/>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Pr>
                <w:kern w:val="24"/>
              </w:rPr>
              <w:t xml:space="preserve"> is reported by UE.</w:t>
            </w:r>
          </w:p>
          <w:p w14:paraId="30DACB1F" w14:textId="77777777" w:rsidR="00096E97" w:rsidRDefault="00096E97" w:rsidP="00096E97">
            <w:pPr>
              <w:pStyle w:val="ListParagraph"/>
              <w:numPr>
                <w:ilvl w:val="2"/>
                <w:numId w:val="104"/>
              </w:numPr>
              <w:spacing w:after="0" w:line="276" w:lineRule="auto"/>
              <w:jc w:val="both"/>
              <w:rPr>
                <w:kern w:val="24"/>
              </w:rPr>
            </w:pPr>
            <w:r>
              <w:rPr>
                <w:kern w:val="24"/>
              </w:rPr>
              <w:t xml:space="preserve">And </w:t>
            </w:r>
            <m:oMath>
              <m:sSub>
                <m:sSubPr>
                  <m:ctrlPr>
                    <w:rPr>
                      <w:rFonts w:ascii="Cambria Math" w:eastAsia="Malgun Gothic" w:hAnsi="Cambria Math"/>
                      <w:kern w:val="24"/>
                      <w:lang w:eastAsia="ko-KR"/>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54AF23F3" w14:textId="77777777" w:rsidR="00096E97" w:rsidRDefault="00096E97" w:rsidP="00096E97">
            <w:pPr>
              <w:pStyle w:val="ListParagraph"/>
              <w:numPr>
                <w:ilvl w:val="1"/>
                <w:numId w:val="104"/>
              </w:numPr>
              <w:spacing w:after="0" w:line="276" w:lineRule="auto"/>
              <w:jc w:val="both"/>
              <w:rPr>
                <w:kern w:val="24"/>
              </w:rPr>
            </w:pPr>
            <w:r>
              <w:rPr>
                <w:rFonts w:eastAsia="DengXian"/>
                <w:kern w:val="24"/>
                <w:lang w:eastAsia="zh-CN"/>
              </w:rPr>
              <w:t>Option</w:t>
            </w:r>
            <w:r>
              <w:rPr>
                <w:kern w:val="24"/>
              </w:rPr>
              <w:t xml:space="preserve"> 2: only legacy CPU is occupied, </w:t>
            </w:r>
            <m:oMath>
              <m:sSub>
                <m:sSubPr>
                  <m:ctrlPr>
                    <w:rPr>
                      <w:rFonts w:ascii="Cambria Math" w:eastAsia="Malgun Gothic" w:hAnsi="Cambria Math"/>
                      <w:kern w:val="24"/>
                      <w:lang w:eastAsia="ko-KR"/>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Pr>
                <w:kern w:val="24"/>
              </w:rPr>
              <w:t xml:space="preserve"> it is reported by UE.</w:t>
            </w:r>
          </w:p>
          <w:p w14:paraId="5E030A40" w14:textId="77777777" w:rsidR="00096E97" w:rsidRDefault="00096E97" w:rsidP="00096E97">
            <w:pPr>
              <w:pStyle w:val="ListParagraph"/>
              <w:numPr>
                <w:ilvl w:val="1"/>
                <w:numId w:val="104"/>
              </w:numPr>
              <w:spacing w:after="0" w:line="276" w:lineRule="auto"/>
              <w:jc w:val="both"/>
              <w:rPr>
                <w:kern w:val="24"/>
              </w:rPr>
            </w:pPr>
            <w:r>
              <w:rPr>
                <w:rFonts w:eastAsia="DengXian"/>
                <w:kern w:val="24"/>
                <w:lang w:eastAsia="zh-CN"/>
              </w:rPr>
              <w:t>Option</w:t>
            </w:r>
            <w:r>
              <w:rPr>
                <w:kern w:val="24"/>
              </w:rPr>
              <w:t xml:space="preserve"> 3: both dedicated AI/ML PU and legacy CPU are occupied, </w:t>
            </w:r>
            <m:oMath>
              <m:sSub>
                <m:sSubPr>
                  <m:ctrlPr>
                    <w:rPr>
                      <w:rFonts w:ascii="Cambria Math" w:eastAsia="Malgun Gothic" w:hAnsi="Cambria Math"/>
                      <w:kern w:val="24"/>
                      <w:lang w:eastAsia="ko-KR"/>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Pr>
                <w:kern w:val="24"/>
              </w:rPr>
              <w:t xml:space="preserve"> is reported by UE.</w:t>
            </w:r>
          </w:p>
          <w:p w14:paraId="35AD2573" w14:textId="77777777" w:rsidR="00096E97" w:rsidRDefault="00096E97" w:rsidP="00096E97">
            <w:pPr>
              <w:pStyle w:val="ListParagraph"/>
              <w:numPr>
                <w:ilvl w:val="2"/>
                <w:numId w:val="104"/>
              </w:numPr>
              <w:spacing w:after="0" w:line="276" w:lineRule="auto"/>
              <w:jc w:val="both"/>
              <w:rPr>
                <w:kern w:val="24"/>
              </w:rPr>
            </w:pPr>
            <w:r>
              <w:rPr>
                <w:kern w:val="24"/>
              </w:rPr>
              <w:t xml:space="preserve">And </w:t>
            </w:r>
            <m:oMath>
              <m:sSub>
                <m:sSubPr>
                  <m:ctrlPr>
                    <w:rPr>
                      <w:rFonts w:ascii="Cambria Math" w:eastAsia="Malgun Gothic" w:hAnsi="Cambria Math"/>
                      <w:kern w:val="24"/>
                      <w:lang w:eastAsia="ko-KR"/>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Pr>
                <w:kern w:val="24"/>
              </w:rPr>
              <w:t xml:space="preserve"> </w:t>
            </w:r>
          </w:p>
          <w:p w14:paraId="4E826B58" w14:textId="77777777" w:rsidR="00096E97" w:rsidRDefault="00096E97">
            <w:pPr>
              <w:pStyle w:val="ListParagraph"/>
              <w:spacing w:after="0"/>
              <w:ind w:left="0" w:firstLine="440"/>
              <w:jc w:val="both"/>
              <w:rPr>
                <w:lang w:eastAsia="zh-CN"/>
              </w:rPr>
            </w:pPr>
            <w:r>
              <w:rPr>
                <w:rFonts w:eastAsia="DengXian"/>
                <w:kern w:val="24"/>
                <w:lang w:eastAsia="zh-CN"/>
              </w:rPr>
              <w:t xml:space="preserve">Note: </w:t>
            </w:r>
            <w:r>
              <w:rPr>
                <w:kern w:val="24"/>
              </w:rPr>
              <w:t xml:space="preserve">The supported </w:t>
            </w:r>
            <w:r>
              <w:rPr>
                <w:rFonts w:eastAsia="DengXian"/>
                <w:kern w:val="24"/>
                <w:lang w:eastAsia="zh-CN"/>
              </w:rPr>
              <w:t>option</w:t>
            </w:r>
            <w:r>
              <w:rPr>
                <w:kern w:val="24"/>
              </w:rPr>
              <w:t xml:space="preserve"> by UE is reported by UE capability, if multiple </w:t>
            </w:r>
            <w:r>
              <w:rPr>
                <w:rFonts w:eastAsia="DengXian"/>
                <w:kern w:val="24"/>
                <w:lang w:eastAsia="zh-CN"/>
              </w:rPr>
              <w:t>options</w:t>
            </w:r>
            <w:r>
              <w:rPr>
                <w:kern w:val="24"/>
              </w:rPr>
              <w:t xml:space="preserve"> are supported.</w:t>
            </w:r>
          </w:p>
          <w:p w14:paraId="7C5CDC24" w14:textId="77777777" w:rsidR="00096E97" w:rsidRDefault="00096E97" w:rsidP="00096E97">
            <w:pPr>
              <w:pStyle w:val="ListParagraph"/>
              <w:numPr>
                <w:ilvl w:val="0"/>
                <w:numId w:val="103"/>
              </w:numPr>
              <w:spacing w:after="0" w:line="276" w:lineRule="auto"/>
              <w:jc w:val="both"/>
              <w:rPr>
                <w:kern w:val="24"/>
              </w:rPr>
            </w:pPr>
            <w:r>
              <w:rPr>
                <w:kern w:val="24"/>
              </w:rPr>
              <w:t xml:space="preserve">The total number of dedicated AI/ML PU for AI/ML is reported by UE capability. </w:t>
            </w:r>
          </w:p>
          <w:p w14:paraId="117654BB" w14:textId="77777777" w:rsidR="00096E97" w:rsidRDefault="00096E97" w:rsidP="00096E97">
            <w:pPr>
              <w:pStyle w:val="ListParagraph"/>
              <w:numPr>
                <w:ilvl w:val="1"/>
                <w:numId w:val="105"/>
              </w:numPr>
              <w:spacing w:after="0" w:line="276" w:lineRule="auto"/>
              <w:jc w:val="both"/>
              <w:rPr>
                <w:kern w:val="24"/>
              </w:rPr>
            </w:pPr>
            <w:r>
              <w:rPr>
                <w:kern w:val="24"/>
              </w:rPr>
              <w:t xml:space="preserve">Note: The total number of Use case specific dedicated AI/ML PU could be discussed separately. </w:t>
            </w:r>
          </w:p>
          <w:p w14:paraId="039D42F5" w14:textId="77777777" w:rsidR="00096E97" w:rsidRDefault="00096E97">
            <w:pPr>
              <w:spacing w:after="0"/>
              <w:jc w:val="both"/>
              <w:rPr>
                <w:bCs/>
                <w:iCs/>
                <w:lang w:eastAsia="zh-CN"/>
              </w:rPr>
            </w:pPr>
          </w:p>
        </w:tc>
      </w:tr>
    </w:tbl>
    <w:p w14:paraId="0151E53A" w14:textId="77777777" w:rsidR="00096E97" w:rsidRDefault="00096E97" w:rsidP="00096E97">
      <w:pPr>
        <w:jc w:val="both"/>
        <w:rPr>
          <w:bCs/>
          <w:iCs/>
          <w:lang w:eastAsia="zh-CN"/>
        </w:rPr>
      </w:pPr>
    </w:p>
    <w:p w14:paraId="22631130" w14:textId="3B7AF777" w:rsidR="00DC6F4A" w:rsidRDefault="00DC6F4A" w:rsidP="00096E97">
      <w:pPr>
        <w:jc w:val="both"/>
        <w:rPr>
          <w:bCs/>
          <w:iCs/>
          <w:lang w:eastAsia="zh-CN"/>
        </w:rPr>
      </w:pPr>
      <w:r>
        <w:rPr>
          <w:bCs/>
          <w:iCs/>
          <w:lang w:eastAsia="zh-CN"/>
        </w:rPr>
        <w:t xml:space="preserve">For the </w:t>
      </w:r>
      <w:r w:rsidR="008A0800">
        <w:rPr>
          <w:bCs/>
          <w:iCs/>
          <w:lang w:eastAsia="zh-CN"/>
        </w:rPr>
        <w:t xml:space="preserve">three options for defining the </w:t>
      </w:r>
      <w:r w:rsidR="008A0800" w:rsidRPr="008A0800">
        <w:rPr>
          <w:bCs/>
          <w:iCs/>
          <w:lang w:eastAsia="zh-CN"/>
        </w:rPr>
        <w:t>processing unit of a CSI report</w:t>
      </w:r>
      <w:r w:rsidR="008A0800">
        <w:rPr>
          <w:bCs/>
          <w:iCs/>
          <w:lang w:eastAsia="zh-CN"/>
        </w:rPr>
        <w:t>, we prefer option1. Note that the current legacy CPU mechanism cannot accurately capture the complexity differen</w:t>
      </w:r>
      <w:r w:rsidR="00BE6256">
        <w:rPr>
          <w:bCs/>
          <w:iCs/>
          <w:lang w:eastAsia="zh-CN"/>
        </w:rPr>
        <w:t>ce</w:t>
      </w:r>
      <w:r w:rsidR="008A0800">
        <w:rPr>
          <w:bCs/>
          <w:iCs/>
          <w:lang w:eastAsia="zh-CN"/>
        </w:rPr>
        <w:t xml:space="preserve"> between different CSI reports. For example, </w:t>
      </w:r>
      <w:r w:rsidR="008A0800" w:rsidRPr="008A0800">
        <w:rPr>
          <w:bCs/>
          <w:iCs/>
          <w:lang w:eastAsia="zh-CN"/>
        </w:rPr>
        <w:t xml:space="preserve">BM </w:t>
      </w:r>
      <w:r w:rsidR="008A0800">
        <w:rPr>
          <w:bCs/>
          <w:iCs/>
          <w:lang w:eastAsia="zh-CN"/>
        </w:rPr>
        <w:t>will report</w:t>
      </w:r>
      <w:r w:rsidR="008A0800" w:rsidRPr="008A0800">
        <w:rPr>
          <w:bCs/>
          <w:iCs/>
          <w:lang w:eastAsia="zh-CN"/>
        </w:rPr>
        <w:t xml:space="preserve"> 1 port W</w:t>
      </w:r>
      <w:r w:rsidR="008A0800">
        <w:rPr>
          <w:bCs/>
          <w:iCs/>
          <w:lang w:eastAsia="zh-CN"/>
        </w:rPr>
        <w:t xml:space="preserve">ide </w:t>
      </w:r>
      <w:r w:rsidR="008A0800" w:rsidRPr="008A0800">
        <w:rPr>
          <w:bCs/>
          <w:iCs/>
          <w:lang w:eastAsia="zh-CN"/>
        </w:rPr>
        <w:t>B</w:t>
      </w:r>
      <w:r w:rsidR="008A0800">
        <w:rPr>
          <w:bCs/>
          <w:iCs/>
          <w:lang w:eastAsia="zh-CN"/>
        </w:rPr>
        <w:t>and</w:t>
      </w:r>
      <w:r w:rsidR="008A0800" w:rsidRPr="008A0800">
        <w:rPr>
          <w:bCs/>
          <w:iCs/>
          <w:lang w:eastAsia="zh-CN"/>
        </w:rPr>
        <w:t xml:space="preserve"> L1-RSRP only, and </w:t>
      </w:r>
      <w:r w:rsidR="008A0800">
        <w:rPr>
          <w:bCs/>
          <w:iCs/>
          <w:lang w:eastAsia="zh-CN"/>
        </w:rPr>
        <w:t xml:space="preserve">a </w:t>
      </w:r>
      <w:r w:rsidR="008A0800" w:rsidRPr="008A0800">
        <w:rPr>
          <w:bCs/>
          <w:iCs/>
          <w:lang w:eastAsia="zh-CN"/>
        </w:rPr>
        <w:t>CSI</w:t>
      </w:r>
      <w:r w:rsidR="008A0800">
        <w:rPr>
          <w:bCs/>
          <w:iCs/>
          <w:lang w:eastAsia="zh-CN"/>
        </w:rPr>
        <w:t xml:space="preserve">-ACQ report may require UE to measure and calculate for up to </w:t>
      </w:r>
      <w:r w:rsidR="008A0800" w:rsidRPr="008A0800">
        <w:rPr>
          <w:bCs/>
          <w:iCs/>
          <w:lang w:eastAsia="zh-CN"/>
        </w:rPr>
        <w:t>32 ports</w:t>
      </w:r>
      <w:r w:rsidR="008A0800">
        <w:rPr>
          <w:bCs/>
          <w:iCs/>
          <w:lang w:eastAsia="zh-CN"/>
        </w:rPr>
        <w:t xml:space="preserve"> of </w:t>
      </w:r>
      <w:r w:rsidR="008A0800" w:rsidRPr="008A0800">
        <w:rPr>
          <w:bCs/>
          <w:iCs/>
          <w:lang w:eastAsia="zh-CN"/>
        </w:rPr>
        <w:t>CRI/RI/PMI/CQI</w:t>
      </w:r>
      <w:r w:rsidR="008A0800">
        <w:rPr>
          <w:bCs/>
          <w:iCs/>
          <w:lang w:eastAsia="zh-CN"/>
        </w:rPr>
        <w:t xml:space="preserve"> for </w:t>
      </w:r>
      <w:r w:rsidR="00BE6256">
        <w:rPr>
          <w:bCs/>
          <w:iCs/>
          <w:lang w:eastAsia="zh-CN"/>
        </w:rPr>
        <w:t xml:space="preserve">either </w:t>
      </w:r>
      <w:r w:rsidR="008A0800">
        <w:rPr>
          <w:bCs/>
          <w:iCs/>
          <w:lang w:eastAsia="zh-CN"/>
        </w:rPr>
        <w:t>Wideband or Sub-Band</w:t>
      </w:r>
      <w:r w:rsidR="008A0800" w:rsidRPr="008A0800">
        <w:rPr>
          <w:bCs/>
          <w:iCs/>
          <w:lang w:eastAsia="zh-CN"/>
        </w:rPr>
        <w:t>.</w:t>
      </w:r>
      <w:r w:rsidR="008A0800">
        <w:rPr>
          <w:bCs/>
          <w:iCs/>
          <w:lang w:eastAsia="zh-CN"/>
        </w:rPr>
        <w:t xml:space="preserve"> It is very hard to</w:t>
      </w:r>
      <w:r w:rsidR="006B34B6">
        <w:rPr>
          <w:bCs/>
          <w:iCs/>
          <w:lang w:eastAsia="zh-CN"/>
        </w:rPr>
        <w:t xml:space="preserve"> accommodate</w:t>
      </w:r>
      <w:r w:rsidR="008A0800">
        <w:rPr>
          <w:bCs/>
          <w:iCs/>
          <w:lang w:eastAsia="zh-CN"/>
        </w:rPr>
        <w:t xml:space="preserve"> the </w:t>
      </w:r>
      <w:r w:rsidR="006B34B6">
        <w:rPr>
          <w:bCs/>
          <w:iCs/>
          <w:lang w:eastAsia="zh-CN"/>
        </w:rPr>
        <w:t>corresponding complexity difference into the current granularity of O_CPU. Moreover, the UE implementation on the legacy BM/CSI algorithm</w:t>
      </w:r>
      <w:r w:rsidR="00BE6256">
        <w:rPr>
          <w:bCs/>
          <w:iCs/>
          <w:lang w:eastAsia="zh-CN"/>
        </w:rPr>
        <w:t>s</w:t>
      </w:r>
      <w:r w:rsidR="006B34B6">
        <w:rPr>
          <w:bCs/>
          <w:iCs/>
          <w:lang w:eastAsia="zh-CN"/>
        </w:rPr>
        <w:t xml:space="preserve"> and AI/ML-based algorithm</w:t>
      </w:r>
      <w:r w:rsidR="00BE6256">
        <w:rPr>
          <w:bCs/>
          <w:iCs/>
          <w:lang w:eastAsia="zh-CN"/>
        </w:rPr>
        <w:t>s</w:t>
      </w:r>
      <w:r w:rsidR="006B34B6">
        <w:rPr>
          <w:bCs/>
          <w:iCs/>
          <w:lang w:eastAsia="zh-CN"/>
        </w:rPr>
        <w:t xml:space="preserve"> </w:t>
      </w:r>
      <w:r w:rsidR="00BE6256">
        <w:rPr>
          <w:bCs/>
          <w:iCs/>
          <w:lang w:eastAsia="zh-CN"/>
        </w:rPr>
        <w:t xml:space="preserve">are </w:t>
      </w:r>
      <w:r w:rsidR="006B34B6">
        <w:rPr>
          <w:bCs/>
          <w:iCs/>
          <w:lang w:eastAsia="zh-CN"/>
        </w:rPr>
        <w:t>totally different. They may even use different hardware resources for computation. Hence, we don’t think it is a good idea to add the AI/ML report complexity on top of the current CPU mechanism</w:t>
      </w:r>
      <w:r w:rsidR="00BE6256">
        <w:rPr>
          <w:bCs/>
          <w:iCs/>
          <w:lang w:eastAsia="zh-CN"/>
        </w:rPr>
        <w:t>.</w:t>
      </w:r>
      <w:r w:rsidR="006B34B6">
        <w:rPr>
          <w:bCs/>
          <w:iCs/>
          <w:lang w:eastAsia="zh-CN"/>
        </w:rPr>
        <w:t xml:space="preserve"> </w:t>
      </w:r>
      <w:r w:rsidR="00BE6256">
        <w:rPr>
          <w:bCs/>
          <w:iCs/>
          <w:lang w:eastAsia="zh-CN"/>
        </w:rPr>
        <w:t>O</w:t>
      </w:r>
      <w:r w:rsidR="006B34B6">
        <w:rPr>
          <w:bCs/>
          <w:iCs/>
          <w:lang w:eastAsia="zh-CN"/>
        </w:rPr>
        <w:t xml:space="preserve">ption1 </w:t>
      </w:r>
      <w:r w:rsidR="00BE6256">
        <w:rPr>
          <w:bCs/>
          <w:iCs/>
          <w:lang w:eastAsia="zh-CN"/>
        </w:rPr>
        <w:t xml:space="preserve">should be supported </w:t>
      </w:r>
      <w:r w:rsidR="006B34B6">
        <w:rPr>
          <w:bCs/>
          <w:iCs/>
          <w:lang w:eastAsia="zh-CN"/>
        </w:rPr>
        <w:t>so that the AI/ML feature can have its own CPU mechanism for defining the complexity.</w:t>
      </w:r>
    </w:p>
    <w:p w14:paraId="6B7CDB81" w14:textId="582160E8" w:rsidR="006B34B6" w:rsidRDefault="006B34B6" w:rsidP="00096E97">
      <w:pPr>
        <w:jc w:val="both"/>
        <w:rPr>
          <w:bCs/>
          <w:iCs/>
          <w:lang w:eastAsia="zh-TW"/>
        </w:rPr>
      </w:pPr>
      <w:r>
        <w:rPr>
          <w:bCs/>
          <w:iCs/>
          <w:lang w:eastAsia="zh-CN"/>
        </w:rPr>
        <w:t xml:space="preserve">Following the same reason above, we believe it is more useful for UE to report dedicated processing capability for each AI/ML use cases. With this approach, </w:t>
      </w:r>
      <w:r w:rsidR="001F7178">
        <w:rPr>
          <w:bCs/>
          <w:iCs/>
          <w:lang w:eastAsia="zh-CN"/>
        </w:rPr>
        <w:t xml:space="preserve">we don’t </w:t>
      </w:r>
      <w:r>
        <w:rPr>
          <w:bCs/>
          <w:iCs/>
          <w:lang w:eastAsia="zh-CN"/>
        </w:rPr>
        <w:t xml:space="preserve">need to </w:t>
      </w:r>
      <w:r w:rsidR="001F7178">
        <w:rPr>
          <w:bCs/>
          <w:iCs/>
          <w:lang w:eastAsia="zh-CN"/>
        </w:rPr>
        <w:t xml:space="preserve">standardize </w:t>
      </w:r>
      <w:r>
        <w:rPr>
          <w:bCs/>
          <w:iCs/>
          <w:lang w:eastAsia="zh-CN"/>
        </w:rPr>
        <w:t xml:space="preserve">on how to capture the complexity difference among different use cases and NW can have a </w:t>
      </w:r>
      <w:r w:rsidR="0055074B">
        <w:rPr>
          <w:bCs/>
          <w:iCs/>
          <w:lang w:eastAsia="zh-CN"/>
        </w:rPr>
        <w:t>clearer</w:t>
      </w:r>
      <w:r>
        <w:rPr>
          <w:bCs/>
          <w:iCs/>
          <w:lang w:eastAsia="zh-CN"/>
        </w:rPr>
        <w:t xml:space="preserve"> understanding on how many AI/ML BM and AI/ML CSI reports that an UE can support simultaneously. </w:t>
      </w:r>
      <w:r>
        <w:rPr>
          <w:rFonts w:hint="eastAsia"/>
          <w:bCs/>
          <w:iCs/>
          <w:lang w:eastAsia="zh-TW"/>
        </w:rPr>
        <w:t>M</w:t>
      </w:r>
      <w:r>
        <w:rPr>
          <w:bCs/>
          <w:iCs/>
          <w:lang w:eastAsia="zh-TW"/>
        </w:rPr>
        <w:t xml:space="preserve">oreover, it is possible that </w:t>
      </w:r>
      <w:r w:rsidR="0055074B">
        <w:rPr>
          <w:bCs/>
          <w:iCs/>
          <w:lang w:eastAsia="zh-TW"/>
        </w:rPr>
        <w:t xml:space="preserve">UE has dedicated AI engines for BM and CSI reports, where the resources are not shared with each other. In this situation, it may confuse NW on exactly how many </w:t>
      </w:r>
      <w:r w:rsidR="0055074B">
        <w:rPr>
          <w:bCs/>
          <w:iCs/>
          <w:lang w:eastAsia="zh-CN"/>
        </w:rPr>
        <w:t>AI/ML BM and AI/ML CSI reports that an UE can support simultaneously. Eventually, UE can only report the worst-case scenario</w:t>
      </w:r>
      <w:r w:rsidR="00416CAD">
        <w:rPr>
          <w:bCs/>
          <w:iCs/>
          <w:lang w:eastAsia="zh-CN"/>
        </w:rPr>
        <w:t xml:space="preserve"> </w:t>
      </w:r>
      <w:r w:rsidR="0088185F">
        <w:rPr>
          <w:bCs/>
          <w:iCs/>
          <w:lang w:eastAsia="zh-CN"/>
        </w:rPr>
        <w:t>as the total number of APU</w:t>
      </w:r>
      <w:r w:rsidR="0055074B">
        <w:rPr>
          <w:bCs/>
          <w:iCs/>
          <w:lang w:eastAsia="zh-CN"/>
        </w:rPr>
        <w:t>, i.e., the smaller number among how many BM reports it can support and how many CSI report it can support. Therefore, we support that for each AI/ML use cases, the AI/ML PU will not be shared with other use cases.</w:t>
      </w:r>
    </w:p>
    <w:p w14:paraId="3CAAFB32" w14:textId="1EA14F86" w:rsidR="00656E7F" w:rsidRDefault="00656E7F" w:rsidP="00656E7F">
      <w:pPr>
        <w:jc w:val="both"/>
        <w:rPr>
          <w:b/>
          <w:bCs/>
          <w:i/>
          <w:iCs/>
        </w:rPr>
      </w:pPr>
      <w:r w:rsidRPr="00656E7F">
        <w:rPr>
          <w:b/>
          <w:bCs/>
          <w:i/>
          <w:iCs/>
        </w:rPr>
        <w:t xml:space="preserve">Proposal </w:t>
      </w:r>
      <w:r w:rsidR="0072446B">
        <w:rPr>
          <w:b/>
          <w:bCs/>
          <w:i/>
          <w:iCs/>
        </w:rPr>
        <w:t>7</w:t>
      </w:r>
      <w:r w:rsidRPr="00656E7F">
        <w:rPr>
          <w:b/>
          <w:bCs/>
          <w:i/>
          <w:iCs/>
        </w:rPr>
        <w:t>: For the</w:t>
      </w:r>
      <w:r w:rsidRPr="00656E7F">
        <w:rPr>
          <w:b/>
          <w:bCs/>
          <w:i/>
          <w:iCs/>
          <w:kern w:val="24"/>
        </w:rPr>
        <w:t xml:space="preserve"> processing unit of a CSI report</w:t>
      </w:r>
      <w:r w:rsidRPr="00656E7F">
        <w:rPr>
          <w:b/>
          <w:bCs/>
          <w:i/>
          <w:iCs/>
        </w:rPr>
        <w:t xml:space="preserve"> for </w:t>
      </w:r>
      <w:r w:rsidRPr="00656E7F">
        <w:rPr>
          <w:b/>
          <w:bCs/>
          <w:i/>
          <w:iCs/>
          <w:kern w:val="24"/>
        </w:rPr>
        <w:t>AI BM, support Option1:</w:t>
      </w:r>
      <w:r w:rsidRPr="00656E7F">
        <w:rPr>
          <w:b/>
          <w:bCs/>
          <w:i/>
          <w:iCs/>
        </w:rPr>
        <w:t xml:space="preserve"> </w:t>
      </w:r>
      <w:r w:rsidRPr="00656E7F">
        <w:rPr>
          <w:b/>
          <w:bCs/>
          <w:i/>
          <w:iCs/>
          <w:kern w:val="24"/>
        </w:rPr>
        <w:t>only dedicated AI/ML PU is occupied, O_APU=N1 is reported by UE</w:t>
      </w:r>
      <w:r w:rsidRPr="00656E7F">
        <w:rPr>
          <w:b/>
          <w:bCs/>
          <w:i/>
          <w:iCs/>
        </w:rPr>
        <w:t>.</w:t>
      </w:r>
    </w:p>
    <w:p w14:paraId="63EC5DD9" w14:textId="6B689F63" w:rsidR="006B34B6" w:rsidRDefault="008A0800" w:rsidP="00656E7F">
      <w:pPr>
        <w:jc w:val="both"/>
        <w:rPr>
          <w:b/>
          <w:bCs/>
          <w:i/>
          <w:iCs/>
        </w:rPr>
      </w:pPr>
      <w:r>
        <w:rPr>
          <w:b/>
          <w:bCs/>
          <w:i/>
          <w:iCs/>
        </w:rPr>
        <w:t xml:space="preserve">Proposal </w:t>
      </w:r>
      <w:r w:rsidR="0072446B">
        <w:rPr>
          <w:b/>
          <w:bCs/>
          <w:i/>
          <w:iCs/>
        </w:rPr>
        <w:t>8</w:t>
      </w:r>
      <w:r>
        <w:rPr>
          <w:b/>
          <w:bCs/>
          <w:i/>
          <w:iCs/>
        </w:rPr>
        <w:t>: For the</w:t>
      </w:r>
      <w:r>
        <w:rPr>
          <w:b/>
          <w:bCs/>
          <w:i/>
          <w:iCs/>
          <w:kern w:val="24"/>
        </w:rPr>
        <w:t xml:space="preserve"> processing unit of a CSI report</w:t>
      </w:r>
      <w:r>
        <w:rPr>
          <w:b/>
          <w:bCs/>
          <w:i/>
          <w:iCs/>
        </w:rPr>
        <w:t xml:space="preserve"> for </w:t>
      </w:r>
      <w:r>
        <w:rPr>
          <w:b/>
          <w:bCs/>
          <w:i/>
          <w:iCs/>
          <w:kern w:val="24"/>
        </w:rPr>
        <w:t>AI BM, do not support Option2</w:t>
      </w:r>
      <w:r>
        <w:t xml:space="preserve">: </w:t>
      </w:r>
      <w:r w:rsidRPr="008A0800">
        <w:rPr>
          <w:b/>
          <w:bCs/>
          <w:i/>
          <w:iCs/>
          <w:kern w:val="24"/>
        </w:rPr>
        <w:t>only legacy CPU is occupied, O_CPU=M it is reported by UE</w:t>
      </w:r>
      <w:r>
        <w:rPr>
          <w:b/>
          <w:bCs/>
          <w:i/>
          <w:iCs/>
        </w:rPr>
        <w:t>.</w:t>
      </w:r>
    </w:p>
    <w:p w14:paraId="6B980FC3" w14:textId="27B78863" w:rsidR="00656E7F" w:rsidRDefault="00656E7F" w:rsidP="00656E7F">
      <w:pPr>
        <w:jc w:val="both"/>
        <w:rPr>
          <w:b/>
          <w:bCs/>
          <w:i/>
          <w:iCs/>
        </w:rPr>
      </w:pPr>
      <w:r>
        <w:rPr>
          <w:b/>
          <w:bCs/>
          <w:i/>
          <w:iCs/>
        </w:rPr>
        <w:t xml:space="preserve">Proposal 9: The total number of </w:t>
      </w:r>
      <w:r w:rsidRPr="00656E7F">
        <w:rPr>
          <w:b/>
          <w:bCs/>
          <w:i/>
          <w:iCs/>
        </w:rPr>
        <w:t>dedicated AI/ML PU for AI/ML</w:t>
      </w:r>
      <w:r>
        <w:rPr>
          <w:b/>
          <w:bCs/>
          <w:i/>
          <w:iCs/>
        </w:rPr>
        <w:t xml:space="preserve">-based beam management will not be shared with other use cases. </w:t>
      </w:r>
    </w:p>
    <w:p w14:paraId="3C0A23F4" w14:textId="77777777" w:rsidR="00096E97" w:rsidRDefault="00096E97" w:rsidP="00096E97">
      <w:pPr>
        <w:spacing w:after="0"/>
        <w:jc w:val="both"/>
        <w:rPr>
          <w:b/>
          <w:bCs/>
          <w:i/>
          <w:iCs/>
        </w:rPr>
      </w:pPr>
    </w:p>
    <w:p w14:paraId="546CFC8B" w14:textId="77777777" w:rsidR="00096E97" w:rsidRDefault="00096E97" w:rsidP="00096E97">
      <w:pPr>
        <w:pStyle w:val="Heading2"/>
        <w:numPr>
          <w:ilvl w:val="1"/>
          <w:numId w:val="9"/>
        </w:numPr>
        <w:rPr>
          <w:rFonts w:ascii="Times New Roman" w:hAnsi="Times New Roman"/>
          <w:sz w:val="28"/>
          <w:szCs w:val="28"/>
        </w:rPr>
      </w:pPr>
      <w:r>
        <w:rPr>
          <w:rFonts w:ascii="Times New Roman" w:hAnsi="Times New Roman"/>
          <w:sz w:val="28"/>
          <w:szCs w:val="28"/>
        </w:rPr>
        <w:lastRenderedPageBreak/>
        <w:t>Performance monitoring (Metrics/events/procedures)</w:t>
      </w:r>
    </w:p>
    <w:p w14:paraId="74214B7E" w14:textId="77777777" w:rsidR="00096E97" w:rsidRDefault="00096E97" w:rsidP="00096E97">
      <w:pPr>
        <w:pStyle w:val="Heading3"/>
        <w:numPr>
          <w:ilvl w:val="2"/>
          <w:numId w:val="9"/>
        </w:numPr>
        <w:rPr>
          <w:rFonts w:ascii="Times New Roman" w:hAnsi="Times New Roman"/>
          <w:sz w:val="24"/>
          <w:szCs w:val="24"/>
        </w:rPr>
      </w:pPr>
      <w:r>
        <w:rPr>
          <w:rFonts w:ascii="Times New Roman" w:hAnsi="Times New Roman"/>
          <w:sz w:val="24"/>
          <w:szCs w:val="24"/>
        </w:rPr>
        <w:t>UE-side model</w:t>
      </w:r>
    </w:p>
    <w:p w14:paraId="3C5A094D" w14:textId="77777777" w:rsidR="00096E97" w:rsidRDefault="00096E97" w:rsidP="00096E97">
      <w:pPr>
        <w:pStyle w:val="Heading4"/>
        <w:numPr>
          <w:ilvl w:val="3"/>
          <w:numId w:val="9"/>
        </w:numPr>
        <w:tabs>
          <w:tab w:val="num" w:pos="2880"/>
        </w:tabs>
        <w:ind w:left="1224" w:hanging="1224"/>
        <w:rPr>
          <w:rFonts w:ascii="Times New Roman" w:eastAsia="SimSun" w:hAnsi="Times New Roman"/>
          <w:szCs w:val="24"/>
          <w:lang w:val="en-US" w:eastAsia="zh-CN"/>
        </w:rPr>
      </w:pPr>
      <w:r>
        <w:rPr>
          <w:rFonts w:ascii="Times New Roman" w:eastAsia="SimSun" w:hAnsi="Times New Roman"/>
          <w:szCs w:val="24"/>
          <w:lang w:val="en-US" w:eastAsia="zh-CN"/>
        </w:rPr>
        <w:t>Monitoring with a subset of Set A</w:t>
      </w:r>
    </w:p>
    <w:p w14:paraId="6523916F" w14:textId="77777777" w:rsidR="00096E97" w:rsidRDefault="00096E97" w:rsidP="00096E97">
      <w:pPr>
        <w:jc w:val="both"/>
        <w:rPr>
          <w:lang w:eastAsia="zh-CN"/>
        </w:rPr>
      </w:pPr>
      <w:r>
        <w:rPr>
          <w:lang w:eastAsia="zh-CN"/>
        </w:rPr>
        <w:t xml:space="preserve">We would like to emphasize that for Type1 Option2, designing a mechanism for monitoring with a subset of Set A, instead of full Set A, can significantly reduce the RS and measurement overhead and enhance the robustness of performance monitoring. One of the reasons is that this subset of Set A can be configured with higher frequency than the full set of Set A. Therefore, the performance monitoring can be done more frequently. </w:t>
      </w:r>
    </w:p>
    <w:p w14:paraId="208F2D96" w14:textId="26E5325F" w:rsidR="00096E97" w:rsidRPr="00D1364F" w:rsidRDefault="00096E97" w:rsidP="00096E97">
      <w:pPr>
        <w:jc w:val="both"/>
        <w:rPr>
          <w:rFonts w:eastAsia="SimSun" w:hint="eastAsia"/>
          <w:lang w:eastAsia="zh-CN"/>
        </w:rPr>
      </w:pPr>
      <w:r>
        <w:rPr>
          <w:lang w:eastAsia="zh-CN"/>
        </w:rPr>
        <w:t xml:space="preserve">Regarding how to do the mapping between Set A and monitoring resources, using the same NZP-CSI-RS-ResourceId/SSB-Index as Set A RS resources in the monitoring resource Set may be the most straightforward method.  However, since they share the same resource id, the time domain behavior must be the same between the monitoring resource and Set A resource. It may be possible that we ignore the time domain behavior of Set A because it is a virtual resource set. But, if there are multiple monitoring report configurations, each with its own resource set, the same Set A beam that is shared between these monitoring resource set must be the same resource id and thus share the same time and frequency domain behavior. </w:t>
      </w:r>
      <w:r w:rsidR="00D1364F">
        <w:rPr>
          <w:lang w:eastAsia="zh-CN"/>
        </w:rPr>
        <w:t xml:space="preserve">Therefore, to maintain the flexibility that for the same Set A beam, different monitoring resource set can configure different time domain behavior, we support NW to additionally configure a bitmap of a set of </w:t>
      </w:r>
      <w:r w:rsidR="00D1364F" w:rsidRPr="00D1364F">
        <w:rPr>
          <w:lang w:eastAsia="zh-CN"/>
        </w:rPr>
        <w:t>CRI or SSBRI of a resource in Set A</w:t>
      </w:r>
      <w:r w:rsidR="00D1364F" w:rsidRPr="00D1364F">
        <w:t xml:space="preserve"> </w:t>
      </w:r>
      <w:r w:rsidR="00D1364F" w:rsidRPr="00D1364F">
        <w:rPr>
          <w:lang w:eastAsia="zh-CN"/>
        </w:rPr>
        <w:t>CRI or SSBRI of a resource in Set A</w:t>
      </w:r>
      <w:r w:rsidR="00D1364F">
        <w:rPr>
          <w:lang w:eastAsia="zh-CN"/>
        </w:rPr>
        <w:t xml:space="preserve"> in the monitoring report configuration, to indicate the mapping of </w:t>
      </w:r>
      <w:r w:rsidR="00D1364F" w:rsidRPr="00D1364F">
        <w:rPr>
          <w:lang w:eastAsia="zh-CN"/>
        </w:rPr>
        <w:t>RS resources in Set A and monitoring set</w:t>
      </w:r>
      <w:r w:rsidR="00D1364F">
        <w:rPr>
          <w:lang w:eastAsia="zh-CN"/>
        </w:rPr>
        <w:t>.</w:t>
      </w:r>
    </w:p>
    <w:p w14:paraId="2FD49A4D" w14:textId="5A5E0DE9" w:rsidR="00096E97" w:rsidRDefault="00096E97" w:rsidP="00096E97">
      <w:pPr>
        <w:spacing w:after="0"/>
        <w:textAlignment w:val="center"/>
        <w:rPr>
          <w:rFonts w:eastAsiaTheme="minorEastAsia"/>
          <w:b/>
          <w:bCs/>
          <w:i/>
          <w:iCs/>
          <w:lang w:eastAsia="zh-TW"/>
        </w:rPr>
      </w:pPr>
      <w:r>
        <w:rPr>
          <w:b/>
          <w:bCs/>
          <w:i/>
          <w:iCs/>
        </w:rPr>
        <w:t xml:space="preserve">Proposal </w:t>
      </w:r>
      <w:r w:rsidR="0072446B">
        <w:rPr>
          <w:b/>
          <w:bCs/>
          <w:i/>
          <w:iCs/>
        </w:rPr>
        <w:t>10</w:t>
      </w:r>
      <w:r>
        <w:rPr>
          <w:b/>
          <w:bCs/>
          <w:i/>
          <w:iCs/>
        </w:rPr>
        <w:t xml:space="preserve">:  </w:t>
      </w:r>
      <w:r>
        <w:rPr>
          <w:b/>
          <w:bCs/>
          <w:i/>
          <w:iCs/>
          <w:lang w:eastAsia="zh-TW"/>
        </w:rPr>
        <w:t xml:space="preserve">When </w:t>
      </w:r>
      <w:r>
        <w:rPr>
          <w:b/>
          <w:bCs/>
          <w:i/>
          <w:iCs/>
        </w:rPr>
        <w:t>the size of a set for monitoring is smaller than the size of Set A</w:t>
      </w:r>
      <w:r>
        <w:rPr>
          <w:b/>
          <w:bCs/>
          <w:i/>
          <w:iCs/>
          <w:lang w:eastAsia="zh-TW"/>
        </w:rPr>
        <w:t xml:space="preserve">. </w:t>
      </w:r>
      <w:r>
        <w:rPr>
          <w:rFonts w:eastAsia="SimSun"/>
          <w:b/>
          <w:bCs/>
          <w:i/>
          <w:iCs/>
          <w:lang w:eastAsia="zh-CN"/>
        </w:rPr>
        <w:t xml:space="preserve">The mapping between the resources for Set A and resources for monitoring can be configured in RRC. </w:t>
      </w:r>
    </w:p>
    <w:p w14:paraId="0A304867" w14:textId="77777777" w:rsidR="00096E97" w:rsidRDefault="00096E97" w:rsidP="00096E97">
      <w:pPr>
        <w:spacing w:after="0"/>
        <w:textAlignment w:val="center"/>
        <w:rPr>
          <w:rFonts w:eastAsiaTheme="minorEastAsia"/>
          <w:b/>
          <w:bCs/>
          <w:i/>
          <w:iCs/>
          <w:lang w:eastAsia="zh-TW"/>
        </w:rPr>
      </w:pPr>
    </w:p>
    <w:p w14:paraId="79565561" w14:textId="26C90DC1" w:rsidR="00096E97" w:rsidRDefault="00096E97" w:rsidP="00096E97">
      <w:pPr>
        <w:spacing w:after="0"/>
        <w:textAlignment w:val="center"/>
        <w:rPr>
          <w:rFonts w:eastAsia="SimSun"/>
          <w:b/>
          <w:bCs/>
          <w:i/>
          <w:iCs/>
          <w:lang w:eastAsia="zh-CN"/>
        </w:rPr>
      </w:pPr>
      <w:r>
        <w:rPr>
          <w:b/>
          <w:bCs/>
          <w:i/>
          <w:iCs/>
        </w:rPr>
        <w:t xml:space="preserve">Proposal </w:t>
      </w:r>
      <w:r w:rsidR="0072446B">
        <w:rPr>
          <w:b/>
          <w:bCs/>
          <w:i/>
          <w:iCs/>
          <w:lang w:eastAsia="zh-TW"/>
        </w:rPr>
        <w:t>11</w:t>
      </w:r>
      <w:r>
        <w:rPr>
          <w:b/>
          <w:bCs/>
          <w:i/>
          <w:iCs/>
        </w:rPr>
        <w:t xml:space="preserve">:  For option1 type2, </w:t>
      </w:r>
      <w:r>
        <w:rPr>
          <w:rFonts w:eastAsia="SimSun"/>
          <w:b/>
          <w:bCs/>
          <w:i/>
          <w:iCs/>
          <w:lang w:eastAsia="zh-CN"/>
        </w:rPr>
        <w:t>to map RS resources in Set A and monitoring set, NW configures an additional bitmap or a set of ID (CRI or SSBRI of a resource in Set A) in the monitoring report configuration.</w:t>
      </w:r>
    </w:p>
    <w:p w14:paraId="001672C3" w14:textId="77777777" w:rsidR="00096E97" w:rsidRDefault="00096E97" w:rsidP="00096E97">
      <w:pPr>
        <w:jc w:val="both"/>
        <w:rPr>
          <w:b/>
          <w:bCs/>
          <w:u w:val="single"/>
          <w:lang w:eastAsia="zh-TW"/>
        </w:rPr>
      </w:pPr>
    </w:p>
    <w:p w14:paraId="783D5484" w14:textId="77777777" w:rsidR="00096E97" w:rsidRDefault="00096E97" w:rsidP="00096E97">
      <w:pPr>
        <w:jc w:val="both"/>
        <w:rPr>
          <w:b/>
          <w:bCs/>
          <w:u w:val="single"/>
          <w:lang w:eastAsia="zh-CN"/>
        </w:rPr>
      </w:pPr>
      <w:r>
        <w:rPr>
          <w:b/>
          <w:bCs/>
          <w:u w:val="single"/>
          <w:lang w:eastAsia="zh-TW"/>
        </w:rPr>
        <w:t>P</w:t>
      </w:r>
      <w:r>
        <w:rPr>
          <w:b/>
          <w:bCs/>
          <w:u w:val="single"/>
          <w:lang w:eastAsia="zh-CN"/>
        </w:rPr>
        <w:t>erformance metric(s)</w:t>
      </w:r>
    </w:p>
    <w:p w14:paraId="63E03633" w14:textId="701D535F" w:rsidR="00096E97" w:rsidRDefault="00096E97" w:rsidP="00096E97">
      <w:pPr>
        <w:spacing w:after="0"/>
        <w:jc w:val="both"/>
        <w:textAlignment w:val="center"/>
        <w:rPr>
          <w:rFonts w:ascii="Calibri" w:hAnsi="Calibri"/>
          <w:szCs w:val="22"/>
          <w:lang w:eastAsia="ko-KR"/>
        </w:rPr>
      </w:pPr>
      <w:r>
        <w:rPr>
          <w:lang w:val="en-GB"/>
        </w:rPr>
        <w:t xml:space="preserve">In RAN1#120b, it is agreed that the performance metric of Top 1 or Top K beam prediction accuracy is defined as comparing the Top M beam(s) of the resource set(s) for monitoring and the Top-K predicted beam(s) of Set A. </w:t>
      </w:r>
      <w:r>
        <w:t xml:space="preserve">This definition may underestimate the model performance and relies heavily on how the NW choose the monitoring set. Assuming model can 100% predict the best beams, if the ground-truth Top-K beams are not even within the monitoring set, then the Top M from the monitoring set will never overlap with Top-K predicted beams. As below </w:t>
      </w:r>
      <w:r>
        <w:fldChar w:fldCharType="begin"/>
      </w:r>
      <w:r>
        <w:instrText xml:space="preserve"> REF _Ref194009264 \h  \* MERGEFORMAT </w:instrText>
      </w:r>
      <w:r>
        <w:fldChar w:fldCharType="separate"/>
      </w:r>
      <w:r w:rsidR="00F43834" w:rsidRPr="00F43834">
        <w:rPr>
          <w:iCs/>
          <w:lang w:eastAsia="zh-CN"/>
        </w:rPr>
        <w:t xml:space="preserve">Figure </w:t>
      </w:r>
      <w:r w:rsidR="00F43834" w:rsidRPr="00F43834">
        <w:rPr>
          <w:iCs/>
          <w:noProof/>
          <w:lang w:eastAsia="zh-CN"/>
        </w:rPr>
        <w:t>2</w:t>
      </w:r>
      <w:r>
        <w:fldChar w:fldCharType="end"/>
      </w:r>
      <w:r>
        <w:t xml:space="preserve"> (a) shows, the ground-truth best beam in Set A is beam 6 and beam 7, even though the model can predict it correctly, BAI is always 0 since the monitoring set does not cover beam 6 and beam 7. To make a meaningful comparison between the Top-M monitored beams and Top-K predicted beams, the Top-K predicted beams should be selected from the monitoring set, as </w:t>
      </w:r>
      <w:r>
        <w:fldChar w:fldCharType="begin"/>
      </w:r>
      <w:r>
        <w:instrText xml:space="preserve"> REF _Ref194009264 \h  \* MERGEFORMAT </w:instrText>
      </w:r>
      <w:r>
        <w:fldChar w:fldCharType="separate"/>
      </w:r>
      <w:r w:rsidR="00F43834" w:rsidRPr="00F43834">
        <w:rPr>
          <w:iCs/>
          <w:lang w:eastAsia="zh-CN"/>
        </w:rPr>
        <w:t xml:space="preserve">Figure </w:t>
      </w:r>
      <w:r w:rsidR="00F43834" w:rsidRPr="00F43834">
        <w:rPr>
          <w:iCs/>
          <w:noProof/>
          <w:lang w:eastAsia="zh-CN"/>
        </w:rPr>
        <w:t>2</w:t>
      </w:r>
      <w:r>
        <w:fldChar w:fldCharType="end"/>
      </w:r>
      <w:r>
        <w:t xml:space="preserve"> (b) shows.</w:t>
      </w:r>
    </w:p>
    <w:p w14:paraId="2B8C3FE2" w14:textId="77777777" w:rsidR="00096E97" w:rsidRDefault="00096E97" w:rsidP="00096E97">
      <w:pPr>
        <w:tabs>
          <w:tab w:val="left" w:pos="360"/>
        </w:tabs>
        <w:snapToGrid w:val="0"/>
        <w:spacing w:after="0"/>
        <w:rPr>
          <w:sz w:val="18"/>
          <w:lang w:eastAsia="zh-TW"/>
        </w:rPr>
      </w:pPr>
    </w:p>
    <w:p w14:paraId="3E7B9685" w14:textId="77777777" w:rsidR="00096E97" w:rsidRDefault="00096E97" w:rsidP="00096E97">
      <w:pPr>
        <w:tabs>
          <w:tab w:val="left" w:pos="360"/>
        </w:tabs>
        <w:snapToGrid w:val="0"/>
        <w:spacing w:after="0"/>
        <w:rPr>
          <w:sz w:val="18"/>
          <w:lang w:eastAsia="zh-TW"/>
        </w:rPr>
      </w:pPr>
    </w:p>
    <w:p w14:paraId="264A48DB" w14:textId="020E076B" w:rsidR="00096E97" w:rsidRDefault="00096E97" w:rsidP="00096E97">
      <w:pPr>
        <w:tabs>
          <w:tab w:val="left" w:pos="360"/>
        </w:tabs>
        <w:snapToGrid w:val="0"/>
        <w:spacing w:after="0"/>
        <w:rPr>
          <w:sz w:val="18"/>
          <w:lang w:eastAsia="zh-TW"/>
        </w:rPr>
      </w:pPr>
      <w:r>
        <w:rPr>
          <w:noProof/>
          <w:sz w:val="18"/>
          <w:lang w:eastAsia="zh-TW"/>
        </w:rPr>
        <w:drawing>
          <wp:inline distT="0" distB="0" distL="0" distR="0" wp14:anchorId="36B09D2E" wp14:editId="0907553C">
            <wp:extent cx="3448050" cy="1403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8050" cy="1403350"/>
                    </a:xfrm>
                    <a:prstGeom prst="rect">
                      <a:avLst/>
                    </a:prstGeom>
                    <a:noFill/>
                    <a:ln>
                      <a:noFill/>
                    </a:ln>
                  </pic:spPr>
                </pic:pic>
              </a:graphicData>
            </a:graphic>
          </wp:inline>
        </w:drawing>
      </w:r>
      <w:r>
        <w:rPr>
          <w:noProof/>
          <w:sz w:val="18"/>
          <w:lang w:eastAsia="zh-TW"/>
        </w:rPr>
        <w:drawing>
          <wp:inline distT="0" distB="0" distL="0" distR="0" wp14:anchorId="308AB5CB" wp14:editId="75CC8B4A">
            <wp:extent cx="2603500" cy="1352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3500" cy="1352550"/>
                    </a:xfrm>
                    <a:prstGeom prst="rect">
                      <a:avLst/>
                    </a:prstGeom>
                    <a:noFill/>
                    <a:ln>
                      <a:noFill/>
                    </a:ln>
                  </pic:spPr>
                </pic:pic>
              </a:graphicData>
            </a:graphic>
          </wp:inline>
        </w:drawing>
      </w:r>
    </w:p>
    <w:p w14:paraId="0AD9B98D" w14:textId="69DA4CA9" w:rsidR="00096E97" w:rsidRDefault="00096E97" w:rsidP="00096E97">
      <w:pPr>
        <w:jc w:val="center"/>
        <w:rPr>
          <w:b/>
          <w:lang w:eastAsia="zh-TW"/>
        </w:rPr>
      </w:pPr>
      <w:bookmarkStart w:id="5" w:name="_Ref194009264"/>
      <w:bookmarkStart w:id="6" w:name="_Ref194009258"/>
      <w:r>
        <w:rPr>
          <w:b/>
          <w:iCs/>
          <w:lang w:eastAsia="zh-CN"/>
        </w:rPr>
        <w:t xml:space="preserve">Figure </w:t>
      </w:r>
      <w:r>
        <w:fldChar w:fldCharType="begin"/>
      </w:r>
      <w:r>
        <w:rPr>
          <w:b/>
          <w:iCs/>
          <w:lang w:eastAsia="zh-CN"/>
        </w:rPr>
        <w:instrText xml:space="preserve"> SEQ Figure \* ARABIC </w:instrText>
      </w:r>
      <w:r>
        <w:fldChar w:fldCharType="separate"/>
      </w:r>
      <w:r w:rsidR="00F43834">
        <w:rPr>
          <w:b/>
          <w:iCs/>
          <w:noProof/>
          <w:lang w:eastAsia="zh-CN"/>
        </w:rPr>
        <w:t>2</w:t>
      </w:r>
      <w:r>
        <w:fldChar w:fldCharType="end"/>
      </w:r>
      <w:bookmarkEnd w:id="5"/>
      <w:r>
        <w:rPr>
          <w:b/>
          <w:iCs/>
          <w:lang w:eastAsia="zh-CN"/>
        </w:rPr>
        <w:t xml:space="preserve">: (a) the issue for the current definition of </w:t>
      </w:r>
      <m:oMath>
        <m:sSub>
          <m:sSubPr>
            <m:ctrlPr>
              <w:rPr>
                <w:rFonts w:ascii="Cambria Math" w:eastAsia="MS PGothic" w:hAnsi="Cambria Math" w:cs="Calibri"/>
                <w:b/>
                <w:sz w:val="24"/>
                <w:szCs w:val="22"/>
                <w:lang w:eastAsia="ko-KR"/>
              </w:rPr>
            </m:ctrlPr>
          </m:sSubPr>
          <m:e>
            <m:r>
              <m:rPr>
                <m:sty m:val="b"/>
              </m:rPr>
              <w:rPr>
                <w:rFonts w:ascii="Cambria Math" w:hAnsi="Cambria Math"/>
                <w:szCs w:val="22"/>
              </w:rPr>
              <m:t> </m:t>
            </m:r>
            <m:r>
              <m:rPr>
                <m:sty m:val="bi"/>
              </m:rPr>
              <w:rPr>
                <w:rFonts w:ascii="Cambria Math" w:hAnsi="Cambria Math"/>
                <w:szCs w:val="22"/>
              </w:rPr>
              <m:t>N</m:t>
            </m:r>
          </m:e>
          <m:sub>
            <m:r>
              <m:rPr>
                <m:sty m:val="bi"/>
              </m:rPr>
              <w:rPr>
                <w:rFonts w:ascii="Cambria Math" w:hAnsi="Cambria Math"/>
                <w:szCs w:val="22"/>
              </w:rPr>
              <m:t>p</m:t>
            </m:r>
          </m:sub>
        </m:sSub>
      </m:oMath>
      <w:r>
        <w:rPr>
          <w:rFonts w:eastAsiaTheme="minorEastAsia"/>
          <w:b/>
          <w:szCs w:val="22"/>
          <w:lang w:eastAsia="zh-CN"/>
        </w:rPr>
        <w:t xml:space="preserve"> , where the model performance may be underestimated. (b) the proposed methods to address the issue, where Top-K predicted beam for monitoring comparison purpose is selected only</w:t>
      </w:r>
      <w:r>
        <w:rPr>
          <w:b/>
          <w:iCs/>
          <w:lang w:eastAsia="zh-CN"/>
        </w:rPr>
        <w:t xml:space="preserve"> among the monitoring set</w:t>
      </w:r>
      <w:bookmarkEnd w:id="6"/>
    </w:p>
    <w:p w14:paraId="5DB00E58" w14:textId="55D8A1FA" w:rsidR="00096E97" w:rsidRDefault="00096E97" w:rsidP="00096E97">
      <w:pPr>
        <w:spacing w:after="120"/>
        <w:jc w:val="both"/>
        <w:rPr>
          <w:b/>
          <w:bCs/>
          <w:i/>
          <w:iCs/>
        </w:rPr>
      </w:pPr>
      <w:r>
        <w:rPr>
          <w:b/>
          <w:bCs/>
          <w:i/>
          <w:iCs/>
        </w:rPr>
        <w:lastRenderedPageBreak/>
        <w:t xml:space="preserve">Proposal </w:t>
      </w:r>
      <w:r w:rsidR="0072446B">
        <w:rPr>
          <w:b/>
          <w:bCs/>
          <w:i/>
          <w:iCs/>
        </w:rPr>
        <w:t>12</w:t>
      </w:r>
      <w:r>
        <w:rPr>
          <w:b/>
          <w:bCs/>
          <w:i/>
          <w:iCs/>
        </w:rPr>
        <w:t>: For option1 type2, the performance metric of Top 1 or Top K beam prediction accuracy, Top-K predicted beam(s) should also be selected from the resource set(s) for monitoring, by filtering out the beams not included in the monitoring resource sets. K is the number of predicted beam(s) in the corresponding inference report.</w:t>
      </w:r>
    </w:p>
    <w:p w14:paraId="284F6C48" w14:textId="77777777" w:rsidR="008A2FCE" w:rsidRDefault="008A2FCE" w:rsidP="008A2FCE">
      <w:pPr>
        <w:spacing w:after="0"/>
        <w:jc w:val="both"/>
        <w:rPr>
          <w:b/>
          <w:bCs/>
          <w:i/>
          <w:iCs/>
        </w:rPr>
      </w:pPr>
    </w:p>
    <w:p w14:paraId="42DCFCCA" w14:textId="77777777" w:rsidR="00096E97" w:rsidRDefault="00096E97" w:rsidP="008A2FCE">
      <w:pPr>
        <w:spacing w:after="0"/>
        <w:jc w:val="both"/>
        <w:rPr>
          <w:b/>
          <w:bCs/>
          <w:i/>
          <w:iCs/>
        </w:rPr>
      </w:pPr>
    </w:p>
    <w:p w14:paraId="55FE4E2D" w14:textId="3D4B023D" w:rsidR="00833AF0" w:rsidRDefault="00833AF0">
      <w:pPr>
        <w:pStyle w:val="Heading2"/>
        <w:numPr>
          <w:ilvl w:val="1"/>
          <w:numId w:val="9"/>
        </w:numPr>
        <w:rPr>
          <w:rFonts w:ascii="Times New Roman" w:hAnsi="Times New Roman"/>
          <w:sz w:val="28"/>
          <w:szCs w:val="28"/>
        </w:rPr>
      </w:pPr>
      <w:r w:rsidRPr="00833AF0">
        <w:rPr>
          <w:rFonts w:ascii="Times New Roman" w:hAnsi="Times New Roman"/>
          <w:sz w:val="28"/>
          <w:szCs w:val="28"/>
        </w:rPr>
        <w:t>Consistency for additional condition for UE-sided model</w:t>
      </w:r>
      <w:bookmarkEnd w:id="3"/>
    </w:p>
    <w:p w14:paraId="351F5E09" w14:textId="5E25FD23" w:rsidR="00833AF0" w:rsidRDefault="005A7250" w:rsidP="00833AF0">
      <w:pPr>
        <w:rPr>
          <w:lang w:val="en-GB"/>
        </w:rPr>
      </w:pPr>
      <w:r>
        <w:rPr>
          <w:bCs/>
          <w:iCs/>
          <w:lang w:eastAsia="zh-CN"/>
        </w:rPr>
        <w:t>Currently</w:t>
      </w:r>
      <w:r w:rsidR="00833AF0">
        <w:rPr>
          <w:lang w:val="en-GB"/>
        </w:rPr>
        <w:t>, we have the following agreement on how to ensure the consistency of NW-side additional condition between the training and inference phases:</w:t>
      </w:r>
    </w:p>
    <w:tbl>
      <w:tblPr>
        <w:tblStyle w:val="TableGrid"/>
        <w:tblW w:w="0" w:type="auto"/>
        <w:tblLook w:val="04A0" w:firstRow="1" w:lastRow="0" w:firstColumn="1" w:lastColumn="0" w:noHBand="0" w:noVBand="1"/>
      </w:tblPr>
      <w:tblGrid>
        <w:gridCol w:w="9631"/>
      </w:tblGrid>
      <w:tr w:rsidR="00833AF0" w14:paraId="6CB50577" w14:textId="77777777" w:rsidTr="00833AF0">
        <w:tc>
          <w:tcPr>
            <w:tcW w:w="9631" w:type="dxa"/>
          </w:tcPr>
          <w:p w14:paraId="73D7D2B3" w14:textId="77777777" w:rsidR="00032832" w:rsidRDefault="00032832" w:rsidP="00C2430E">
            <w:pPr>
              <w:spacing w:after="0"/>
              <w:rPr>
                <w:rFonts w:eastAsia="DengXian"/>
                <w:sz w:val="20"/>
                <w:highlight w:val="green"/>
                <w:lang w:eastAsia="zh-CN"/>
              </w:rPr>
            </w:pPr>
            <w:r>
              <w:rPr>
                <w:rFonts w:eastAsia="DengXian"/>
                <w:highlight w:val="green"/>
                <w:lang w:eastAsia="zh-CN"/>
              </w:rPr>
              <w:t>Agreement</w:t>
            </w:r>
          </w:p>
          <w:p w14:paraId="39BB222D" w14:textId="77777777" w:rsidR="00032832" w:rsidRDefault="00032832" w:rsidP="00C2430E">
            <w:pPr>
              <w:spacing w:after="0"/>
              <w:rPr>
                <w:rFonts w:eastAsia="DengXian"/>
                <w:lang w:eastAsia="zh-CN"/>
              </w:rPr>
            </w:pPr>
            <w:r>
              <w:rPr>
                <w:rFonts w:eastAsia="Times New Roman"/>
              </w:rPr>
              <w:t>For UE sided model in beam management, support</w:t>
            </w:r>
            <w:r>
              <w:rPr>
                <w:rFonts w:eastAsia="Times New Roman"/>
                <w:color w:val="FF0000"/>
              </w:rPr>
              <w:t xml:space="preserve"> </w:t>
            </w:r>
            <w:r>
              <w:rPr>
                <w:rFonts w:eastAsia="Times New Roman"/>
              </w:rPr>
              <w:t>associated ID</w:t>
            </w:r>
          </w:p>
          <w:p w14:paraId="5B1AE9A5" w14:textId="77777777" w:rsidR="00032832" w:rsidRDefault="00032832" w:rsidP="00C2430E">
            <w:pPr>
              <w:numPr>
                <w:ilvl w:val="0"/>
                <w:numId w:val="30"/>
              </w:numPr>
              <w:tabs>
                <w:tab w:val="left" w:pos="360"/>
                <w:tab w:val="left" w:pos="709"/>
              </w:tabs>
              <w:spacing w:after="0"/>
              <w:rPr>
                <w:rFonts w:eastAsia="Times New Roman"/>
                <w:highlight w:val="darkYellow"/>
              </w:rPr>
            </w:pPr>
            <w:r>
              <w:rPr>
                <w:rFonts w:eastAsia="DengXian"/>
                <w:highlight w:val="darkYellow"/>
                <w:lang w:eastAsia="zh-CN"/>
              </w:rPr>
              <w:t>[Working Assumption]</w:t>
            </w:r>
          </w:p>
          <w:p w14:paraId="32823BDB" w14:textId="77777777" w:rsidR="00032832" w:rsidRDefault="00032832" w:rsidP="005A7250">
            <w:pPr>
              <w:numPr>
                <w:ilvl w:val="1"/>
                <w:numId w:val="30"/>
              </w:numPr>
              <w:tabs>
                <w:tab w:val="left" w:pos="360"/>
                <w:tab w:val="left" w:pos="709"/>
              </w:tabs>
              <w:spacing w:after="0"/>
              <w:rPr>
                <w:rFonts w:eastAsia="Times New Roman"/>
                <w:highlight w:val="darkYellow"/>
              </w:rPr>
            </w:pPr>
            <w:r>
              <w:rPr>
                <w:rFonts w:eastAsia="Times New Roman"/>
                <w:highlight w:val="darkYellow"/>
              </w:rPr>
              <w:t>The associated ID</w:t>
            </w:r>
            <w:r>
              <w:rPr>
                <w:rFonts w:eastAsia="DengXian"/>
                <w:highlight w:val="darkYellow"/>
                <w:lang w:eastAsia="zh-CN"/>
              </w:rPr>
              <w:t xml:space="preserve"> </w:t>
            </w:r>
            <w:r>
              <w:rPr>
                <w:rFonts w:eastAsia="Times New Roman"/>
                <w:highlight w:val="darkYellow"/>
              </w:rPr>
              <w:t>at least can be configured</w:t>
            </w:r>
            <w:r>
              <w:rPr>
                <w:rFonts w:eastAsia="DengXian"/>
                <w:highlight w:val="darkYellow"/>
                <w:lang w:eastAsia="zh-CN"/>
              </w:rPr>
              <w:t xml:space="preserve"> </w:t>
            </w:r>
            <w:r>
              <w:rPr>
                <w:rFonts w:eastAsia="Times New Roman"/>
                <w:highlight w:val="darkYellow"/>
              </w:rPr>
              <w:t xml:space="preserve">within CSI framework </w:t>
            </w:r>
          </w:p>
          <w:p w14:paraId="493EFD07" w14:textId="77777777" w:rsidR="00032832" w:rsidRDefault="00032832" w:rsidP="005A7250">
            <w:pPr>
              <w:pStyle w:val="ListParagraph"/>
              <w:numPr>
                <w:ilvl w:val="2"/>
                <w:numId w:val="30"/>
              </w:numPr>
              <w:tabs>
                <w:tab w:val="left" w:pos="360"/>
                <w:tab w:val="left" w:pos="1080"/>
              </w:tabs>
              <w:spacing w:after="0"/>
              <w:rPr>
                <w:rFonts w:eastAsia="Times New Roman"/>
                <w:highlight w:val="darkYellow"/>
              </w:rPr>
            </w:pPr>
            <w:r>
              <w:rPr>
                <w:highlight w:val="darkYellow"/>
              </w:rPr>
              <w:t>FFS on details</w:t>
            </w:r>
          </w:p>
          <w:p w14:paraId="107DBF6D" w14:textId="77777777" w:rsidR="00032832" w:rsidRDefault="00032832" w:rsidP="005A7250">
            <w:pPr>
              <w:pStyle w:val="ListParagraph"/>
              <w:numPr>
                <w:ilvl w:val="2"/>
                <w:numId w:val="30"/>
              </w:numPr>
              <w:tabs>
                <w:tab w:val="left" w:pos="360"/>
                <w:tab w:val="left" w:pos="1080"/>
              </w:tabs>
              <w:spacing w:after="0"/>
              <w:rPr>
                <w:rFonts w:eastAsia="Times New Roman"/>
                <w:highlight w:val="darkYellow"/>
              </w:rPr>
            </w:pPr>
            <w:r>
              <w:rPr>
                <w:highlight w:val="darkYellow"/>
              </w:rPr>
              <w:t>FFS on whether/how to configure/indicate the associated ID via other signal(s) and/or in other procedure(s)/framework(s)</w:t>
            </w:r>
          </w:p>
          <w:p w14:paraId="43256FD2" w14:textId="77777777" w:rsidR="00032832" w:rsidRDefault="00032832" w:rsidP="005A7250">
            <w:pPr>
              <w:numPr>
                <w:ilvl w:val="0"/>
                <w:numId w:val="30"/>
              </w:numPr>
              <w:tabs>
                <w:tab w:val="left" w:pos="360"/>
              </w:tabs>
              <w:spacing w:after="0"/>
              <w:ind w:left="709"/>
              <w:rPr>
                <w:rFonts w:eastAsia="Times New Roman"/>
                <w:lang w:eastAsia="zh-CN"/>
              </w:rPr>
            </w:pPr>
            <w:r>
              <w:rPr>
                <w:rFonts w:eastAsia="Times New Roman"/>
                <w:lang w:eastAsia="zh-CN"/>
              </w:rPr>
              <w:t xml:space="preserve">UE may assume the </w:t>
            </w:r>
            <w:r>
              <w:rPr>
                <w:rFonts w:eastAsia="DengXian"/>
                <w:lang w:eastAsia="zh-CN"/>
              </w:rPr>
              <w:t xml:space="preserve">similar </w:t>
            </w:r>
            <w:r>
              <w:rPr>
                <w:rFonts w:eastAsia="Times New Roman"/>
                <w:lang w:eastAsia="zh-CN"/>
              </w:rPr>
              <w:t>properties of a DL Tx beam or beam set/list associated with the same associated ID</w:t>
            </w:r>
          </w:p>
          <w:p w14:paraId="00CA5F6F" w14:textId="77777777" w:rsidR="00833AF0" w:rsidRPr="005A7250" w:rsidRDefault="00032832" w:rsidP="005A7250">
            <w:pPr>
              <w:pStyle w:val="ListParagraph"/>
              <w:numPr>
                <w:ilvl w:val="1"/>
                <w:numId w:val="30"/>
              </w:numPr>
              <w:spacing w:after="0"/>
              <w:rPr>
                <w:lang w:val="en-GB"/>
              </w:rPr>
            </w:pPr>
            <w:r>
              <w:t xml:space="preserve">FFS: whether/how to define </w:t>
            </w:r>
            <w:r w:rsidRPr="00032832">
              <w:rPr>
                <w:i/>
                <w:iCs/>
              </w:rPr>
              <w:t>similar properties</w:t>
            </w:r>
            <w:r>
              <w:t xml:space="preserve"> of a DL Tx beam or beam set/list</w:t>
            </w:r>
            <w:r w:rsidR="00833AF0">
              <w:t>.</w:t>
            </w:r>
          </w:p>
          <w:p w14:paraId="69CBE368" w14:textId="77777777" w:rsidR="005A7250" w:rsidRDefault="005A7250" w:rsidP="005A7250">
            <w:pPr>
              <w:spacing w:after="0"/>
              <w:rPr>
                <w:lang w:val="en-GB"/>
              </w:rPr>
            </w:pPr>
          </w:p>
          <w:p w14:paraId="0BBEC923" w14:textId="77777777" w:rsidR="005A7250" w:rsidRDefault="005A7250" w:rsidP="005A7250">
            <w:pPr>
              <w:pStyle w:val="NormalWeb"/>
              <w:tabs>
                <w:tab w:val="left" w:pos="720"/>
                <w:tab w:val="left" w:pos="1440"/>
              </w:tabs>
              <w:spacing w:before="0" w:beforeAutospacing="0" w:after="0" w:afterAutospacing="0"/>
              <w:rPr>
                <w:sz w:val="20"/>
                <w:szCs w:val="20"/>
                <w:highlight w:val="green"/>
              </w:rPr>
            </w:pPr>
            <w:r>
              <w:rPr>
                <w:sz w:val="20"/>
                <w:szCs w:val="20"/>
                <w:highlight w:val="green"/>
              </w:rPr>
              <w:t>Agreement</w:t>
            </w:r>
          </w:p>
          <w:p w14:paraId="31370641" w14:textId="77777777" w:rsidR="005A7250" w:rsidRDefault="005A7250" w:rsidP="005A7250">
            <w:pPr>
              <w:spacing w:after="0"/>
              <w:rPr>
                <w:sz w:val="20"/>
              </w:rPr>
            </w:pPr>
            <w:r>
              <w:t>For UE-sided model, for configuring the resource for data collection purpose, support</w:t>
            </w:r>
          </w:p>
          <w:p w14:paraId="26F7AA7B" w14:textId="77777777" w:rsidR="005A7250" w:rsidRDefault="005A7250" w:rsidP="005A7250">
            <w:pPr>
              <w:pStyle w:val="ListParagraph"/>
              <w:numPr>
                <w:ilvl w:val="0"/>
                <w:numId w:val="86"/>
              </w:numPr>
              <w:spacing w:after="0"/>
            </w:pPr>
            <w:r>
              <w:rPr>
                <w:i/>
                <w:iCs/>
              </w:rPr>
              <w:t>CSI-ReportConfig</w:t>
            </w:r>
            <w:r>
              <w:t xml:space="preserve"> can used for configuring the resources for data collection purpose without CSI report.  </w:t>
            </w:r>
          </w:p>
          <w:p w14:paraId="0653F360" w14:textId="77777777" w:rsidR="005A7250" w:rsidRDefault="005A7250" w:rsidP="005A7250">
            <w:pPr>
              <w:pStyle w:val="ListParagraph"/>
              <w:numPr>
                <w:ilvl w:val="1"/>
                <w:numId w:val="86"/>
              </w:numPr>
              <w:spacing w:after="0"/>
            </w:pPr>
            <w:r>
              <w:t xml:space="preserve">One </w:t>
            </w:r>
            <w:r>
              <w:rPr>
                <w:i/>
                <w:iCs/>
              </w:rPr>
              <w:t xml:space="preserve">CSI-ResourceConfigId </w:t>
            </w:r>
            <w:r>
              <w:t>is configured for Set A.</w:t>
            </w:r>
          </w:p>
          <w:p w14:paraId="5DAC5050" w14:textId="77777777" w:rsidR="005A7250" w:rsidRDefault="005A7250" w:rsidP="005A7250">
            <w:pPr>
              <w:pStyle w:val="ListParagraph"/>
              <w:numPr>
                <w:ilvl w:val="1"/>
                <w:numId w:val="86"/>
              </w:numPr>
              <w:spacing w:after="0"/>
            </w:pPr>
            <w:r>
              <w:t xml:space="preserve">One </w:t>
            </w:r>
            <w:r>
              <w:rPr>
                <w:i/>
                <w:iCs/>
              </w:rPr>
              <w:t xml:space="preserve">CSI-ResourceConfigId </w:t>
            </w:r>
            <w:r>
              <w:t>is configured for Set B.</w:t>
            </w:r>
          </w:p>
          <w:p w14:paraId="3691EDDF" w14:textId="77777777" w:rsidR="005A7250" w:rsidRDefault="005A7250" w:rsidP="005A7250">
            <w:pPr>
              <w:pStyle w:val="ListParagraph"/>
              <w:numPr>
                <w:ilvl w:val="1"/>
                <w:numId w:val="86"/>
              </w:numPr>
              <w:spacing w:after="0"/>
            </w:pPr>
            <w:r>
              <w:t>Note: UE performs measurement on all resources</w:t>
            </w:r>
          </w:p>
          <w:p w14:paraId="175F5191" w14:textId="77777777" w:rsidR="005A7250" w:rsidRDefault="005A7250" w:rsidP="005A7250">
            <w:pPr>
              <w:pStyle w:val="NormalWeb"/>
              <w:numPr>
                <w:ilvl w:val="1"/>
                <w:numId w:val="86"/>
              </w:numPr>
              <w:spacing w:before="0" w:beforeAutospacing="0" w:after="0" w:afterAutospacing="0" w:line="276" w:lineRule="auto"/>
              <w:rPr>
                <w:sz w:val="20"/>
                <w:szCs w:val="20"/>
              </w:rPr>
            </w:pPr>
            <w:r>
              <w:rPr>
                <w:sz w:val="20"/>
                <w:szCs w:val="20"/>
              </w:rPr>
              <w:t xml:space="preserve">One or two associated IDs can be configured in </w:t>
            </w:r>
            <w:r>
              <w:rPr>
                <w:i/>
                <w:iCs/>
                <w:sz w:val="20"/>
                <w:szCs w:val="20"/>
              </w:rPr>
              <w:t>CSI-ReportConfig</w:t>
            </w:r>
          </w:p>
          <w:p w14:paraId="3EC8DB14" w14:textId="77777777" w:rsidR="005A7250" w:rsidRDefault="005A7250" w:rsidP="005A7250">
            <w:pPr>
              <w:numPr>
                <w:ilvl w:val="2"/>
                <w:numId w:val="86"/>
              </w:numPr>
              <w:tabs>
                <w:tab w:val="left" w:pos="720"/>
                <w:tab w:val="left" w:pos="2160"/>
              </w:tabs>
              <w:spacing w:after="0"/>
              <w:textAlignment w:val="center"/>
              <w:rPr>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3A8958F8" w14:textId="77777777" w:rsidR="005A7250" w:rsidRDefault="005A7250" w:rsidP="005A7250">
            <w:pPr>
              <w:numPr>
                <w:ilvl w:val="2"/>
                <w:numId w:val="86"/>
              </w:numPr>
              <w:tabs>
                <w:tab w:val="left" w:pos="720"/>
                <w:tab w:val="left" w:pos="2160"/>
              </w:tabs>
              <w:spacing w:after="0"/>
              <w:textAlignment w:val="center"/>
              <w:rPr>
                <w:sz w:val="20"/>
              </w:rPr>
            </w:pPr>
            <w:r>
              <w:t>Otherwise, one associated ID is configured for Set A and another one associated ID is configured for Set B</w:t>
            </w:r>
          </w:p>
          <w:p w14:paraId="4226FF9B" w14:textId="77777777" w:rsidR="005A7250" w:rsidRDefault="005A7250" w:rsidP="005A7250">
            <w:pPr>
              <w:pStyle w:val="Default"/>
              <w:numPr>
                <w:ilvl w:val="0"/>
                <w:numId w:val="86"/>
              </w:numPr>
              <w:spacing w:after="0"/>
              <w:ind w:left="2104"/>
              <w:rPr>
                <w:rFonts w:ascii="Times New Roman" w:hAnsi="Times New Roman" w:cs="Times New Roman"/>
                <w:sz w:val="20"/>
                <w:szCs w:val="20"/>
              </w:rPr>
            </w:pPr>
            <w:r>
              <w:rPr>
                <w:rFonts w:ascii="Times New Roman" w:eastAsia="Malgun Gothic" w:hAnsi="Times New Roman" w:cs="Times New Roman"/>
                <w:color w:val="auto"/>
                <w:sz w:val="20"/>
                <w:szCs w:val="20"/>
              </w:rPr>
              <w:t>FFS: whether/how to support</w:t>
            </w:r>
            <w:r>
              <w:rPr>
                <w:rFonts w:ascii="Times New Roman" w:hAnsi="Times New Roman" w:cs="Times New Roman"/>
                <w:sz w:val="20"/>
                <w:szCs w:val="20"/>
              </w:rPr>
              <w:t xml:space="preserve"> 'aperiodic' CSI RS</w:t>
            </w:r>
          </w:p>
          <w:p w14:paraId="6D28AB28" w14:textId="77777777" w:rsidR="005A7250" w:rsidRDefault="005A7250" w:rsidP="005A7250">
            <w:pPr>
              <w:spacing w:after="0"/>
              <w:rPr>
                <w:sz w:val="20"/>
              </w:rPr>
            </w:pPr>
            <w:r>
              <w:t xml:space="preserve">Note: This is not related to whether/how to support delivery/transmission of the collected data for training for UE-sided model. </w:t>
            </w:r>
          </w:p>
          <w:p w14:paraId="4C3B132B" w14:textId="77777777" w:rsidR="005A7250" w:rsidRDefault="005A7250" w:rsidP="005A7250">
            <w:pPr>
              <w:pStyle w:val="NormalWeb"/>
              <w:tabs>
                <w:tab w:val="left" w:pos="720"/>
                <w:tab w:val="left" w:pos="1440"/>
              </w:tabs>
              <w:spacing w:before="0" w:beforeAutospacing="0" w:after="0" w:afterAutospacing="0"/>
              <w:rPr>
                <w:sz w:val="20"/>
                <w:szCs w:val="20"/>
                <w:lang w:val="en-GB"/>
              </w:rPr>
            </w:pPr>
          </w:p>
          <w:p w14:paraId="115B395B" w14:textId="77777777" w:rsidR="005A7250" w:rsidRDefault="005A7250" w:rsidP="005A7250">
            <w:pPr>
              <w:pStyle w:val="NormalWeb"/>
              <w:tabs>
                <w:tab w:val="left" w:pos="720"/>
                <w:tab w:val="left" w:pos="1440"/>
              </w:tabs>
              <w:spacing w:before="0" w:beforeAutospacing="0" w:after="0" w:afterAutospacing="0"/>
              <w:rPr>
                <w:sz w:val="20"/>
                <w:szCs w:val="20"/>
                <w:highlight w:val="green"/>
                <w:lang w:val="en-GB"/>
              </w:rPr>
            </w:pPr>
            <w:r>
              <w:rPr>
                <w:sz w:val="20"/>
                <w:szCs w:val="20"/>
                <w:highlight w:val="green"/>
                <w:lang w:val="en-GB"/>
              </w:rPr>
              <w:t>Agreement</w:t>
            </w:r>
          </w:p>
          <w:p w14:paraId="73B41EA3" w14:textId="77777777" w:rsidR="005A7250" w:rsidRDefault="005A7250" w:rsidP="005A7250">
            <w:pPr>
              <w:pStyle w:val="NormalWeb"/>
              <w:spacing w:before="0" w:beforeAutospacing="0" w:after="0" w:afterAutospacing="0"/>
              <w:rPr>
                <w:sz w:val="20"/>
                <w:szCs w:val="20"/>
              </w:rPr>
            </w:pPr>
            <w:r>
              <w:rPr>
                <w:sz w:val="20"/>
                <w:szCs w:val="20"/>
              </w:rPr>
              <w:t xml:space="preserve">For UE-sided model, in </w:t>
            </w:r>
            <w:r>
              <w:rPr>
                <w:i/>
                <w:iCs/>
                <w:sz w:val="20"/>
                <w:szCs w:val="20"/>
              </w:rPr>
              <w:t>CSI-ReportConfig</w:t>
            </w:r>
            <w:r>
              <w:rPr>
                <w:sz w:val="20"/>
                <w:szCs w:val="20"/>
              </w:rPr>
              <w:t xml:space="preserve"> for inference</w:t>
            </w:r>
          </w:p>
          <w:p w14:paraId="60085776" w14:textId="77777777" w:rsidR="005A7250" w:rsidRDefault="005A7250" w:rsidP="005A7250">
            <w:pPr>
              <w:pStyle w:val="NormalWeb"/>
              <w:numPr>
                <w:ilvl w:val="0"/>
                <w:numId w:val="86"/>
              </w:numPr>
              <w:spacing w:before="0" w:beforeAutospacing="0" w:after="0" w:afterAutospacing="0" w:line="276" w:lineRule="auto"/>
              <w:rPr>
                <w:sz w:val="20"/>
                <w:szCs w:val="20"/>
              </w:rPr>
            </w:pPr>
            <w:r>
              <w:rPr>
                <w:sz w:val="20"/>
                <w:szCs w:val="20"/>
              </w:rPr>
              <w:t xml:space="preserve">One or two associated IDs can be configured in </w:t>
            </w:r>
            <w:r>
              <w:rPr>
                <w:i/>
                <w:iCs/>
                <w:sz w:val="20"/>
                <w:szCs w:val="20"/>
              </w:rPr>
              <w:t>CSI-ReportConfig</w:t>
            </w:r>
          </w:p>
          <w:p w14:paraId="3B103AA3" w14:textId="77777777" w:rsidR="005A7250" w:rsidRDefault="005A7250" w:rsidP="005A7250">
            <w:pPr>
              <w:numPr>
                <w:ilvl w:val="1"/>
                <w:numId w:val="86"/>
              </w:numPr>
              <w:tabs>
                <w:tab w:val="left" w:pos="720"/>
                <w:tab w:val="left" w:pos="2160"/>
              </w:tabs>
              <w:spacing w:after="0"/>
              <w:textAlignment w:val="center"/>
              <w:rPr>
                <w:szCs w:val="22"/>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78A640D9" w14:textId="77777777" w:rsidR="005A7250" w:rsidRDefault="005A7250" w:rsidP="005A7250">
            <w:pPr>
              <w:numPr>
                <w:ilvl w:val="1"/>
                <w:numId w:val="86"/>
              </w:numPr>
              <w:tabs>
                <w:tab w:val="left" w:pos="720"/>
                <w:tab w:val="left" w:pos="2160"/>
              </w:tabs>
              <w:spacing w:after="0"/>
              <w:textAlignment w:val="center"/>
              <w:rPr>
                <w:sz w:val="20"/>
              </w:rPr>
            </w:pPr>
            <w:r>
              <w:t>Otherwise, one associated ID is configured for Set A and another one associated ID is configured for Set B</w:t>
            </w:r>
          </w:p>
          <w:p w14:paraId="1D12C988" w14:textId="77777777" w:rsidR="005A7250" w:rsidRDefault="005A7250" w:rsidP="005A7250">
            <w:pPr>
              <w:pStyle w:val="ListParagraph"/>
              <w:numPr>
                <w:ilvl w:val="0"/>
                <w:numId w:val="86"/>
              </w:numPr>
              <w:spacing w:after="0"/>
            </w:pPr>
            <w:r>
              <w:t>FFS: At least BM-Case 1, the applicability for 'aperiodic' CSI RS</w:t>
            </w:r>
          </w:p>
          <w:p w14:paraId="37E1CE53" w14:textId="0E3FA01C" w:rsidR="005A7250" w:rsidRPr="005A7250" w:rsidRDefault="005A7250" w:rsidP="005A7250">
            <w:pPr>
              <w:spacing w:after="0"/>
            </w:pPr>
          </w:p>
        </w:tc>
      </w:tr>
    </w:tbl>
    <w:p w14:paraId="6451B5E7" w14:textId="7FFA1695" w:rsidR="00887AEA" w:rsidRDefault="00887AEA" w:rsidP="00887AEA">
      <w:pPr>
        <w:pStyle w:val="Heading3"/>
        <w:numPr>
          <w:ilvl w:val="2"/>
          <w:numId w:val="9"/>
        </w:numPr>
        <w:rPr>
          <w:rFonts w:ascii="Times New Roman" w:hAnsi="Times New Roman"/>
          <w:sz w:val="24"/>
          <w:szCs w:val="24"/>
        </w:rPr>
      </w:pPr>
      <w:bookmarkStart w:id="7" w:name="_Ref181914763"/>
      <w:r>
        <w:rPr>
          <w:rFonts w:ascii="Times New Roman" w:hAnsi="Times New Roman"/>
          <w:sz w:val="24"/>
          <w:szCs w:val="24"/>
        </w:rPr>
        <w:t xml:space="preserve">How </w:t>
      </w:r>
      <w:r w:rsidR="003D60F4">
        <w:rPr>
          <w:rFonts w:ascii="Times New Roman" w:hAnsi="Times New Roman"/>
          <w:sz w:val="24"/>
          <w:szCs w:val="24"/>
        </w:rPr>
        <w:t>to use</w:t>
      </w:r>
      <w:r>
        <w:rPr>
          <w:rFonts w:ascii="Times New Roman" w:hAnsi="Times New Roman"/>
          <w:sz w:val="24"/>
          <w:szCs w:val="24"/>
        </w:rPr>
        <w:t xml:space="preserve"> associated ID</w:t>
      </w:r>
      <w:r w:rsidR="003D60F4">
        <w:rPr>
          <w:rFonts w:ascii="Times New Roman" w:hAnsi="Times New Roman"/>
          <w:sz w:val="24"/>
          <w:szCs w:val="24"/>
        </w:rPr>
        <w:t xml:space="preserve"> to ensure consistency?</w:t>
      </w:r>
      <w:bookmarkEnd w:id="7"/>
    </w:p>
    <w:p w14:paraId="2839EC87" w14:textId="099F6344" w:rsidR="00887AEA" w:rsidRDefault="003D60F4" w:rsidP="006109B6">
      <w:pPr>
        <w:jc w:val="both"/>
        <w:rPr>
          <w:lang w:val="en-GB"/>
        </w:rPr>
      </w:pPr>
      <w:r>
        <w:rPr>
          <w:lang w:val="en-GB"/>
        </w:rPr>
        <w:t xml:space="preserve">In our view, </w:t>
      </w:r>
      <w:r w:rsidR="00B610EB">
        <w:rPr>
          <w:lang w:val="en-GB"/>
        </w:rPr>
        <w:t>the associated ID is used to represent the properties that will impact the performance of AI/ML-based beam management, which are not observable/configurable through the air interface. Therefore, UE should not expect that there is an one-to-one mapping between the associated ID and inference configurations (e.g., Set A and Set B-related information).</w:t>
      </w:r>
      <w:r w:rsidR="0052144A">
        <w:rPr>
          <w:lang w:val="en-GB"/>
        </w:rPr>
        <w:t xml:space="preserve"> Note that</w:t>
      </w:r>
      <w:r w:rsidR="00B610EB">
        <w:rPr>
          <w:lang w:val="en-GB"/>
        </w:rPr>
        <w:t>, t</w:t>
      </w:r>
      <w:r>
        <w:rPr>
          <w:lang w:val="en-GB"/>
        </w:rPr>
        <w:t xml:space="preserve">he training and inference consistency can be secured </w:t>
      </w:r>
      <w:r>
        <w:rPr>
          <w:lang w:val="en-GB"/>
        </w:rPr>
        <w:lastRenderedPageBreak/>
        <w:t xml:space="preserve">even under the condition that the same associated ID is used in different inference configurations.  </w:t>
      </w:r>
      <w:r w:rsidR="006109B6" w:rsidRPr="006109B6">
        <w:rPr>
          <w:lang w:val="en-GB"/>
        </w:rPr>
        <w:fldChar w:fldCharType="begin"/>
      </w:r>
      <w:r w:rsidR="006109B6" w:rsidRPr="006109B6">
        <w:rPr>
          <w:lang w:val="en-GB"/>
        </w:rPr>
        <w:instrText xml:space="preserve"> REF _Ref181908856 \h  \* MERGEFORMAT </w:instrText>
      </w:r>
      <w:r w:rsidR="006109B6" w:rsidRPr="006109B6">
        <w:rPr>
          <w:lang w:val="en-GB"/>
        </w:rPr>
      </w:r>
      <w:r w:rsidR="006109B6" w:rsidRPr="006109B6">
        <w:rPr>
          <w:lang w:val="en-GB"/>
        </w:rPr>
        <w:fldChar w:fldCharType="separate"/>
      </w:r>
      <w:r w:rsidR="00F43834" w:rsidRPr="00F43834">
        <w:rPr>
          <w:iCs/>
          <w:lang w:eastAsia="zh-CN"/>
        </w:rPr>
        <w:t xml:space="preserve">Figure </w:t>
      </w:r>
      <w:r w:rsidR="00F43834" w:rsidRPr="00F43834">
        <w:rPr>
          <w:iCs/>
          <w:noProof/>
          <w:lang w:eastAsia="zh-CN"/>
        </w:rPr>
        <w:t>3</w:t>
      </w:r>
      <w:r w:rsidR="006109B6" w:rsidRPr="006109B6">
        <w:rPr>
          <w:lang w:val="en-GB"/>
        </w:rPr>
        <w:fldChar w:fldCharType="end"/>
      </w:r>
      <w:r w:rsidR="006109B6" w:rsidRPr="006109B6">
        <w:rPr>
          <w:lang w:val="en-GB"/>
        </w:rPr>
        <w:t xml:space="preserve"> </w:t>
      </w:r>
      <w:r w:rsidR="006109B6">
        <w:rPr>
          <w:lang w:val="en-GB"/>
        </w:rPr>
        <w:t>illustrates an example that during training and data collection phase, when NW keeps the same beam property, NW signals the same associated ID for different data collection configurations, each configuration contains the Set A and Set B-related information. Assuming at UE side, UE trains different models for different combinations of data collection configurations and associated ID. Then, during the inference phase, UE can tell from the configuration of associated ID and inference report configuration, which contains the Set A and Set B-related information, to identify the corresponding model. Note that in this example, only one associated ID is used</w:t>
      </w:r>
      <w:r w:rsidR="00B5678E">
        <w:rPr>
          <w:lang w:val="en-GB"/>
        </w:rPr>
        <w:t xml:space="preserve"> </w:t>
      </w:r>
      <w:r w:rsidR="00B610EB">
        <w:rPr>
          <w:lang w:val="en-GB"/>
        </w:rPr>
        <w:t xml:space="preserve">across multiple Set A and Set B configurations </w:t>
      </w:r>
      <w:r w:rsidR="00B5678E">
        <w:rPr>
          <w:lang w:val="en-GB"/>
        </w:rPr>
        <w:t xml:space="preserve">and UE tells which model to use by referring to the inference report configuration. </w:t>
      </w:r>
    </w:p>
    <w:p w14:paraId="03FDF999" w14:textId="23D2550E" w:rsidR="006109B6" w:rsidRDefault="00EA0AAB" w:rsidP="006109B6">
      <w:pPr>
        <w:jc w:val="center"/>
        <w:rPr>
          <w:lang w:val="en-GB"/>
        </w:rPr>
      </w:pPr>
      <w:r>
        <w:rPr>
          <w:noProof/>
          <w:lang w:val="en-GB"/>
        </w:rPr>
        <w:drawing>
          <wp:inline distT="0" distB="0" distL="0" distR="0" wp14:anchorId="36E3C6BE" wp14:editId="717BFAF5">
            <wp:extent cx="5245100" cy="224115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81354" cy="2256641"/>
                    </a:xfrm>
                    <a:prstGeom prst="rect">
                      <a:avLst/>
                    </a:prstGeom>
                    <a:noFill/>
                  </pic:spPr>
                </pic:pic>
              </a:graphicData>
            </a:graphic>
          </wp:inline>
        </w:drawing>
      </w:r>
    </w:p>
    <w:p w14:paraId="337572BF" w14:textId="1F051CA3" w:rsidR="006109B6" w:rsidRDefault="006109B6" w:rsidP="006109B6">
      <w:pPr>
        <w:jc w:val="center"/>
        <w:rPr>
          <w:lang w:eastAsia="zh-TW"/>
        </w:rPr>
      </w:pPr>
      <w:bookmarkStart w:id="8" w:name="_Ref181908856"/>
      <w:r>
        <w:rPr>
          <w:b/>
          <w:iCs/>
          <w:lang w:eastAsia="zh-CN"/>
        </w:rPr>
        <w:t xml:space="preserve">Figure </w:t>
      </w:r>
      <w:r>
        <w:fldChar w:fldCharType="begin"/>
      </w:r>
      <w:r>
        <w:rPr>
          <w:b/>
          <w:iCs/>
          <w:lang w:eastAsia="zh-CN"/>
        </w:rPr>
        <w:instrText xml:space="preserve"> SEQ Figure \* ARABIC </w:instrText>
      </w:r>
      <w:r>
        <w:fldChar w:fldCharType="separate"/>
      </w:r>
      <w:r w:rsidR="00F43834">
        <w:rPr>
          <w:b/>
          <w:iCs/>
          <w:noProof/>
          <w:lang w:eastAsia="zh-CN"/>
        </w:rPr>
        <w:t>3</w:t>
      </w:r>
      <w:r>
        <w:fldChar w:fldCharType="end"/>
      </w:r>
      <w:bookmarkEnd w:id="8"/>
      <w:r>
        <w:rPr>
          <w:b/>
          <w:iCs/>
          <w:lang w:eastAsia="zh-CN"/>
        </w:rPr>
        <w:t>: Examples on how associated ID can be used to ensure training and inference consistency with different report configurations.</w:t>
      </w:r>
    </w:p>
    <w:p w14:paraId="46604B65" w14:textId="72CAD992" w:rsidR="006109B6" w:rsidRPr="006109B6" w:rsidRDefault="000F24BE" w:rsidP="000F24BE">
      <w:r>
        <w:rPr>
          <w:b/>
          <w:bCs/>
          <w:i/>
          <w:iCs/>
        </w:rPr>
        <w:t>Proposal 1</w:t>
      </w:r>
      <w:r w:rsidR="0072446B">
        <w:rPr>
          <w:b/>
          <w:bCs/>
          <w:i/>
          <w:iCs/>
        </w:rPr>
        <w:t>3</w:t>
      </w:r>
      <w:r>
        <w:rPr>
          <w:b/>
          <w:bCs/>
          <w:i/>
          <w:iCs/>
        </w:rPr>
        <w:t xml:space="preserve">: </w:t>
      </w:r>
      <w:r w:rsidR="00EC21A2">
        <w:rPr>
          <w:b/>
          <w:bCs/>
          <w:i/>
          <w:iCs/>
        </w:rPr>
        <w:t xml:space="preserve">RAN1 does not consider a one-to-one mapping between the </w:t>
      </w:r>
      <w:r w:rsidR="00EC21A2" w:rsidRPr="00EC21A2">
        <w:rPr>
          <w:b/>
          <w:bCs/>
          <w:i/>
          <w:iCs/>
        </w:rPr>
        <w:t>associated ID and inference configurations</w:t>
      </w:r>
      <w:r w:rsidR="00EC21A2">
        <w:rPr>
          <w:b/>
          <w:bCs/>
          <w:i/>
          <w:iCs/>
        </w:rPr>
        <w:t>.</w:t>
      </w:r>
    </w:p>
    <w:p w14:paraId="03E25F7F" w14:textId="77777777" w:rsidR="004E68AF" w:rsidRPr="004E68AF" w:rsidRDefault="004E68AF" w:rsidP="004E68AF">
      <w:pPr>
        <w:spacing w:after="0"/>
        <w:rPr>
          <w:b/>
          <w:bCs/>
          <w:i/>
          <w:iCs/>
        </w:rPr>
      </w:pPr>
    </w:p>
    <w:p w14:paraId="2E2D3CB1" w14:textId="102B0D15" w:rsidR="00150DB2" w:rsidRDefault="00150DB2">
      <w:pPr>
        <w:pStyle w:val="Heading3"/>
        <w:numPr>
          <w:ilvl w:val="2"/>
          <w:numId w:val="9"/>
        </w:numPr>
        <w:rPr>
          <w:rFonts w:ascii="Times New Roman" w:hAnsi="Times New Roman"/>
          <w:sz w:val="24"/>
          <w:szCs w:val="24"/>
        </w:rPr>
      </w:pPr>
      <w:r>
        <w:rPr>
          <w:rFonts w:ascii="Times New Roman" w:hAnsi="Times New Roman"/>
          <w:sz w:val="24"/>
          <w:szCs w:val="24"/>
        </w:rPr>
        <w:t>Global associated ID or per cell associated ID</w:t>
      </w:r>
    </w:p>
    <w:p w14:paraId="6E687B08" w14:textId="77777777" w:rsidR="006D3C89" w:rsidRDefault="008274AE" w:rsidP="00195289">
      <w:pPr>
        <w:jc w:val="both"/>
        <w:rPr>
          <w:lang w:val="en-GB"/>
        </w:rPr>
      </w:pPr>
      <w:r>
        <w:rPr>
          <w:lang w:val="en-GB"/>
        </w:rPr>
        <w:t xml:space="preserve">There are multiple issues when considering the applicable level of associated IDs. </w:t>
      </w:r>
    </w:p>
    <w:p w14:paraId="0C0B4198" w14:textId="4DA68C0F" w:rsidR="006D3C89" w:rsidRPr="006D3C89" w:rsidRDefault="008274AE">
      <w:pPr>
        <w:pStyle w:val="ListParagraph"/>
        <w:numPr>
          <w:ilvl w:val="0"/>
          <w:numId w:val="36"/>
        </w:numPr>
        <w:jc w:val="both"/>
        <w:rPr>
          <w:lang w:val="en-GB"/>
        </w:rPr>
      </w:pPr>
      <w:r w:rsidRPr="006D3C89">
        <w:rPr>
          <w:lang w:val="en-GB"/>
        </w:rPr>
        <w:t xml:space="preserve">First, if multiple NW venders </w:t>
      </w:r>
      <w:r w:rsidR="00C664F9">
        <w:rPr>
          <w:lang w:val="en-GB"/>
        </w:rPr>
        <w:t>can use</w:t>
      </w:r>
      <w:r w:rsidRPr="006D3C89">
        <w:rPr>
          <w:lang w:val="en-GB"/>
        </w:rPr>
        <w:t xml:space="preserve"> the same set of associated IDs, it may confus</w:t>
      </w:r>
      <w:r w:rsidR="00913713">
        <w:rPr>
          <w:lang w:val="en-GB"/>
        </w:rPr>
        <w:t>e</w:t>
      </w:r>
      <w:r w:rsidRPr="006D3C89">
        <w:rPr>
          <w:lang w:val="en-GB"/>
        </w:rPr>
        <w:t xml:space="preserve"> UE when it enters a new cell. </w:t>
      </w:r>
      <w:r w:rsidR="006D3C89" w:rsidRPr="006D3C89">
        <w:rPr>
          <w:lang w:val="en-GB"/>
        </w:rPr>
        <w:t xml:space="preserve">For example, if associated ID is cell-specific, UE cannot assume cell 1’s associated ID 1 has the same configuration as cell2’s associated ID 2. </w:t>
      </w:r>
      <w:r w:rsidR="00C664F9">
        <w:rPr>
          <w:lang w:val="en-GB"/>
        </w:rPr>
        <w:t>E</w:t>
      </w:r>
      <w:r w:rsidR="006D3C89" w:rsidRPr="006D3C89">
        <w:rPr>
          <w:lang w:val="en-GB"/>
        </w:rPr>
        <w:t xml:space="preserve">ven though UE can </w:t>
      </w:r>
      <w:r w:rsidR="00C664F9">
        <w:rPr>
          <w:lang w:val="en-GB"/>
        </w:rPr>
        <w:t>distinguish the NW configuration</w:t>
      </w:r>
      <w:r w:rsidR="00D50545">
        <w:rPr>
          <w:lang w:val="en-GB"/>
        </w:rPr>
        <w:t>s</w:t>
      </w:r>
      <w:r w:rsidR="00C664F9">
        <w:rPr>
          <w:lang w:val="en-GB"/>
        </w:rPr>
        <w:t xml:space="preserve"> by the combination of </w:t>
      </w:r>
      <w:r w:rsidR="006D3C89" w:rsidRPr="006D3C89">
        <w:rPr>
          <w:lang w:val="en-GB"/>
        </w:rPr>
        <w:t>cell</w:t>
      </w:r>
      <w:r w:rsidR="006D3C89">
        <w:rPr>
          <w:lang w:val="en-GB"/>
        </w:rPr>
        <w:t xml:space="preserve"> ID</w:t>
      </w:r>
      <w:r w:rsidR="00C664F9">
        <w:rPr>
          <w:lang w:val="en-GB"/>
        </w:rPr>
        <w:t xml:space="preserve"> and </w:t>
      </w:r>
      <w:r w:rsidR="00913713" w:rsidRPr="006D3C89">
        <w:rPr>
          <w:lang w:val="en-GB"/>
        </w:rPr>
        <w:t>associated</w:t>
      </w:r>
      <w:r w:rsidR="006D3C89" w:rsidRPr="006D3C89">
        <w:rPr>
          <w:lang w:val="en-GB"/>
        </w:rPr>
        <w:t xml:space="preserve"> ID,</w:t>
      </w:r>
      <w:r w:rsidR="00C664F9">
        <w:rPr>
          <w:lang w:val="en-GB"/>
        </w:rPr>
        <w:t xml:space="preserve"> UE cannot guarantee that the cell ID will not change over time</w:t>
      </w:r>
      <w:r w:rsidR="006D3C89">
        <w:rPr>
          <w:lang w:val="en-GB"/>
        </w:rPr>
        <w:t>.</w:t>
      </w:r>
      <w:r w:rsidR="006D3C89" w:rsidRPr="006D3C89">
        <w:rPr>
          <w:lang w:val="en-GB"/>
        </w:rPr>
        <w:t xml:space="preserve"> </w:t>
      </w:r>
    </w:p>
    <w:p w14:paraId="6A1402F5" w14:textId="3BD966A5" w:rsidR="006D3C89" w:rsidRDefault="00D50545">
      <w:pPr>
        <w:pStyle w:val="ListParagraph"/>
        <w:numPr>
          <w:ilvl w:val="0"/>
          <w:numId w:val="36"/>
        </w:numPr>
        <w:jc w:val="both"/>
        <w:rPr>
          <w:lang w:val="en-GB"/>
        </w:rPr>
      </w:pPr>
      <w:r>
        <w:rPr>
          <w:lang w:val="en-GB"/>
        </w:rPr>
        <w:t>Second</w:t>
      </w:r>
      <w:r w:rsidR="008274AE" w:rsidRPr="006D3C89">
        <w:rPr>
          <w:lang w:val="en-GB"/>
        </w:rPr>
        <w:t xml:space="preserve">, even within </w:t>
      </w:r>
      <w:r w:rsidR="00150DB2" w:rsidRPr="006D3C89">
        <w:rPr>
          <w:lang w:val="en-GB"/>
        </w:rPr>
        <w:t>one</w:t>
      </w:r>
      <w:r w:rsidR="008274AE" w:rsidRPr="006D3C89">
        <w:rPr>
          <w:lang w:val="en-GB"/>
        </w:rPr>
        <w:t xml:space="preserve"> cell,</w:t>
      </w:r>
      <w:r w:rsidR="00150DB2" w:rsidRPr="006D3C89">
        <w:rPr>
          <w:lang w:val="en-GB"/>
        </w:rPr>
        <w:t xml:space="preserve"> there may be multiple sets of NW-side beam related configurations. </w:t>
      </w:r>
      <w:r w:rsidR="008274AE" w:rsidRPr="006D3C89">
        <w:rPr>
          <w:lang w:val="en-GB"/>
        </w:rPr>
        <w:t>W</w:t>
      </w:r>
      <w:r w:rsidR="00150DB2" w:rsidRPr="006D3C89">
        <w:rPr>
          <w:lang w:val="en-GB"/>
        </w:rPr>
        <w:t>ith the time goes, there might be new NW-side beam related configurations, or a new environment change which makes a trained AI/ML model not feasible to use anymore. Eventually, the number of global associated IDs will keep growing</w:t>
      </w:r>
      <w:r w:rsidR="008274AE" w:rsidRPr="006D3C89">
        <w:rPr>
          <w:lang w:val="en-GB"/>
        </w:rPr>
        <w:t xml:space="preserve">. </w:t>
      </w:r>
    </w:p>
    <w:p w14:paraId="7F51356C" w14:textId="40B728B4" w:rsidR="00195289" w:rsidRPr="006D3C89" w:rsidRDefault="008274AE" w:rsidP="00C664F9">
      <w:pPr>
        <w:jc w:val="both"/>
        <w:rPr>
          <w:lang w:val="en-GB"/>
        </w:rPr>
      </w:pPr>
      <w:r w:rsidRPr="006D3C89">
        <w:rPr>
          <w:lang w:val="en-GB"/>
        </w:rPr>
        <w:t>Therefore, we think there can be two parts defined for the associated ID. The first part is a global associated ID defined at the PLMN level. Each NW vendor will be assigned a</w:t>
      </w:r>
      <w:r w:rsidR="00E938D0">
        <w:rPr>
          <w:lang w:val="en-GB"/>
        </w:rPr>
        <w:t>n exclusive</w:t>
      </w:r>
      <w:r w:rsidRPr="006D3C89">
        <w:rPr>
          <w:lang w:val="en-GB"/>
        </w:rPr>
        <w:t xml:space="preserve"> set of the global associated IDs by the PLMN operator. When UE receives the same global associated IDs</w:t>
      </w:r>
      <w:r w:rsidR="00B54E46" w:rsidRPr="006D3C89">
        <w:rPr>
          <w:lang w:val="en-GB"/>
        </w:rPr>
        <w:t xml:space="preserve"> from different cells</w:t>
      </w:r>
      <w:r w:rsidRPr="006D3C89">
        <w:rPr>
          <w:lang w:val="en-GB"/>
        </w:rPr>
        <w:t xml:space="preserve">, UE </w:t>
      </w:r>
      <w:r w:rsidR="004B08C4" w:rsidRPr="006D3C89">
        <w:rPr>
          <w:lang w:val="en-GB"/>
        </w:rPr>
        <w:t xml:space="preserve">can </w:t>
      </w:r>
      <w:r w:rsidRPr="006D3C89">
        <w:rPr>
          <w:lang w:val="en-GB"/>
        </w:rPr>
        <w:t xml:space="preserve">assume </w:t>
      </w:r>
      <w:r w:rsidR="004B08C4" w:rsidRPr="006D3C89">
        <w:rPr>
          <w:lang w:val="en-GB"/>
        </w:rPr>
        <w:t xml:space="preserve">the NW-side beam-related properties is the same since only one NW-vendor can use this associated ID. On the other hand, </w:t>
      </w:r>
      <w:r w:rsidR="00B54E46" w:rsidRPr="006D3C89">
        <w:rPr>
          <w:lang w:val="en-GB"/>
        </w:rPr>
        <w:t>the second part of the associated ID is cell or gNB-</w:t>
      </w:r>
      <w:r w:rsidR="00E938D0">
        <w:rPr>
          <w:lang w:val="en-GB"/>
        </w:rPr>
        <w:t>determined</w:t>
      </w:r>
      <w:r w:rsidR="00B54E46" w:rsidRPr="006D3C89">
        <w:rPr>
          <w:lang w:val="en-GB"/>
        </w:rPr>
        <w:t xml:space="preserve">. </w:t>
      </w:r>
      <w:r w:rsidR="00E938D0">
        <w:rPr>
          <w:lang w:val="en-GB"/>
        </w:rPr>
        <w:t>The second part can be used in two different ways, e</w:t>
      </w:r>
      <w:r w:rsidR="00B54E46" w:rsidRPr="006D3C89">
        <w:rPr>
          <w:lang w:val="en-GB"/>
        </w:rPr>
        <w:t>ven though the first part of the associated ID is the same, NW can use the second part to indicate the minor difference of NW-side additional condition between cells. For example, if an UE uses one ID to collect a dataset from this cell and trains its model. After a long time, when the UE re-enters this cell, NW may</w:t>
      </w:r>
      <w:r w:rsidR="00E938D0">
        <w:rPr>
          <w:lang w:val="en-GB"/>
        </w:rPr>
        <w:t xml:space="preserve"> some minor environment changes</w:t>
      </w:r>
      <w:r w:rsidR="00B54E46" w:rsidRPr="006D3C89">
        <w:rPr>
          <w:lang w:val="en-GB"/>
        </w:rPr>
        <w:t>. Then, the</w:t>
      </w:r>
      <w:r w:rsidR="00790FD0" w:rsidRPr="006D3C89">
        <w:rPr>
          <w:lang w:val="en-GB"/>
        </w:rPr>
        <w:t xml:space="preserve"> cell/gNB-specifc</w:t>
      </w:r>
      <w:r w:rsidR="00B54E46" w:rsidRPr="006D3C89">
        <w:rPr>
          <w:lang w:val="en-GB"/>
        </w:rPr>
        <w:t xml:space="preserve"> second part</w:t>
      </w:r>
      <w:r w:rsidR="00790FD0" w:rsidRPr="006D3C89">
        <w:rPr>
          <w:lang w:val="en-GB"/>
        </w:rPr>
        <w:t xml:space="preserve"> of the associated ID can be used to indicate UE such differences</w:t>
      </w:r>
      <w:r w:rsidR="00E938D0">
        <w:rPr>
          <w:lang w:val="en-GB"/>
        </w:rPr>
        <w:t xml:space="preserve"> and to trigger potential model retrain/fine-tuning</w:t>
      </w:r>
      <w:r w:rsidR="00790FD0" w:rsidRPr="006D3C89">
        <w:rPr>
          <w:lang w:val="en-GB"/>
        </w:rPr>
        <w:t>.</w:t>
      </w:r>
      <w:r w:rsidR="00E938D0">
        <w:rPr>
          <w:lang w:val="en-GB"/>
        </w:rPr>
        <w:t xml:space="preserve"> On the other hand, the second part can also be used by NW to indicate the same NW-side additional condition across PLMNs.</w:t>
      </w:r>
      <w:r w:rsidR="00B54E46" w:rsidRPr="006D3C89">
        <w:rPr>
          <w:lang w:val="en-GB"/>
        </w:rPr>
        <w:t xml:space="preserve"> </w:t>
      </w:r>
      <w:r w:rsidR="00E938D0">
        <w:rPr>
          <w:lang w:val="en-GB"/>
        </w:rPr>
        <w:t xml:space="preserve">In </w:t>
      </w:r>
      <w:r w:rsidR="00E938D0">
        <w:rPr>
          <w:lang w:val="en-GB"/>
        </w:rPr>
        <w:lastRenderedPageBreak/>
        <w:t>this way, the data collection effort can be reduced since the data collected under the same NW vendor, but at different PLMNs, can be shared together.</w:t>
      </w:r>
    </w:p>
    <w:p w14:paraId="33A5405B" w14:textId="7F82F815" w:rsidR="008E07BA" w:rsidRDefault="008E07BA" w:rsidP="007B477D">
      <w:pPr>
        <w:spacing w:after="0"/>
        <w:jc w:val="both"/>
        <w:rPr>
          <w:b/>
          <w:bCs/>
          <w:i/>
          <w:iCs/>
        </w:rPr>
      </w:pPr>
      <w:r>
        <w:rPr>
          <w:b/>
          <w:bCs/>
          <w:i/>
          <w:iCs/>
        </w:rPr>
        <w:t>Proposal</w:t>
      </w:r>
      <w:r w:rsidR="007B477D">
        <w:rPr>
          <w:b/>
          <w:bCs/>
          <w:i/>
          <w:iCs/>
        </w:rPr>
        <w:t xml:space="preserve"> </w:t>
      </w:r>
      <w:r w:rsidR="0072446B">
        <w:rPr>
          <w:b/>
          <w:bCs/>
          <w:i/>
          <w:iCs/>
        </w:rPr>
        <w:t>14</w:t>
      </w:r>
      <w:r>
        <w:rPr>
          <w:b/>
          <w:bCs/>
          <w:i/>
          <w:iCs/>
        </w:rPr>
        <w:t>: RAN1 makes a working assumption that each NW vendor has it</w:t>
      </w:r>
      <w:r w:rsidR="0012222E">
        <w:rPr>
          <w:b/>
          <w:bCs/>
          <w:i/>
          <w:iCs/>
        </w:rPr>
        <w:t>s</w:t>
      </w:r>
      <w:r>
        <w:rPr>
          <w:b/>
          <w:bCs/>
          <w:i/>
          <w:iCs/>
        </w:rPr>
        <w:t xml:space="preserve"> own exclusive set of associated IDs</w:t>
      </w:r>
      <w:r w:rsidR="00913713">
        <w:rPr>
          <w:b/>
          <w:bCs/>
          <w:i/>
          <w:iCs/>
        </w:rPr>
        <w:t>, which can be managed by PLMN</w:t>
      </w:r>
      <w:r>
        <w:rPr>
          <w:b/>
          <w:bCs/>
          <w:i/>
          <w:iCs/>
        </w:rPr>
        <w:t xml:space="preserve">. </w:t>
      </w:r>
    </w:p>
    <w:p w14:paraId="60B504DA" w14:textId="77777777" w:rsidR="008E07BA" w:rsidRDefault="008E07BA" w:rsidP="007B477D">
      <w:pPr>
        <w:spacing w:after="0"/>
        <w:jc w:val="both"/>
        <w:rPr>
          <w:b/>
          <w:bCs/>
          <w:i/>
          <w:iCs/>
        </w:rPr>
      </w:pPr>
    </w:p>
    <w:p w14:paraId="145DF6E9" w14:textId="17A137A5" w:rsidR="00195289" w:rsidRDefault="00195289" w:rsidP="007B477D">
      <w:pPr>
        <w:spacing w:after="0"/>
        <w:jc w:val="both"/>
        <w:rPr>
          <w:b/>
          <w:bCs/>
          <w:i/>
          <w:iCs/>
        </w:rPr>
      </w:pPr>
      <w:r>
        <w:rPr>
          <w:b/>
          <w:bCs/>
          <w:i/>
          <w:iCs/>
        </w:rPr>
        <w:t>Proposal</w:t>
      </w:r>
      <w:r w:rsidR="007B477D">
        <w:rPr>
          <w:b/>
          <w:bCs/>
          <w:i/>
          <w:iCs/>
        </w:rPr>
        <w:t xml:space="preserve"> </w:t>
      </w:r>
      <w:r w:rsidR="0072446B">
        <w:rPr>
          <w:b/>
          <w:bCs/>
          <w:i/>
          <w:iCs/>
        </w:rPr>
        <w:t>15</w:t>
      </w:r>
      <w:r>
        <w:rPr>
          <w:b/>
          <w:bCs/>
          <w:i/>
          <w:iCs/>
        </w:rPr>
        <w:t xml:space="preserve">: </w:t>
      </w:r>
      <w:r w:rsidR="008274AE">
        <w:rPr>
          <w:b/>
          <w:bCs/>
          <w:i/>
          <w:iCs/>
        </w:rPr>
        <w:t xml:space="preserve">For </w:t>
      </w:r>
      <w:r>
        <w:rPr>
          <w:b/>
          <w:bCs/>
          <w:i/>
          <w:iCs/>
        </w:rPr>
        <w:t>associated ID,</w:t>
      </w:r>
      <w:r w:rsidR="008274AE">
        <w:rPr>
          <w:b/>
          <w:bCs/>
          <w:i/>
          <w:iCs/>
        </w:rPr>
        <w:t xml:space="preserve"> considering </w:t>
      </w:r>
    </w:p>
    <w:p w14:paraId="0DD95A91" w14:textId="6A1D8680" w:rsidR="00016093" w:rsidRDefault="008274AE">
      <w:pPr>
        <w:pStyle w:val="ListParagraph"/>
        <w:numPr>
          <w:ilvl w:val="0"/>
          <w:numId w:val="27"/>
        </w:numPr>
        <w:spacing w:after="0"/>
        <w:jc w:val="both"/>
        <w:rPr>
          <w:b/>
          <w:bCs/>
          <w:i/>
          <w:iCs/>
        </w:rPr>
      </w:pPr>
      <w:r>
        <w:rPr>
          <w:b/>
          <w:bCs/>
          <w:i/>
          <w:iCs/>
        </w:rPr>
        <w:t>First part is a PLMN-specific</w:t>
      </w:r>
      <w:r w:rsidR="00034D03">
        <w:rPr>
          <w:b/>
          <w:bCs/>
          <w:i/>
          <w:iCs/>
        </w:rPr>
        <w:t xml:space="preserve"> ID, different NW vendors may not use the same ID</w:t>
      </w:r>
      <w:r w:rsidR="001C2C24">
        <w:rPr>
          <w:b/>
          <w:bCs/>
          <w:i/>
          <w:iCs/>
        </w:rPr>
        <w:t xml:space="preserve"> under one PLMN</w:t>
      </w:r>
    </w:p>
    <w:p w14:paraId="76E5139E" w14:textId="7987B7AD" w:rsidR="00150DB2" w:rsidRPr="00016093" w:rsidRDefault="008274AE">
      <w:pPr>
        <w:pStyle w:val="ListParagraph"/>
        <w:numPr>
          <w:ilvl w:val="0"/>
          <w:numId w:val="27"/>
        </w:numPr>
        <w:spacing w:after="0"/>
        <w:jc w:val="both"/>
        <w:rPr>
          <w:b/>
          <w:bCs/>
          <w:i/>
          <w:iCs/>
        </w:rPr>
      </w:pPr>
      <w:r>
        <w:rPr>
          <w:b/>
          <w:bCs/>
          <w:i/>
          <w:iCs/>
        </w:rPr>
        <w:t>Second part is a cell/gNB-</w:t>
      </w:r>
      <w:r w:rsidR="00F8382B">
        <w:rPr>
          <w:b/>
          <w:bCs/>
          <w:i/>
          <w:iCs/>
        </w:rPr>
        <w:t>determined</w:t>
      </w:r>
      <w:r w:rsidR="00034D03">
        <w:rPr>
          <w:b/>
          <w:bCs/>
          <w:i/>
          <w:iCs/>
        </w:rPr>
        <w:t xml:space="preserve"> ID</w:t>
      </w:r>
    </w:p>
    <w:p w14:paraId="32E47670" w14:textId="77777777" w:rsidR="006D50C5" w:rsidRPr="006D50C5" w:rsidRDefault="006D50C5" w:rsidP="006D50C5">
      <w:pPr>
        <w:tabs>
          <w:tab w:val="left" w:pos="656"/>
        </w:tabs>
        <w:jc w:val="both"/>
        <w:rPr>
          <w:b/>
          <w:bCs/>
          <w:i/>
          <w:lang w:eastAsia="zh-CN"/>
        </w:rPr>
      </w:pPr>
    </w:p>
    <w:p w14:paraId="5C6D97C5" w14:textId="166B6B7D" w:rsidR="001D073D" w:rsidRDefault="001D073D">
      <w:pPr>
        <w:pStyle w:val="Heading2"/>
        <w:numPr>
          <w:ilvl w:val="1"/>
          <w:numId w:val="9"/>
        </w:numPr>
        <w:rPr>
          <w:rFonts w:ascii="Times New Roman" w:hAnsi="Times New Roman"/>
          <w:sz w:val="28"/>
          <w:szCs w:val="28"/>
        </w:rPr>
      </w:pPr>
      <w:r w:rsidRPr="001D073D">
        <w:rPr>
          <w:rFonts w:ascii="Times New Roman" w:hAnsi="Times New Roman"/>
          <w:sz w:val="28"/>
          <w:szCs w:val="28"/>
        </w:rPr>
        <w:t>Configuration of RS for Set A and Set B</w:t>
      </w:r>
      <w:r>
        <w:rPr>
          <w:rFonts w:ascii="Times New Roman" w:hAnsi="Times New Roman"/>
          <w:sz w:val="28"/>
          <w:szCs w:val="28"/>
        </w:rPr>
        <w:t xml:space="preserve"> </w:t>
      </w:r>
    </w:p>
    <w:p w14:paraId="5917AE6C" w14:textId="77777777" w:rsidR="00F76978" w:rsidRDefault="00F76978">
      <w:pPr>
        <w:pStyle w:val="Heading3"/>
        <w:numPr>
          <w:ilvl w:val="2"/>
          <w:numId w:val="9"/>
        </w:numPr>
        <w:rPr>
          <w:rFonts w:ascii="Times New Roman" w:hAnsi="Times New Roman"/>
          <w:sz w:val="24"/>
          <w:szCs w:val="24"/>
        </w:rPr>
      </w:pPr>
      <w:r>
        <w:rPr>
          <w:rFonts w:ascii="Times New Roman" w:hAnsi="Times New Roman"/>
          <w:sz w:val="24"/>
          <w:szCs w:val="24"/>
        </w:rPr>
        <w:t>UE-side model</w:t>
      </w:r>
    </w:p>
    <w:p w14:paraId="6A6F83C2" w14:textId="1FEB2F39" w:rsidR="00AC3B37" w:rsidRDefault="00AC3B37" w:rsidP="00AC3B37">
      <w:pPr>
        <w:rPr>
          <w:lang w:val="en-GB"/>
        </w:rPr>
      </w:pPr>
      <w:r>
        <w:rPr>
          <w:bCs/>
          <w:iCs/>
          <w:lang w:eastAsia="zh-CN"/>
        </w:rPr>
        <w:t>During</w:t>
      </w:r>
      <w:r>
        <w:rPr>
          <w:lang w:val="en-GB"/>
        </w:rPr>
        <w:t>, we have the following agreement on how to c</w:t>
      </w:r>
      <w:r w:rsidRPr="00AC3B37">
        <w:rPr>
          <w:lang w:val="en-GB"/>
        </w:rPr>
        <w:t>onfigur</w:t>
      </w:r>
      <w:r>
        <w:rPr>
          <w:lang w:val="en-GB"/>
        </w:rPr>
        <w:t>e</w:t>
      </w:r>
      <w:r w:rsidRPr="00AC3B37">
        <w:rPr>
          <w:lang w:val="en-GB"/>
        </w:rPr>
        <w:t xml:space="preserve"> RS for Set A and Set B </w:t>
      </w:r>
      <w:r>
        <w:rPr>
          <w:lang w:val="en-GB"/>
        </w:rPr>
        <w:t>within the CSI framework</w:t>
      </w:r>
      <w:r w:rsidR="007328F1">
        <w:rPr>
          <w:lang w:val="en-GB"/>
        </w:rPr>
        <w:t xml:space="preserve"> for UE-sided model</w:t>
      </w:r>
      <w:r>
        <w:rPr>
          <w:lang w:val="en-GB"/>
        </w:rPr>
        <w:t>:</w:t>
      </w:r>
    </w:p>
    <w:tbl>
      <w:tblPr>
        <w:tblStyle w:val="TableGrid"/>
        <w:tblW w:w="0" w:type="auto"/>
        <w:tblLook w:val="04A0" w:firstRow="1" w:lastRow="0" w:firstColumn="1" w:lastColumn="0" w:noHBand="0" w:noVBand="1"/>
      </w:tblPr>
      <w:tblGrid>
        <w:gridCol w:w="9631"/>
      </w:tblGrid>
      <w:tr w:rsidR="00AC3B37" w14:paraId="62922F36" w14:textId="77777777" w:rsidTr="00AC3B37">
        <w:tc>
          <w:tcPr>
            <w:tcW w:w="9631" w:type="dxa"/>
            <w:tcBorders>
              <w:top w:val="single" w:sz="4" w:space="0" w:color="auto"/>
              <w:left w:val="single" w:sz="4" w:space="0" w:color="auto"/>
              <w:bottom w:val="single" w:sz="4" w:space="0" w:color="auto"/>
              <w:right w:val="single" w:sz="4" w:space="0" w:color="auto"/>
            </w:tcBorders>
            <w:hideMark/>
          </w:tcPr>
          <w:p w14:paraId="5DC4E825" w14:textId="067C6C49" w:rsidR="00AC3B37" w:rsidRDefault="00AC3B37" w:rsidP="00216E33">
            <w:pPr>
              <w:spacing w:after="0"/>
              <w:rPr>
                <w:rFonts w:eastAsia="DengXian"/>
                <w:highlight w:val="green"/>
                <w:lang w:eastAsia="zh-CN"/>
              </w:rPr>
            </w:pPr>
            <w:r>
              <w:rPr>
                <w:rFonts w:eastAsia="DengXian"/>
                <w:highlight w:val="green"/>
                <w:lang w:eastAsia="zh-CN"/>
              </w:rPr>
              <w:t>Agreement</w:t>
            </w:r>
            <w:r w:rsidR="008D1129">
              <w:rPr>
                <w:rFonts w:eastAsia="DengXian"/>
                <w:highlight w:val="green"/>
                <w:lang w:eastAsia="zh-CN"/>
              </w:rPr>
              <w:t xml:space="preserve"> </w:t>
            </w:r>
          </w:p>
          <w:p w14:paraId="660AB6F2" w14:textId="77777777" w:rsidR="00AC3B37" w:rsidRDefault="00AC3B37" w:rsidP="00216E33">
            <w:pPr>
              <w:spacing w:after="0"/>
              <w:rPr>
                <w:rFonts w:eastAsia="Malgun Gothic"/>
                <w:lang w:eastAsia="ko-KR"/>
              </w:rPr>
            </w:pPr>
            <w:r>
              <w:t>For UE-sided model at least for BM</w:t>
            </w:r>
            <w:r>
              <w:rPr>
                <w:rFonts w:eastAsia="DengXian"/>
                <w:lang w:eastAsia="zh-CN"/>
              </w:rPr>
              <w:t xml:space="preserve"> </w:t>
            </w:r>
            <w:r>
              <w:t xml:space="preserve">Case-1, </w:t>
            </w:r>
            <w:r>
              <w:rPr>
                <w:i/>
                <w:iCs/>
              </w:rPr>
              <w:t>CSI-ReportConfig</w:t>
            </w:r>
            <w:r>
              <w:t xml:space="preserve"> is used for the configuration of inference results reporting</w:t>
            </w:r>
          </w:p>
          <w:p w14:paraId="44194425" w14:textId="77777777" w:rsidR="00AC3B37" w:rsidRDefault="00AC3B37" w:rsidP="00216E33">
            <w:pPr>
              <w:pStyle w:val="ListParagraph"/>
              <w:numPr>
                <w:ilvl w:val="0"/>
                <w:numId w:val="18"/>
              </w:numPr>
              <w:spacing w:after="0"/>
              <w:rPr>
                <w:rFonts w:eastAsiaTheme="minorEastAsia"/>
                <w:lang w:eastAsia="zh-CN"/>
              </w:rPr>
            </w:pPr>
            <w:r>
              <w:t xml:space="preserve">FFS on the details in the </w:t>
            </w:r>
            <w:r>
              <w:rPr>
                <w:i/>
                <w:iCs/>
              </w:rPr>
              <w:t>CSI-ReportConfig</w:t>
            </w:r>
            <w:r>
              <w:t>, at least considering:</w:t>
            </w:r>
          </w:p>
          <w:p w14:paraId="18581E4E" w14:textId="77777777" w:rsidR="00AC3B37" w:rsidRDefault="00AC3B37" w:rsidP="00216E33">
            <w:pPr>
              <w:pStyle w:val="ListParagraph"/>
              <w:widowControl w:val="0"/>
              <w:numPr>
                <w:ilvl w:val="1"/>
                <w:numId w:val="19"/>
              </w:numPr>
              <w:spacing w:after="0"/>
              <w:jc w:val="both"/>
              <w:rPr>
                <w:lang w:val="en-GB" w:eastAsia="ko-KR"/>
              </w:rPr>
            </w:pPr>
            <w:r>
              <w:t xml:space="preserve">Alt 1: one </w:t>
            </w:r>
            <w:r>
              <w:rPr>
                <w:i/>
                <w:iCs/>
              </w:rPr>
              <w:t>CSI-ResourceConfigId</w:t>
            </w:r>
            <w:r>
              <w:t xml:space="preserve"> is configured for Set B</w:t>
            </w:r>
          </w:p>
          <w:p w14:paraId="078F482B" w14:textId="77777777" w:rsidR="00AC3B37" w:rsidRDefault="00AC3B37" w:rsidP="00216E33">
            <w:pPr>
              <w:pStyle w:val="ListParagraph"/>
              <w:widowControl w:val="0"/>
              <w:numPr>
                <w:ilvl w:val="2"/>
                <w:numId w:val="19"/>
              </w:numPr>
              <w:spacing w:after="0"/>
              <w:jc w:val="both"/>
            </w:pPr>
            <w:r>
              <w:rPr>
                <w:rFonts w:eastAsia="DengXian"/>
                <w:lang w:eastAsia="zh-CN"/>
              </w:rPr>
              <w:t>FFS: how UE can determine the information about set A</w:t>
            </w:r>
          </w:p>
          <w:p w14:paraId="1ED04515" w14:textId="77777777" w:rsidR="00AC3B37" w:rsidRDefault="00AC3B37" w:rsidP="00216E33">
            <w:pPr>
              <w:pStyle w:val="ListParagraph"/>
              <w:widowControl w:val="0"/>
              <w:numPr>
                <w:ilvl w:val="1"/>
                <w:numId w:val="19"/>
              </w:numPr>
              <w:spacing w:after="0"/>
              <w:jc w:val="both"/>
            </w:pPr>
            <w:r>
              <w:t xml:space="preserve">Alt 2: one </w:t>
            </w:r>
            <w:r>
              <w:rPr>
                <w:i/>
                <w:iCs/>
              </w:rPr>
              <w:t>CSI-ResourceConfigId</w:t>
            </w:r>
            <w:r>
              <w:t xml:space="preserve"> is configured for both Set A and Set B</w:t>
            </w:r>
          </w:p>
          <w:p w14:paraId="36F6F798" w14:textId="77777777" w:rsidR="00AC3B37" w:rsidRDefault="00AC3B37" w:rsidP="00216E33">
            <w:pPr>
              <w:pStyle w:val="ListParagraph"/>
              <w:widowControl w:val="0"/>
              <w:numPr>
                <w:ilvl w:val="2"/>
                <w:numId w:val="19"/>
              </w:numPr>
              <w:spacing w:after="0"/>
              <w:jc w:val="both"/>
              <w:rPr>
                <w:i/>
                <w:iCs/>
              </w:rPr>
            </w:pPr>
            <w:r>
              <w:rPr>
                <w:rFonts w:eastAsia="DengXian"/>
                <w:lang w:eastAsia="zh-CN"/>
              </w:rPr>
              <w:t xml:space="preserve">FFS: How to configure resource set(s) for </w:t>
            </w:r>
            <w:r>
              <w:t>Set A</w:t>
            </w:r>
            <w:r>
              <w:rPr>
                <w:rFonts w:eastAsia="DengXian"/>
                <w:lang w:eastAsia="zh-CN"/>
              </w:rPr>
              <w:t xml:space="preserve"> and</w:t>
            </w:r>
            <w:r>
              <w:t xml:space="preserve"> Set B </w:t>
            </w:r>
            <w:r>
              <w:rPr>
                <w:rFonts w:eastAsia="DengXian"/>
                <w:lang w:eastAsia="zh-CN"/>
              </w:rPr>
              <w:t>in</w:t>
            </w:r>
            <w:r>
              <w:t xml:space="preserve"> </w:t>
            </w:r>
            <w:r>
              <w:rPr>
                <w:i/>
                <w:iCs/>
              </w:rPr>
              <w:t>CSI-ResourceConfig</w:t>
            </w:r>
          </w:p>
          <w:p w14:paraId="3B854834" w14:textId="77777777" w:rsidR="00AC3B37" w:rsidRDefault="00AC3B37" w:rsidP="00216E33">
            <w:pPr>
              <w:pStyle w:val="ListParagraph"/>
              <w:widowControl w:val="0"/>
              <w:numPr>
                <w:ilvl w:val="1"/>
                <w:numId w:val="19"/>
              </w:numPr>
              <w:spacing w:after="0"/>
              <w:jc w:val="both"/>
            </w:pPr>
            <w:r>
              <w:t xml:space="preserve">Alt 3: two </w:t>
            </w:r>
            <w:r>
              <w:rPr>
                <w:i/>
                <w:iCs/>
              </w:rPr>
              <w:t>CSI-ResourceConfigId</w:t>
            </w:r>
            <w:r>
              <w:t xml:space="preserve"> s are configured for Set A and Set B separately</w:t>
            </w:r>
          </w:p>
          <w:p w14:paraId="032FBF65" w14:textId="77777777" w:rsidR="00AC3B37" w:rsidRDefault="00AC3B37" w:rsidP="00216E33">
            <w:pPr>
              <w:pStyle w:val="ListParagraph"/>
              <w:widowControl w:val="0"/>
              <w:numPr>
                <w:ilvl w:val="1"/>
                <w:numId w:val="19"/>
              </w:numPr>
              <w:spacing w:after="0"/>
              <w:jc w:val="both"/>
              <w:rPr>
                <w:lang w:eastAsia="zh-CN"/>
              </w:rPr>
            </w:pPr>
            <w:r>
              <w:t xml:space="preserve">Alt </w:t>
            </w:r>
            <w:r>
              <w:rPr>
                <w:rFonts w:eastAsia="DengXian"/>
                <w:lang w:eastAsia="zh-CN"/>
              </w:rPr>
              <w:t>4</w:t>
            </w:r>
            <w:r>
              <w:t xml:space="preserve">: one </w:t>
            </w:r>
            <w:r>
              <w:rPr>
                <w:i/>
                <w:iCs/>
              </w:rPr>
              <w:t>CSI-ResourceConfigId</w:t>
            </w:r>
            <w:r>
              <w:t xml:space="preserve"> is configured for Set B, </w:t>
            </w:r>
            <w:r>
              <w:rPr>
                <w:rFonts w:eastAsia="DengXian"/>
                <w:lang w:eastAsia="zh-CN"/>
              </w:rPr>
              <w:t xml:space="preserve">Set A is configured using separate resource set(s) other than that represented by </w:t>
            </w:r>
            <w:r>
              <w:rPr>
                <w:i/>
                <w:iCs/>
              </w:rPr>
              <w:t>CSI-ResourceConfigId</w:t>
            </w:r>
            <w:r>
              <w:t xml:space="preserve"> </w:t>
            </w:r>
          </w:p>
          <w:p w14:paraId="59CE4AA0" w14:textId="77777777" w:rsidR="00AC3B37" w:rsidRDefault="00AC3B37" w:rsidP="00216E33">
            <w:pPr>
              <w:pStyle w:val="ListParagraph"/>
              <w:widowControl w:val="0"/>
              <w:numPr>
                <w:ilvl w:val="2"/>
                <w:numId w:val="19"/>
              </w:numPr>
              <w:spacing w:after="0"/>
              <w:jc w:val="both"/>
              <w:rPr>
                <w:lang w:eastAsia="zh-CN"/>
              </w:rPr>
            </w:pPr>
            <w:r>
              <w:rPr>
                <w:rFonts w:eastAsia="DengXian"/>
                <w:lang w:eastAsia="zh-CN"/>
              </w:rPr>
              <w:t xml:space="preserve">FFS: how to configure/indicate separate resource set(s) for </w:t>
            </w:r>
            <w:r>
              <w:t>Set A</w:t>
            </w:r>
          </w:p>
          <w:p w14:paraId="5A11BA29" w14:textId="77777777" w:rsidR="00AC3B37" w:rsidRDefault="00AC3B37" w:rsidP="00216E33">
            <w:pPr>
              <w:pStyle w:val="ListParagraph"/>
              <w:widowControl w:val="0"/>
              <w:numPr>
                <w:ilvl w:val="1"/>
                <w:numId w:val="20"/>
              </w:numPr>
              <w:spacing w:after="0"/>
              <w:jc w:val="both"/>
              <w:rPr>
                <w:lang w:eastAsia="zh-CN"/>
              </w:rPr>
            </w:pPr>
            <w:r>
              <w:t xml:space="preserve">Note: separate </w:t>
            </w:r>
            <w:r>
              <w:rPr>
                <w:i/>
                <w:iCs/>
              </w:rPr>
              <w:t xml:space="preserve">CSI-ReportConfig </w:t>
            </w:r>
            <w:r>
              <w:t>for Set A and Set B are not precluded.</w:t>
            </w:r>
          </w:p>
          <w:p w14:paraId="751FA629" w14:textId="77777777" w:rsidR="00AC3B37" w:rsidRDefault="00AC3B37" w:rsidP="00216E33">
            <w:pPr>
              <w:pStyle w:val="ListParagraph"/>
              <w:widowControl w:val="0"/>
              <w:numPr>
                <w:ilvl w:val="1"/>
                <w:numId w:val="20"/>
              </w:numPr>
              <w:spacing w:after="0"/>
              <w:jc w:val="both"/>
              <w:rPr>
                <w:lang w:eastAsia="zh-CN"/>
              </w:rPr>
            </w:pPr>
            <w:r>
              <w:t xml:space="preserve">Note: Not perform measurement for Set A and only perform measurement for Set B subject to the </w:t>
            </w:r>
            <w:r>
              <w:rPr>
                <w:i/>
                <w:iCs/>
              </w:rPr>
              <w:t>CSI-ReportConfig</w:t>
            </w:r>
          </w:p>
          <w:p w14:paraId="5A3668FB" w14:textId="77777777" w:rsidR="00AC3B37" w:rsidRDefault="00AC3B37" w:rsidP="00216E33">
            <w:pPr>
              <w:pStyle w:val="ListParagraph"/>
              <w:widowControl w:val="0"/>
              <w:numPr>
                <w:ilvl w:val="1"/>
                <w:numId w:val="19"/>
              </w:numPr>
              <w:spacing w:after="0"/>
              <w:jc w:val="both"/>
              <w:rPr>
                <w:lang w:eastAsia="ko-KR"/>
              </w:rPr>
            </w:pPr>
            <w:r>
              <w:t>FFS on the association between Set A and Set B with or without additional IE</w:t>
            </w:r>
          </w:p>
          <w:p w14:paraId="48B48471" w14:textId="5AB004A7" w:rsidR="008D1129" w:rsidRDefault="00AC3B37" w:rsidP="00216E33">
            <w:pPr>
              <w:spacing w:after="0"/>
            </w:pPr>
            <w:r>
              <w:t>Other necessary configuration are not precluded.</w:t>
            </w:r>
          </w:p>
          <w:p w14:paraId="2AB381CD" w14:textId="77777777" w:rsidR="00216E33" w:rsidRPr="007C78D9" w:rsidRDefault="00216E33" w:rsidP="00216E33">
            <w:pPr>
              <w:spacing w:after="0"/>
            </w:pPr>
          </w:p>
          <w:p w14:paraId="4DE85676" w14:textId="74420DE7" w:rsidR="008D1129" w:rsidRDefault="008D1129" w:rsidP="00216E33">
            <w:pPr>
              <w:pStyle w:val="ListParagraph"/>
              <w:tabs>
                <w:tab w:val="left" w:pos="360"/>
                <w:tab w:val="left" w:pos="1080"/>
              </w:tabs>
              <w:spacing w:after="0"/>
              <w:ind w:left="0"/>
              <w:rPr>
                <w:rFonts w:eastAsia="DengXian"/>
                <w:highlight w:val="green"/>
                <w:lang w:eastAsia="zh-CN"/>
              </w:rPr>
            </w:pPr>
            <w:r>
              <w:rPr>
                <w:rFonts w:eastAsia="DengXian"/>
                <w:highlight w:val="green"/>
                <w:lang w:eastAsia="zh-CN"/>
              </w:rPr>
              <w:t>Agreement</w:t>
            </w:r>
          </w:p>
          <w:p w14:paraId="6549CE0C" w14:textId="77777777" w:rsidR="008D1129" w:rsidRDefault="008D1129" w:rsidP="00216E33">
            <w:pPr>
              <w:spacing w:after="0"/>
              <w:rPr>
                <w:rFonts w:eastAsia="Batang"/>
                <w:lang w:eastAsia="zh-CN"/>
              </w:rPr>
            </w:pPr>
            <w:r>
              <w:t>For UE-sided model at least for BM</w:t>
            </w:r>
            <w:r>
              <w:rPr>
                <w:rFonts w:eastAsia="DengXian"/>
                <w:lang w:eastAsia="zh-CN"/>
              </w:rPr>
              <w:t xml:space="preserve"> </w:t>
            </w:r>
            <w:r>
              <w:t xml:space="preserve">Case-1, for inference results report </w:t>
            </w:r>
          </w:p>
          <w:p w14:paraId="5B7292C0" w14:textId="77777777" w:rsidR="008D1129" w:rsidRDefault="008D1129" w:rsidP="00216E33">
            <w:pPr>
              <w:pStyle w:val="ListParagraph"/>
              <w:numPr>
                <w:ilvl w:val="0"/>
                <w:numId w:val="33"/>
              </w:numPr>
              <w:spacing w:after="0"/>
              <w:rPr>
                <w:lang w:eastAsia="x-none"/>
              </w:rPr>
            </w:pPr>
            <w:r>
              <w:t>Two resource sets can be configured for Set A and Set B separately in the CSI report configuration for the report</w:t>
            </w:r>
          </w:p>
          <w:p w14:paraId="5574BB45" w14:textId="77777777" w:rsidR="008D1129" w:rsidRDefault="008D1129" w:rsidP="00216E33">
            <w:pPr>
              <w:pStyle w:val="ListParagraph"/>
              <w:numPr>
                <w:ilvl w:val="1"/>
                <w:numId w:val="33"/>
              </w:numPr>
              <w:spacing w:after="0"/>
            </w:pPr>
            <w:r>
              <w:rPr>
                <w:lang w:eastAsia="zh-CN"/>
              </w:rPr>
              <w:t xml:space="preserve">FFS whether support only resource set for Set B </w:t>
            </w:r>
            <w:r>
              <w:rPr>
                <w:rFonts w:eastAsia="DengXian"/>
                <w:lang w:eastAsia="zh-CN"/>
              </w:rPr>
              <w:t>is configured</w:t>
            </w:r>
          </w:p>
          <w:p w14:paraId="7A413901" w14:textId="77777777" w:rsidR="008D1129" w:rsidRDefault="008D1129" w:rsidP="00216E33">
            <w:pPr>
              <w:pStyle w:val="ListParagraph"/>
              <w:numPr>
                <w:ilvl w:val="0"/>
                <w:numId w:val="33"/>
              </w:numPr>
              <w:spacing w:after="0"/>
              <w:rPr>
                <w:lang w:eastAsia="zh-CN"/>
              </w:rPr>
            </w:pPr>
            <w:r>
              <w:t>UE performs measurement on the resource set for Set B for inference</w:t>
            </w:r>
            <w:r>
              <w:rPr>
                <w:rFonts w:eastAsia="DengXian"/>
                <w:lang w:eastAsia="zh-CN"/>
              </w:rPr>
              <w:t xml:space="preserve">, and UE is not expected to measure resource set for Set A for inference, </w:t>
            </w:r>
          </w:p>
          <w:p w14:paraId="3A6805A9" w14:textId="77777777" w:rsidR="00091C52" w:rsidRDefault="008D1129" w:rsidP="00216E33">
            <w:pPr>
              <w:pStyle w:val="ListParagraph"/>
              <w:numPr>
                <w:ilvl w:val="0"/>
                <w:numId w:val="34"/>
              </w:numPr>
              <w:tabs>
                <w:tab w:val="left" w:pos="756"/>
              </w:tabs>
              <w:spacing w:after="0"/>
              <w:rPr>
                <w:lang w:eastAsia="zh-CN"/>
              </w:rPr>
            </w:pPr>
            <w:r>
              <w:rPr>
                <w:lang w:eastAsia="zh-CN"/>
              </w:rPr>
              <w:t>The beam information in the inference report refers to the resource set for Set A</w:t>
            </w:r>
          </w:p>
          <w:p w14:paraId="67F65E74" w14:textId="77777777" w:rsidR="00FA3E04" w:rsidRDefault="00FA3E04" w:rsidP="00FA3E04">
            <w:pPr>
              <w:tabs>
                <w:tab w:val="left" w:pos="756"/>
              </w:tabs>
              <w:spacing w:after="0"/>
              <w:rPr>
                <w:lang w:eastAsia="zh-CN"/>
              </w:rPr>
            </w:pPr>
          </w:p>
          <w:p w14:paraId="08250816" w14:textId="47A3BBE9" w:rsidR="00FA3E04" w:rsidRPr="00FA3E04" w:rsidRDefault="00FA3E04" w:rsidP="00FA3E04">
            <w:pPr>
              <w:rPr>
                <w:rFonts w:eastAsia="DengXian"/>
                <w:sz w:val="20"/>
                <w:highlight w:val="green"/>
                <w:lang w:eastAsia="zh-CN"/>
              </w:rPr>
            </w:pPr>
            <w:r>
              <w:rPr>
                <w:rFonts w:eastAsia="DengXian"/>
                <w:highlight w:val="green"/>
                <w:lang w:eastAsia="zh-CN"/>
              </w:rPr>
              <w:t>Agreement</w:t>
            </w:r>
            <w:r>
              <w:rPr>
                <w:rFonts w:eastAsia="DengXian"/>
                <w:lang w:eastAsia="zh-CN"/>
              </w:rPr>
              <w:br/>
              <w:t>For both BM-Case 1 and BM-Case 2, f</w:t>
            </w:r>
            <w:r>
              <w:t xml:space="preserve">or UE-sided model for inference, </w:t>
            </w:r>
            <w:r>
              <w:rPr>
                <w:rFonts w:eastAsia="DengXian"/>
                <w:lang w:eastAsia="zh-CN"/>
              </w:rPr>
              <w:t>when Set A and Set B are</w:t>
            </w:r>
            <w:r>
              <w:t xml:space="preserve"> configured</w:t>
            </w:r>
            <w:r>
              <w:rPr>
                <w:rFonts w:eastAsia="DengXian"/>
                <w:lang w:eastAsia="zh-CN"/>
              </w:rPr>
              <w:t xml:space="preserve"> within CSI report configuration</w:t>
            </w:r>
            <w:r>
              <w:t xml:space="preserve">, </w:t>
            </w:r>
          </w:p>
          <w:p w14:paraId="41B566EE" w14:textId="77777777" w:rsidR="00FA3E04" w:rsidRDefault="00FA3E04" w:rsidP="00FA3E04">
            <w:pPr>
              <w:tabs>
                <w:tab w:val="left" w:pos="756"/>
              </w:tabs>
              <w:spacing w:after="0"/>
            </w:pPr>
            <w:r>
              <w:rPr>
                <w:rFonts w:eastAsia="DengXian"/>
                <w:lang w:eastAsia="zh-CN"/>
              </w:rPr>
              <w:t>T</w:t>
            </w:r>
            <w:r>
              <w:t xml:space="preserve">wo </w:t>
            </w:r>
            <w:r>
              <w:rPr>
                <w:i/>
                <w:iCs/>
              </w:rPr>
              <w:t>CSI-ResourceConfigId</w:t>
            </w:r>
            <w:r>
              <w:t xml:space="preserve"> s are configured for Set A and Set B separately</w:t>
            </w:r>
          </w:p>
          <w:p w14:paraId="52CB769C" w14:textId="0FB3DFAE" w:rsidR="000667FC" w:rsidRPr="008D1129" w:rsidRDefault="000667FC" w:rsidP="002A0DF4">
            <w:pPr>
              <w:tabs>
                <w:tab w:val="left" w:pos="756"/>
              </w:tabs>
              <w:spacing w:after="0"/>
              <w:rPr>
                <w:lang w:eastAsia="zh-CN"/>
              </w:rPr>
            </w:pPr>
          </w:p>
        </w:tc>
      </w:tr>
    </w:tbl>
    <w:p w14:paraId="1446208B" w14:textId="458B98B7" w:rsidR="008B57F6" w:rsidRPr="00610D5A" w:rsidRDefault="008B57F6" w:rsidP="007C78D9">
      <w:pPr>
        <w:spacing w:before="180"/>
        <w:jc w:val="both"/>
        <w:rPr>
          <w:lang w:eastAsia="zh-TW"/>
        </w:rPr>
      </w:pPr>
      <w:r>
        <w:t xml:space="preserve">To our understanding, </w:t>
      </w:r>
      <w:r w:rsidR="008D1129">
        <w:t>Set A should be always configured</w:t>
      </w:r>
      <w:r w:rsidR="000667FC">
        <w:t xml:space="preserve"> with physical resources</w:t>
      </w:r>
      <w:r w:rsidR="008D1129">
        <w:t>, but may be configured with longer periodicity, f</w:t>
      </w:r>
      <w:r w:rsidR="00491559">
        <w:t>or data collection and model monitoring purposes</w:t>
      </w:r>
      <w:r w:rsidR="008D1129">
        <w:t>.</w:t>
      </w:r>
      <w:r w:rsidR="00491559">
        <w:t xml:space="preserve"> </w:t>
      </w:r>
      <w:r w:rsidR="00491559">
        <w:rPr>
          <w:rFonts w:hint="eastAsia"/>
          <w:lang w:eastAsia="zh-TW"/>
        </w:rPr>
        <w:t>Fu</w:t>
      </w:r>
      <w:r w:rsidR="00491559">
        <w:rPr>
          <w:lang w:eastAsia="zh-TW"/>
        </w:rPr>
        <w:t>rthermore, considering that there may have legacy UEs in the NW that require measuring Set A</w:t>
      </w:r>
      <w:r w:rsidR="00610D5A">
        <w:rPr>
          <w:lang w:eastAsia="zh-TW"/>
        </w:rPr>
        <w:t xml:space="preserve"> for its beam report</w:t>
      </w:r>
      <w:r w:rsidR="00491559">
        <w:rPr>
          <w:lang w:eastAsia="zh-TW"/>
        </w:rPr>
        <w:t>.</w:t>
      </w:r>
      <w:r w:rsidR="00610D5A">
        <w:rPr>
          <w:lang w:eastAsia="zh-TW"/>
        </w:rPr>
        <w:t xml:space="preserve"> Therefore, before the discussion on which alternatives are better, we suggest RAN1 makes a working assumption that Set A is always configured with physical resources. </w:t>
      </w:r>
    </w:p>
    <w:p w14:paraId="492DAD0A" w14:textId="22F89833" w:rsidR="008B57F6" w:rsidRDefault="008B57F6" w:rsidP="009A1E4B">
      <w:pPr>
        <w:overflowPunct w:val="0"/>
        <w:autoSpaceDE w:val="0"/>
        <w:autoSpaceDN w:val="0"/>
        <w:adjustRightInd w:val="0"/>
        <w:spacing w:after="0"/>
        <w:jc w:val="both"/>
        <w:textAlignment w:val="baseline"/>
        <w:rPr>
          <w:b/>
          <w:bCs/>
          <w:i/>
          <w:iCs/>
        </w:rPr>
      </w:pPr>
      <w:r>
        <w:rPr>
          <w:b/>
          <w:bCs/>
          <w:i/>
          <w:iCs/>
        </w:rPr>
        <w:lastRenderedPageBreak/>
        <w:t>Proposal</w:t>
      </w:r>
      <w:r w:rsidR="009F0DF8">
        <w:rPr>
          <w:b/>
          <w:bCs/>
          <w:i/>
          <w:iCs/>
        </w:rPr>
        <w:t xml:space="preserve"> 1</w:t>
      </w:r>
      <w:r w:rsidR="0072446B">
        <w:rPr>
          <w:b/>
          <w:bCs/>
          <w:i/>
          <w:iCs/>
        </w:rPr>
        <w:t>6</w:t>
      </w:r>
      <w:r>
        <w:rPr>
          <w:b/>
          <w:bCs/>
          <w:i/>
          <w:iCs/>
        </w:rPr>
        <w:t xml:space="preserve">: Set A </w:t>
      </w:r>
      <w:r w:rsidR="00407F05">
        <w:rPr>
          <w:b/>
          <w:bCs/>
          <w:i/>
          <w:iCs/>
        </w:rPr>
        <w:t xml:space="preserve">should </w:t>
      </w:r>
      <w:r>
        <w:rPr>
          <w:b/>
          <w:bCs/>
          <w:i/>
          <w:iCs/>
        </w:rPr>
        <w:t>always</w:t>
      </w:r>
      <w:r w:rsidR="00407F05">
        <w:rPr>
          <w:b/>
          <w:bCs/>
          <w:i/>
          <w:iCs/>
        </w:rPr>
        <w:t xml:space="preserve"> be</w:t>
      </w:r>
      <w:r>
        <w:rPr>
          <w:b/>
          <w:bCs/>
          <w:i/>
          <w:iCs/>
        </w:rPr>
        <w:t xml:space="preserve"> configured </w:t>
      </w:r>
      <w:r w:rsidR="008D1129">
        <w:rPr>
          <w:b/>
          <w:bCs/>
          <w:i/>
          <w:iCs/>
        </w:rPr>
        <w:t xml:space="preserve">with physical resources </w:t>
      </w:r>
      <w:r>
        <w:rPr>
          <w:b/>
          <w:bCs/>
          <w:i/>
          <w:iCs/>
        </w:rPr>
        <w:t xml:space="preserve">(i.e., have corresponding resource ID/resource set ID, </w:t>
      </w:r>
      <w:r w:rsidR="00CD19AE">
        <w:rPr>
          <w:b/>
          <w:bCs/>
          <w:i/>
          <w:iCs/>
        </w:rPr>
        <w:t>R</w:t>
      </w:r>
      <w:r>
        <w:rPr>
          <w:b/>
          <w:bCs/>
          <w:i/>
          <w:iCs/>
        </w:rPr>
        <w:t>esource</w:t>
      </w:r>
      <w:r w:rsidR="00CD19AE">
        <w:rPr>
          <w:b/>
          <w:bCs/>
          <w:i/>
          <w:iCs/>
        </w:rPr>
        <w:t>C</w:t>
      </w:r>
      <w:r>
        <w:rPr>
          <w:b/>
          <w:bCs/>
          <w:i/>
          <w:iCs/>
        </w:rPr>
        <w:t>onfig ID)</w:t>
      </w:r>
      <w:r w:rsidR="00610D5A">
        <w:rPr>
          <w:b/>
          <w:bCs/>
          <w:i/>
          <w:iCs/>
        </w:rPr>
        <w:t>,</w:t>
      </w:r>
      <w:r>
        <w:rPr>
          <w:b/>
          <w:bCs/>
          <w:i/>
          <w:iCs/>
        </w:rPr>
        <w:t xml:space="preserve"> for the following reasons:</w:t>
      </w:r>
    </w:p>
    <w:p w14:paraId="73690414" w14:textId="44FDFA70" w:rsidR="00610D5A" w:rsidRDefault="008B57F6">
      <w:pPr>
        <w:pStyle w:val="ListParagraph"/>
        <w:numPr>
          <w:ilvl w:val="0"/>
          <w:numId w:val="21"/>
        </w:numPr>
        <w:overflowPunct w:val="0"/>
        <w:autoSpaceDE w:val="0"/>
        <w:autoSpaceDN w:val="0"/>
        <w:adjustRightInd w:val="0"/>
        <w:spacing w:after="0"/>
        <w:jc w:val="both"/>
        <w:textAlignment w:val="baseline"/>
        <w:rPr>
          <w:b/>
          <w:bCs/>
          <w:i/>
          <w:iCs/>
        </w:rPr>
      </w:pPr>
      <w:r>
        <w:rPr>
          <w:b/>
          <w:bCs/>
          <w:i/>
          <w:iCs/>
        </w:rPr>
        <w:t xml:space="preserve">Set A is required for monitoring/data collection, and can be configured with longer periodicity </w:t>
      </w:r>
    </w:p>
    <w:p w14:paraId="729B5CE3" w14:textId="059678E9" w:rsidR="00610D5A" w:rsidRPr="009A1E4B" w:rsidRDefault="00610D5A">
      <w:pPr>
        <w:pStyle w:val="ListParagraph"/>
        <w:numPr>
          <w:ilvl w:val="0"/>
          <w:numId w:val="21"/>
        </w:numPr>
        <w:overflowPunct w:val="0"/>
        <w:autoSpaceDE w:val="0"/>
        <w:autoSpaceDN w:val="0"/>
        <w:adjustRightInd w:val="0"/>
        <w:jc w:val="both"/>
        <w:textAlignment w:val="baseline"/>
        <w:rPr>
          <w:b/>
          <w:bCs/>
          <w:i/>
          <w:iCs/>
        </w:rPr>
      </w:pPr>
      <w:r>
        <w:rPr>
          <w:b/>
          <w:bCs/>
          <w:i/>
          <w:iCs/>
        </w:rPr>
        <w:t>Set A is required for legacy UE</w:t>
      </w:r>
    </w:p>
    <w:p w14:paraId="05790706" w14:textId="3905EAC4" w:rsidR="00D52C45" w:rsidRPr="00CD19AE" w:rsidRDefault="00CD19AE" w:rsidP="008B57F6">
      <w:pPr>
        <w:overflowPunct w:val="0"/>
        <w:autoSpaceDE w:val="0"/>
        <w:autoSpaceDN w:val="0"/>
        <w:adjustRightInd w:val="0"/>
        <w:jc w:val="both"/>
        <w:textAlignment w:val="baseline"/>
      </w:pPr>
      <w:r w:rsidRPr="00CD19AE">
        <w:t xml:space="preserve">Consider that Set A must have corresponding </w:t>
      </w:r>
      <w:r w:rsidR="00E2042A" w:rsidRPr="00E2042A">
        <w:rPr>
          <w:i/>
          <w:iCs/>
        </w:rPr>
        <w:t>csi-</w:t>
      </w:r>
      <w:r w:rsidRPr="00E2042A">
        <w:rPr>
          <w:i/>
          <w:iCs/>
        </w:rPr>
        <w:t>ResourceSet</w:t>
      </w:r>
      <w:r w:rsidR="00E2042A" w:rsidRPr="00E2042A">
        <w:rPr>
          <w:i/>
          <w:iCs/>
        </w:rPr>
        <w:t>Id</w:t>
      </w:r>
      <w:r w:rsidRPr="00CD19AE">
        <w:t>(s)</w:t>
      </w:r>
      <w:r w:rsidR="001D6194">
        <w:t>, w</w:t>
      </w:r>
      <w:r w:rsidR="00DB1301">
        <w:t xml:space="preserve">e think </w:t>
      </w:r>
      <w:r w:rsidR="00DB1301" w:rsidRPr="00DB1301">
        <w:t xml:space="preserve">Set A can be configured by the existing IE </w:t>
      </w:r>
      <w:r w:rsidR="00DB1301" w:rsidRPr="00C61849">
        <w:rPr>
          <w:i/>
          <w:iCs/>
        </w:rPr>
        <w:t>resourcesForChannelMeasurement</w:t>
      </w:r>
      <w:r w:rsidR="00DB1301" w:rsidRPr="00DB1301">
        <w:t xml:space="preserve"> in </w:t>
      </w:r>
      <w:r w:rsidR="00DB1301" w:rsidRPr="00C61849">
        <w:rPr>
          <w:i/>
          <w:iCs/>
        </w:rPr>
        <w:t>csi-ReportConfig</w:t>
      </w:r>
      <w:r w:rsidR="00DB1301">
        <w:t xml:space="preserve"> and </w:t>
      </w:r>
      <w:r w:rsidR="00DB1301" w:rsidRPr="00DB1301">
        <w:t xml:space="preserve">Set B can be configured by a new IE which has </w:t>
      </w:r>
      <w:r w:rsidR="00DB1301" w:rsidRPr="00136081">
        <w:rPr>
          <w:i/>
          <w:iCs/>
        </w:rPr>
        <w:t>csi-ResourceConfigId</w:t>
      </w:r>
      <w:r w:rsidR="00DB1301" w:rsidRPr="00DB1301">
        <w:t xml:space="preserve"> as its value</w:t>
      </w:r>
      <w:r w:rsidR="00DB1301">
        <w:t>.</w:t>
      </w:r>
      <w:r w:rsidR="008D1129">
        <w:t xml:space="preserve"> </w:t>
      </w:r>
      <w:r w:rsidR="00DB1301">
        <w:t xml:space="preserve">The </w:t>
      </w:r>
      <w:r w:rsidR="00634F45">
        <w:t xml:space="preserve">reason is that by following this configuration, the same design can be used for data collection too. </w:t>
      </w:r>
      <w:r w:rsidR="00634F45">
        <w:rPr>
          <w:rFonts w:hint="eastAsia"/>
          <w:lang w:eastAsia="zh-TW"/>
        </w:rPr>
        <w:t>Fo</w:t>
      </w:r>
      <w:r w:rsidR="00634F45">
        <w:rPr>
          <w:lang w:eastAsia="zh-TW"/>
        </w:rPr>
        <w:t xml:space="preserve">r data collection, NW can configure a legacy beam report (i.e., </w:t>
      </w:r>
      <w:r w:rsidR="004164F0">
        <w:rPr>
          <w:lang w:eastAsia="zh-TW"/>
        </w:rPr>
        <w:t>reportQuantity = “cri-RSRP”</w:t>
      </w:r>
      <w:r w:rsidR="00634F45">
        <w:rPr>
          <w:lang w:eastAsia="zh-TW"/>
        </w:rPr>
        <w:t>)</w:t>
      </w:r>
      <w:r w:rsidR="004164F0">
        <w:rPr>
          <w:lang w:eastAsia="zh-TW"/>
        </w:rPr>
        <w:t xml:space="preserve"> </w:t>
      </w:r>
      <w:r w:rsidR="00634F45">
        <w:rPr>
          <w:lang w:eastAsia="zh-TW"/>
        </w:rPr>
        <w:t>to UE</w:t>
      </w:r>
      <w:r w:rsidR="004164F0">
        <w:rPr>
          <w:lang w:eastAsia="zh-TW"/>
        </w:rPr>
        <w:t xml:space="preserve">, with </w:t>
      </w:r>
      <w:r w:rsidR="004164F0" w:rsidRPr="0088621B">
        <w:rPr>
          <w:i/>
          <w:iCs/>
          <w:lang w:eastAsia="zh-TW"/>
        </w:rPr>
        <w:t>resourcesForChannelMeasurement</w:t>
      </w:r>
      <w:r w:rsidR="004164F0">
        <w:rPr>
          <w:lang w:eastAsia="zh-TW"/>
        </w:rPr>
        <w:t xml:space="preserve"> linked to Set A,</w:t>
      </w:r>
      <w:r w:rsidR="00634F45">
        <w:rPr>
          <w:lang w:eastAsia="zh-TW"/>
        </w:rPr>
        <w:t xml:space="preserve"> along with a new IE configure</w:t>
      </w:r>
      <w:r w:rsidR="004164F0">
        <w:rPr>
          <w:lang w:eastAsia="zh-TW"/>
        </w:rPr>
        <w:t>d for</w:t>
      </w:r>
      <w:r w:rsidR="00634F45">
        <w:rPr>
          <w:lang w:eastAsia="zh-TW"/>
        </w:rPr>
        <w:t xml:space="preserve"> Set B</w:t>
      </w:r>
      <w:r w:rsidR="004164F0">
        <w:rPr>
          <w:lang w:eastAsia="zh-TW"/>
        </w:rPr>
        <w:t>. Once UE is triggered with this report configuration, UE measures Set A and reports the best beams. Then potentially measures Set B (</w:t>
      </w:r>
      <w:r w:rsidR="00626EFE">
        <w:rPr>
          <w:lang w:eastAsia="zh-TW"/>
        </w:rPr>
        <w:t>if Set B is not a subset of Set A</w:t>
      </w:r>
      <w:r w:rsidR="004164F0">
        <w:rPr>
          <w:lang w:eastAsia="zh-TW"/>
        </w:rPr>
        <w:t xml:space="preserve">), together with </w:t>
      </w:r>
      <w:r w:rsidR="00037343">
        <w:rPr>
          <w:lang w:eastAsia="zh-TW"/>
        </w:rPr>
        <w:t>Set A</w:t>
      </w:r>
      <w:r w:rsidR="00037343">
        <w:rPr>
          <w:rFonts w:hint="eastAsia"/>
          <w:lang w:eastAsia="zh-TW"/>
        </w:rPr>
        <w:t xml:space="preserve"> </w:t>
      </w:r>
      <w:r w:rsidR="00037343">
        <w:rPr>
          <w:lang w:eastAsia="zh-TW"/>
        </w:rPr>
        <w:t>measurements to formulate a data sample.</w:t>
      </w:r>
    </w:p>
    <w:p w14:paraId="286C63FF" w14:textId="5E2CEDE9" w:rsidR="008D7B72" w:rsidRDefault="008B57F6" w:rsidP="007E18AB">
      <w:pPr>
        <w:overflowPunct w:val="0"/>
        <w:autoSpaceDE w:val="0"/>
        <w:autoSpaceDN w:val="0"/>
        <w:adjustRightInd w:val="0"/>
        <w:spacing w:after="0"/>
        <w:jc w:val="both"/>
        <w:textAlignment w:val="baseline"/>
        <w:rPr>
          <w:b/>
          <w:bCs/>
          <w:i/>
          <w:iCs/>
        </w:rPr>
      </w:pPr>
      <w:r>
        <w:rPr>
          <w:b/>
          <w:bCs/>
          <w:i/>
          <w:iCs/>
        </w:rPr>
        <w:t>Proposal</w:t>
      </w:r>
      <w:r w:rsidR="009F0DF8">
        <w:rPr>
          <w:b/>
          <w:bCs/>
          <w:i/>
          <w:iCs/>
        </w:rPr>
        <w:t xml:space="preserve"> 1</w:t>
      </w:r>
      <w:r w:rsidR="0072446B">
        <w:rPr>
          <w:b/>
          <w:bCs/>
          <w:i/>
          <w:iCs/>
        </w:rPr>
        <w:t>7</w:t>
      </w:r>
      <w:r>
        <w:rPr>
          <w:b/>
          <w:bCs/>
          <w:i/>
          <w:iCs/>
        </w:rPr>
        <w:t xml:space="preserve">: For the design of </w:t>
      </w:r>
      <w:r w:rsidR="0088621B">
        <w:rPr>
          <w:b/>
          <w:bCs/>
          <w:i/>
          <w:iCs/>
        </w:rPr>
        <w:t>csi</w:t>
      </w:r>
      <w:r>
        <w:rPr>
          <w:b/>
          <w:bCs/>
          <w:i/>
          <w:iCs/>
        </w:rPr>
        <w:t xml:space="preserve">-ReportConfig for UE-sided model, </w:t>
      </w:r>
      <w:r w:rsidR="007E18AB">
        <w:rPr>
          <w:b/>
          <w:bCs/>
          <w:i/>
          <w:iCs/>
        </w:rPr>
        <w:t>S</w:t>
      </w:r>
      <w:r w:rsidR="00352370" w:rsidRPr="008D1129">
        <w:rPr>
          <w:b/>
          <w:bCs/>
          <w:i/>
          <w:iCs/>
        </w:rPr>
        <w:t xml:space="preserve">et A can be configured by the existing IE resourcesForChannelMeasurement in csi-ReportConfig. Set B can be configured by a new IE which has </w:t>
      </w:r>
      <w:r w:rsidR="0088621B" w:rsidRPr="008D1129">
        <w:rPr>
          <w:b/>
          <w:bCs/>
          <w:i/>
          <w:iCs/>
        </w:rPr>
        <w:t>csi</w:t>
      </w:r>
      <w:r w:rsidR="00352370" w:rsidRPr="008D1129">
        <w:rPr>
          <w:b/>
          <w:bCs/>
          <w:i/>
          <w:iCs/>
        </w:rPr>
        <w:t>-ResourceConfigId as its value.</w:t>
      </w:r>
    </w:p>
    <w:bookmarkEnd w:id="0"/>
    <w:bookmarkEnd w:id="1"/>
    <w:p w14:paraId="4D5CB085" w14:textId="77777777" w:rsidR="00145F85" w:rsidRDefault="00145F85" w:rsidP="00145F85">
      <w:pPr>
        <w:spacing w:after="0"/>
        <w:rPr>
          <w:rFonts w:eastAsia="Times New Roman"/>
          <w:b/>
          <w:bCs/>
          <w:i/>
          <w:iCs/>
          <w:lang w:eastAsia="zh-CN"/>
        </w:rPr>
      </w:pPr>
    </w:p>
    <w:p w14:paraId="7986C246" w14:textId="55C74934" w:rsidR="00C65833" w:rsidRDefault="00C65833" w:rsidP="00C65833">
      <w:pPr>
        <w:pStyle w:val="Heading3"/>
        <w:numPr>
          <w:ilvl w:val="2"/>
          <w:numId w:val="9"/>
        </w:numPr>
        <w:rPr>
          <w:rFonts w:ascii="Times New Roman" w:hAnsi="Times New Roman"/>
          <w:sz w:val="24"/>
          <w:szCs w:val="24"/>
        </w:rPr>
      </w:pPr>
      <w:r w:rsidRPr="00C65833">
        <w:rPr>
          <w:rFonts w:ascii="Times New Roman" w:hAnsi="Times New Roman"/>
          <w:sz w:val="24"/>
          <w:szCs w:val="24"/>
        </w:rPr>
        <w:t>Max number of reported beam &amp; Max number of measured RS</w:t>
      </w:r>
    </w:p>
    <w:p w14:paraId="76FE32D5" w14:textId="0D248835" w:rsidR="00C65833" w:rsidRPr="00C65833" w:rsidRDefault="00C65833" w:rsidP="00895092">
      <w:pPr>
        <w:jc w:val="both"/>
        <w:rPr>
          <w:lang w:val="en-GB" w:eastAsia="zh-TW"/>
        </w:rPr>
      </w:pPr>
      <w:r>
        <w:rPr>
          <w:lang w:val="en-GB"/>
        </w:rPr>
        <w:t xml:space="preserve">In RAN1#120 and </w:t>
      </w:r>
      <w:r>
        <w:rPr>
          <w:lang w:val="en-GB"/>
        </w:rPr>
        <w:fldChar w:fldCharType="begin"/>
      </w:r>
      <w:r>
        <w:rPr>
          <w:lang w:val="en-GB"/>
        </w:rPr>
        <w:instrText xml:space="preserve"> REF _Ref194008353 \r \h  \* MERGEFORMAT </w:instrText>
      </w:r>
      <w:r>
        <w:rPr>
          <w:lang w:val="en-GB"/>
        </w:rPr>
      </w:r>
      <w:r>
        <w:rPr>
          <w:lang w:val="en-GB"/>
        </w:rPr>
        <w:fldChar w:fldCharType="separate"/>
      </w:r>
      <w:r w:rsidR="00F43834">
        <w:rPr>
          <w:lang w:val="en-GB"/>
        </w:rPr>
        <w:t>[4]</w:t>
      </w:r>
      <w:r>
        <w:rPr>
          <w:lang w:val="en-GB"/>
        </w:rPr>
        <w:fldChar w:fldCharType="end"/>
      </w:r>
      <w:r>
        <w:rPr>
          <w:lang w:val="en-GB"/>
        </w:rPr>
        <w:t xml:space="preserve">, a proposal </w:t>
      </w:r>
      <w:r>
        <w:rPr>
          <w:rFonts w:hint="eastAsia"/>
          <w:lang w:val="en-GB" w:eastAsia="zh-TW"/>
        </w:rPr>
        <w:t>h</w:t>
      </w:r>
      <w:r>
        <w:rPr>
          <w:lang w:val="en-GB" w:eastAsia="zh-TW"/>
        </w:rPr>
        <w:t xml:space="preserve">as been brought out to extend the value of </w:t>
      </w:r>
      <w:r w:rsidRPr="00C65833">
        <w:rPr>
          <w:lang w:val="en-GB" w:eastAsia="zh-TW"/>
        </w:rPr>
        <w:t>maxNrofNZP-CSI-RS-ResourcesPerSet</w:t>
      </w:r>
      <w:r>
        <w:rPr>
          <w:lang w:val="en-GB" w:eastAsia="zh-TW"/>
        </w:rPr>
        <w:t xml:space="preserve">. Currently, the maximum number of NZP-CSI-RS-Resources per resource set is 64. We understand the motivation of extending it to higher value (e.g., 256) to accommodate more finer beams in the future FR2 environment. However, such modification needs to be considered more thoroughly. For example, whether this extension is for applicable only for the AI/ML features? </w:t>
      </w:r>
      <w:r w:rsidR="00895092">
        <w:rPr>
          <w:lang w:val="en-GB" w:eastAsia="zh-TW"/>
        </w:rPr>
        <w:t>The overhead of measuring 256 beams for a normal F</w:t>
      </w:r>
      <w:r w:rsidR="00895092">
        <w:rPr>
          <w:rFonts w:hint="eastAsia"/>
          <w:lang w:val="en-GB" w:eastAsia="zh-TW"/>
        </w:rPr>
        <w:t>R</w:t>
      </w:r>
      <w:r w:rsidR="00895092">
        <w:rPr>
          <w:lang w:val="en-GB" w:eastAsia="zh-TW"/>
        </w:rPr>
        <w:t xml:space="preserve">2 BM report </w:t>
      </w:r>
      <w:r w:rsidR="00895092">
        <w:rPr>
          <w:rFonts w:hint="eastAsia"/>
          <w:lang w:val="en-GB" w:eastAsia="zh-TW"/>
        </w:rPr>
        <w:t>m</w:t>
      </w:r>
      <w:r w:rsidR="00895092">
        <w:rPr>
          <w:lang w:val="en-GB" w:eastAsia="zh-TW"/>
        </w:rPr>
        <w:t xml:space="preserve">ay be prohibitively large. Therefore, the support of 256 beams in one resource set might only be considered under the case when AI/ML feature is enabled, which cannot be implemented simply as changing the value of maxNrofNZP-CSI-RS-ResourcesPerSet. Furthermore, the current spec already support configuring multiple resource sets in one </w:t>
      </w:r>
      <w:r w:rsidR="00895092">
        <w:rPr>
          <w:i/>
          <w:iCs/>
        </w:rPr>
        <w:t>CSI-ResourceConfig</w:t>
      </w:r>
      <w:r w:rsidR="00895092">
        <w:rPr>
          <w:lang w:val="en-GB" w:eastAsia="zh-TW"/>
        </w:rPr>
        <w:t xml:space="preserve">. To configure 256 beams for Set A for measurement, NW can configure 4 resource sets, each set contains 64 beams, in the </w:t>
      </w:r>
      <w:r w:rsidR="00895092">
        <w:rPr>
          <w:i/>
          <w:iCs/>
        </w:rPr>
        <w:t>CSI-ResourceConfig</w:t>
      </w:r>
      <w:r w:rsidR="00895092">
        <w:rPr>
          <w:lang w:eastAsia="zh-TW"/>
        </w:rPr>
        <w:t xml:space="preserve"> f</w:t>
      </w:r>
      <w:r w:rsidR="00895092">
        <w:rPr>
          <w:lang w:val="en-GB" w:eastAsia="zh-TW"/>
        </w:rPr>
        <w:t xml:space="preserve">or Set A. </w:t>
      </w:r>
    </w:p>
    <w:p w14:paraId="33168F78" w14:textId="037A1C95" w:rsidR="00F334AD" w:rsidRDefault="00895092" w:rsidP="00895092">
      <w:pPr>
        <w:spacing w:after="0"/>
        <w:rPr>
          <w:b/>
          <w:bCs/>
          <w:i/>
          <w:iCs/>
        </w:rPr>
      </w:pPr>
      <w:r>
        <w:rPr>
          <w:b/>
          <w:bCs/>
          <w:i/>
          <w:iCs/>
        </w:rPr>
        <w:t>Proposal 1</w:t>
      </w:r>
      <w:r w:rsidR="0072446B">
        <w:rPr>
          <w:b/>
          <w:bCs/>
          <w:i/>
          <w:iCs/>
        </w:rPr>
        <w:t>8</w:t>
      </w:r>
      <w:r>
        <w:rPr>
          <w:b/>
          <w:bCs/>
          <w:i/>
          <w:iCs/>
        </w:rPr>
        <w:t xml:space="preserve">: </w:t>
      </w:r>
      <w:r w:rsidRPr="00895092">
        <w:rPr>
          <w:b/>
          <w:bCs/>
          <w:i/>
          <w:iCs/>
        </w:rPr>
        <w:t xml:space="preserve">For both NW-side model and UE-side model, </w:t>
      </w:r>
      <w:r w:rsidRPr="00895092">
        <w:rPr>
          <w:rFonts w:hint="eastAsia"/>
          <w:b/>
          <w:bCs/>
          <w:i/>
          <w:iCs/>
        </w:rPr>
        <w:t xml:space="preserve">for monitoring and data collection (when applicable), </w:t>
      </w:r>
      <w:r w:rsidR="001F1E5C">
        <w:rPr>
          <w:b/>
          <w:bCs/>
          <w:i/>
          <w:iCs/>
          <w:lang w:eastAsia="zh-TW"/>
        </w:rPr>
        <w:t>to support number of Set A beams &gt; 64</w:t>
      </w:r>
      <w:r w:rsidR="001F1E5C">
        <w:rPr>
          <w:b/>
          <w:bCs/>
          <w:i/>
          <w:iCs/>
        </w:rPr>
        <w:t xml:space="preserve">, </w:t>
      </w:r>
      <w:r w:rsidRPr="00895092">
        <w:rPr>
          <w:rFonts w:hint="eastAsia"/>
          <w:b/>
          <w:bCs/>
          <w:i/>
          <w:iCs/>
        </w:rPr>
        <w:t>up to 4 resource sets can be configured for Set A in one CSI report configuration.</w:t>
      </w:r>
    </w:p>
    <w:p w14:paraId="7EADF6B1" w14:textId="77777777" w:rsidR="00F334AD" w:rsidRDefault="00F334AD" w:rsidP="00895092">
      <w:pPr>
        <w:spacing w:after="0"/>
        <w:rPr>
          <w:b/>
          <w:bCs/>
          <w:i/>
          <w:iCs/>
        </w:rPr>
      </w:pPr>
    </w:p>
    <w:p w14:paraId="432FB63B" w14:textId="77777777" w:rsidR="00F334AD" w:rsidRPr="00895092" w:rsidRDefault="00F334AD" w:rsidP="00895092">
      <w:pPr>
        <w:spacing w:after="0"/>
        <w:rPr>
          <w:b/>
          <w:bCs/>
          <w:i/>
          <w:iCs/>
        </w:rPr>
      </w:pPr>
    </w:p>
    <w:p w14:paraId="77CEAE62" w14:textId="77777777" w:rsidR="00145F85" w:rsidRDefault="00145F85">
      <w:pPr>
        <w:pStyle w:val="Heading2"/>
        <w:numPr>
          <w:ilvl w:val="1"/>
          <w:numId w:val="9"/>
        </w:numPr>
        <w:rPr>
          <w:rFonts w:ascii="Times New Roman" w:hAnsi="Times New Roman"/>
          <w:sz w:val="28"/>
          <w:szCs w:val="28"/>
        </w:rPr>
      </w:pPr>
      <w:r>
        <w:rPr>
          <w:rFonts w:ascii="Times New Roman" w:hAnsi="Times New Roman"/>
          <w:sz w:val="28"/>
          <w:szCs w:val="28"/>
        </w:rPr>
        <w:t>Beam indication</w:t>
      </w:r>
    </w:p>
    <w:p w14:paraId="4F04DD56" w14:textId="77777777" w:rsidR="00145F85" w:rsidRDefault="00145F85" w:rsidP="00145F85">
      <w:pPr>
        <w:overflowPunct w:val="0"/>
        <w:autoSpaceDE w:val="0"/>
        <w:autoSpaceDN w:val="0"/>
        <w:adjustRightInd w:val="0"/>
        <w:jc w:val="both"/>
        <w:textAlignment w:val="baseline"/>
        <w:rPr>
          <w:lang w:val="en-GB"/>
        </w:rPr>
      </w:pPr>
      <w:r>
        <w:rPr>
          <w:lang w:val="en-GB"/>
        </w:rPr>
        <w:t>For beam indication after model inference, currently there is one agreement made in RAN1#116:</w:t>
      </w:r>
    </w:p>
    <w:tbl>
      <w:tblPr>
        <w:tblStyle w:val="TableGrid"/>
        <w:tblW w:w="0" w:type="auto"/>
        <w:tblLook w:val="04A0" w:firstRow="1" w:lastRow="0" w:firstColumn="1" w:lastColumn="0" w:noHBand="0" w:noVBand="1"/>
      </w:tblPr>
      <w:tblGrid>
        <w:gridCol w:w="9631"/>
      </w:tblGrid>
      <w:tr w:rsidR="00145F85" w14:paraId="26235D97" w14:textId="77777777" w:rsidTr="00145F85">
        <w:tc>
          <w:tcPr>
            <w:tcW w:w="9631" w:type="dxa"/>
            <w:tcBorders>
              <w:top w:val="single" w:sz="4" w:space="0" w:color="auto"/>
              <w:left w:val="single" w:sz="4" w:space="0" w:color="auto"/>
              <w:bottom w:val="single" w:sz="4" w:space="0" w:color="auto"/>
              <w:right w:val="single" w:sz="4" w:space="0" w:color="auto"/>
            </w:tcBorders>
            <w:hideMark/>
          </w:tcPr>
          <w:p w14:paraId="08AC1046" w14:textId="77777777" w:rsidR="00145F85" w:rsidRDefault="00145F85">
            <w:pPr>
              <w:rPr>
                <w:rFonts w:eastAsia="DengXian"/>
                <w:sz w:val="20"/>
                <w:highlight w:val="green"/>
                <w:lang w:eastAsia="zh-CN"/>
              </w:rPr>
            </w:pPr>
            <w:r>
              <w:rPr>
                <w:rFonts w:eastAsia="DengXian"/>
                <w:highlight w:val="green"/>
                <w:lang w:eastAsia="zh-CN"/>
              </w:rPr>
              <w:t>Agreement</w:t>
            </w:r>
          </w:p>
          <w:p w14:paraId="4BF913B6" w14:textId="77777777" w:rsidR="00145F85" w:rsidRDefault="00145F85">
            <w:pPr>
              <w:numPr>
                <w:ilvl w:val="0"/>
                <w:numId w:val="49"/>
              </w:numPr>
              <w:spacing w:after="0"/>
              <w:rPr>
                <w:rFonts w:eastAsia="Malgun Gothic"/>
                <w:lang w:val="en-GB" w:eastAsia="ko-KR"/>
              </w:rPr>
            </w:pPr>
            <w:r>
              <w:t xml:space="preserve">For NW-sided model and for UE-sided model, </w:t>
            </w:r>
            <w:r>
              <w:rPr>
                <w:rFonts w:eastAsia="Times New Roman"/>
                <w:lang w:eastAsia="zh-CN"/>
              </w:rPr>
              <w:t xml:space="preserve">beam indication </w:t>
            </w:r>
            <w:r>
              <w:t>is based on unified TCI state framework</w:t>
            </w:r>
          </w:p>
          <w:p w14:paraId="2D76157E" w14:textId="77777777" w:rsidR="00145F85" w:rsidRDefault="00145F85">
            <w:pPr>
              <w:pStyle w:val="ListParagraph"/>
              <w:numPr>
                <w:ilvl w:val="0"/>
                <w:numId w:val="50"/>
              </w:numPr>
              <w:ind w:left="1160"/>
              <w:rPr>
                <w:b/>
                <w:bCs/>
              </w:rPr>
            </w:pPr>
            <w:r>
              <w:t>FFS on whether/how potential enhancement is needed</w:t>
            </w:r>
          </w:p>
        </w:tc>
      </w:tr>
    </w:tbl>
    <w:p w14:paraId="35CA2307" w14:textId="77777777" w:rsidR="00145F85" w:rsidRDefault="00145F85" w:rsidP="00145F85">
      <w:pPr>
        <w:overflowPunct w:val="0"/>
        <w:autoSpaceDE w:val="0"/>
        <w:autoSpaceDN w:val="0"/>
        <w:adjustRightInd w:val="0"/>
        <w:contextualSpacing/>
        <w:jc w:val="both"/>
        <w:textAlignment w:val="baseline"/>
        <w:rPr>
          <w:lang w:val="en-GB"/>
        </w:rPr>
      </w:pPr>
    </w:p>
    <w:p w14:paraId="26AE8DB9" w14:textId="77777777" w:rsidR="00145F85" w:rsidRDefault="00145F85" w:rsidP="00145F85">
      <w:pPr>
        <w:overflowPunct w:val="0"/>
        <w:autoSpaceDE w:val="0"/>
        <w:autoSpaceDN w:val="0"/>
        <w:adjustRightInd w:val="0"/>
        <w:contextualSpacing/>
        <w:jc w:val="both"/>
        <w:textAlignment w:val="baseline"/>
        <w:rPr>
          <w:lang w:val="en-GB"/>
        </w:rPr>
      </w:pPr>
      <w:r>
        <w:rPr>
          <w:lang w:val="en-GB"/>
        </w:rPr>
        <w:t xml:space="preserve">During the offline discussions of RAN1#116 to RAN1#117, there are some discussions on the possible enhancements on </w:t>
      </w:r>
      <w:r>
        <w:t>unified TCI state framework for</w:t>
      </w:r>
      <w:r>
        <w:rPr>
          <w:lang w:val="en-GB"/>
        </w:rPr>
        <w:t xml:space="preserve"> beam indication for AI/ML-based beam management. One of the proposals is the following:</w:t>
      </w:r>
    </w:p>
    <w:p w14:paraId="117FC54E" w14:textId="77777777" w:rsidR="00145F85" w:rsidRDefault="00145F85">
      <w:pPr>
        <w:pStyle w:val="ListParagraph"/>
        <w:numPr>
          <w:ilvl w:val="0"/>
          <w:numId w:val="51"/>
        </w:numPr>
        <w:overflowPunct w:val="0"/>
        <w:autoSpaceDE w:val="0"/>
        <w:autoSpaceDN w:val="0"/>
        <w:adjustRightInd w:val="0"/>
        <w:jc w:val="both"/>
        <w:textAlignment w:val="baseline"/>
        <w:rPr>
          <w:lang w:val="en-GB"/>
        </w:rPr>
      </w:pPr>
      <w:r>
        <w:rPr>
          <w:lang w:val="en-GB"/>
        </w:rPr>
        <w:t>For BM-Case2 (both UE-sided and NW-sided model), extend the Rel-17 TCI state activation/indication signalling methods to activate/indicate N TCI states which are corresponding to N future time instances</w:t>
      </w:r>
    </w:p>
    <w:p w14:paraId="6DC105AB" w14:textId="77777777" w:rsidR="00145F85" w:rsidRDefault="00145F85">
      <w:pPr>
        <w:pStyle w:val="ListParagraph"/>
        <w:numPr>
          <w:ilvl w:val="1"/>
          <w:numId w:val="51"/>
        </w:numPr>
        <w:overflowPunct w:val="0"/>
        <w:autoSpaceDE w:val="0"/>
        <w:autoSpaceDN w:val="0"/>
        <w:adjustRightInd w:val="0"/>
        <w:spacing w:after="0"/>
        <w:contextualSpacing/>
        <w:jc w:val="both"/>
        <w:textAlignment w:val="baseline"/>
        <w:rPr>
          <w:lang w:val="en-GB"/>
        </w:rPr>
      </w:pPr>
      <w:r>
        <w:rPr>
          <w:lang w:val="en-GB"/>
        </w:rPr>
        <w:t xml:space="preserve">FFS: maximum number for N </w:t>
      </w:r>
    </w:p>
    <w:p w14:paraId="21036423" w14:textId="77777777" w:rsidR="00145F85" w:rsidRDefault="00145F85">
      <w:pPr>
        <w:pStyle w:val="ListParagraph"/>
        <w:numPr>
          <w:ilvl w:val="1"/>
          <w:numId w:val="51"/>
        </w:numPr>
        <w:overflowPunct w:val="0"/>
        <w:autoSpaceDE w:val="0"/>
        <w:autoSpaceDN w:val="0"/>
        <w:adjustRightInd w:val="0"/>
        <w:spacing w:after="0"/>
        <w:contextualSpacing/>
        <w:jc w:val="both"/>
        <w:textAlignment w:val="baseline"/>
        <w:rPr>
          <w:lang w:val="en-GB"/>
        </w:rPr>
      </w:pPr>
      <w:r>
        <w:rPr>
          <w:lang w:val="en-GB"/>
        </w:rPr>
        <w:lastRenderedPageBreak/>
        <w:t>FFS: Time periods that each indicated TCI state is applicable.</w:t>
      </w:r>
    </w:p>
    <w:p w14:paraId="1A2565AA" w14:textId="77777777" w:rsidR="00145F85" w:rsidRDefault="00145F85" w:rsidP="00145F85">
      <w:pPr>
        <w:jc w:val="both"/>
        <w:rPr>
          <w:rFonts w:eastAsia="SimSun"/>
          <w:bCs/>
          <w:iCs/>
          <w:szCs w:val="24"/>
          <w:lang w:eastAsia="zh-CN"/>
        </w:rPr>
      </w:pPr>
      <w:r>
        <w:rPr>
          <w:rFonts w:eastAsia="SimSun"/>
          <w:bCs/>
          <w:iCs/>
          <w:szCs w:val="24"/>
          <w:lang w:eastAsia="zh-CN"/>
        </w:rPr>
        <w:t>In our view, this proposal is not essential and can be deprioritized, for the following reason:</w:t>
      </w:r>
    </w:p>
    <w:p w14:paraId="27B9E128" w14:textId="77777777" w:rsidR="00145F85" w:rsidRDefault="00145F85" w:rsidP="00145F85">
      <w:pPr>
        <w:jc w:val="both"/>
        <w:rPr>
          <w:rFonts w:eastAsia="SimSun"/>
          <w:bCs/>
          <w:iCs/>
          <w:szCs w:val="24"/>
          <w:lang w:eastAsia="zh-CN"/>
        </w:rPr>
      </w:pPr>
      <w:r>
        <w:rPr>
          <w:rFonts w:eastAsia="SimSun"/>
          <w:bCs/>
          <w:iCs/>
          <w:szCs w:val="24"/>
          <w:lang w:eastAsia="zh-CN"/>
        </w:rPr>
        <w:t>(a) the overhead saving would only occur if model output is Top-1. If the model output is Top-K&gt;1 beams for each future time instance, a P2 beam sweeping would be needed at each future time instance.</w:t>
      </w:r>
    </w:p>
    <w:p w14:paraId="20FF906D" w14:textId="77777777" w:rsidR="00145F85" w:rsidRDefault="00145F85" w:rsidP="00145F85">
      <w:pPr>
        <w:jc w:val="both"/>
        <w:rPr>
          <w:rFonts w:eastAsia="SimSun"/>
          <w:bCs/>
          <w:iCs/>
          <w:szCs w:val="24"/>
          <w:lang w:eastAsia="zh-CN"/>
        </w:rPr>
      </w:pPr>
      <w:r>
        <w:rPr>
          <w:rFonts w:eastAsia="SimSun"/>
          <w:bCs/>
          <w:iCs/>
          <w:szCs w:val="24"/>
          <w:lang w:eastAsia="zh-CN"/>
        </w:rPr>
        <w:t xml:space="preserve">(b) In the TCI mechanism, only activated TCI states can be indicated by DCI. But currently only 8 active TCI states are supported. Therefore, the number of the distinct future beams cannot be more than 8. (e.g., NW cannot pre-indicate 10 future time slots, where all the time slots have different best beams, that will require &gt; 8 active TCI states) </w:t>
      </w:r>
    </w:p>
    <w:p w14:paraId="075477B9" w14:textId="77777777" w:rsidR="00145F85" w:rsidRDefault="00145F85" w:rsidP="00145F85">
      <w:pPr>
        <w:jc w:val="both"/>
        <w:rPr>
          <w:rFonts w:eastAsia="SimSun"/>
          <w:bCs/>
          <w:iCs/>
          <w:szCs w:val="24"/>
          <w:lang w:eastAsia="zh-CN"/>
        </w:rPr>
      </w:pPr>
      <w:r>
        <w:rPr>
          <w:rFonts w:eastAsia="SimSun"/>
          <w:bCs/>
          <w:iCs/>
          <w:szCs w:val="24"/>
          <w:lang w:eastAsia="zh-CN"/>
        </w:rPr>
        <w:t>(c) RAN1 may need to specify another mechanism to handle the case when NW want to change a pre-indicated beam</w:t>
      </w:r>
    </w:p>
    <w:p w14:paraId="4E81AAAE" w14:textId="056D59F4" w:rsidR="00145F85" w:rsidRDefault="00145F85" w:rsidP="00145F85">
      <w:pPr>
        <w:overflowPunct w:val="0"/>
        <w:autoSpaceDE w:val="0"/>
        <w:autoSpaceDN w:val="0"/>
        <w:adjustRightInd w:val="0"/>
        <w:jc w:val="both"/>
        <w:textAlignment w:val="baseline"/>
      </w:pPr>
      <w:r>
        <w:rPr>
          <w:rFonts w:eastAsia="SimSun"/>
          <w:bCs/>
          <w:iCs/>
          <w:szCs w:val="24"/>
          <w:lang w:eastAsia="zh-CN"/>
        </w:rPr>
        <w:t xml:space="preserve">(d) it may potentially limit the capability of NW for choosing a different Tx beam based on newly reported beam information from other UEs during the future N time instances. The newly reported beam information by other UEs at the future N time instances may make NW changing its mind and indicates a new beam (TCI state) other than using the pre-indicated predicted beams. Below is a simple example with a hypothesis on NW will tend to pick the beam which can serve more UEs simultaneously. As shown in </w:t>
      </w:r>
      <w:r>
        <w:rPr>
          <w:rFonts w:eastAsia="SimSun"/>
          <w:bCs/>
          <w:iCs/>
          <w:szCs w:val="24"/>
          <w:lang w:eastAsia="zh-CN"/>
        </w:rPr>
        <w:fldChar w:fldCharType="begin"/>
      </w:r>
      <w:r>
        <w:rPr>
          <w:rFonts w:eastAsia="SimSun"/>
          <w:bCs/>
          <w:iCs/>
          <w:szCs w:val="24"/>
          <w:lang w:eastAsia="zh-CN"/>
        </w:rPr>
        <w:instrText xml:space="preserve"> REF _Ref166189050 \h  \* MERGEFORMAT </w:instrText>
      </w:r>
      <w:r>
        <w:rPr>
          <w:rFonts w:eastAsia="SimSun"/>
          <w:bCs/>
          <w:iCs/>
          <w:szCs w:val="24"/>
          <w:lang w:eastAsia="zh-CN"/>
        </w:rPr>
      </w:r>
      <w:r>
        <w:rPr>
          <w:rFonts w:eastAsia="SimSun"/>
          <w:bCs/>
          <w:iCs/>
          <w:szCs w:val="24"/>
          <w:lang w:eastAsia="zh-CN"/>
        </w:rPr>
        <w:fldChar w:fldCharType="separate"/>
      </w:r>
      <w:r w:rsidR="00F43834" w:rsidRPr="00F43834">
        <w:rPr>
          <w:bCs/>
          <w:iCs/>
          <w:lang w:eastAsia="zh-CN"/>
        </w:rPr>
        <w:t xml:space="preserve">Figure </w:t>
      </w:r>
      <w:r w:rsidR="00F43834" w:rsidRPr="00F43834">
        <w:rPr>
          <w:bCs/>
          <w:iCs/>
          <w:noProof/>
          <w:lang w:eastAsia="zh-CN"/>
        </w:rPr>
        <w:t>4</w:t>
      </w:r>
      <w:r>
        <w:rPr>
          <w:rFonts w:eastAsia="SimSun"/>
          <w:bCs/>
          <w:iCs/>
          <w:szCs w:val="24"/>
          <w:lang w:eastAsia="zh-CN"/>
        </w:rPr>
        <w:fldChar w:fldCharType="end"/>
      </w:r>
      <w:r>
        <w:rPr>
          <w:rFonts w:eastAsia="SimSun"/>
          <w:bCs/>
          <w:iCs/>
          <w:szCs w:val="24"/>
          <w:lang w:eastAsia="zh-CN"/>
        </w:rPr>
        <w:t>, consider the following case where an AI/ML UE1 is static and operates a BM Case2 model and another UE2 is moving and operates a BM Case1 model. If NW indicates future N TCI states at time 0 to UE1 based on UE1’s prediction, NW will indicate beam 1 for all the future N time instances. However, since UE2 is moving, at time T (one of the future time instances), UE2 will report that beam 1 is no longer within its Top-K beam while beam 2 is. At this time, the beam that can simultaneously serve both UE1 and UE2 becomes beam2. In this case, NW still needs one DCI to activate beam2 at time T, then the additional DCI overhead for activating N future TCI states for UE 1 at time 0 is wasted.</w:t>
      </w:r>
      <w:r>
        <w:t xml:space="preserve"> </w:t>
      </w:r>
    </w:p>
    <w:p w14:paraId="5F7DB112" w14:textId="77777777" w:rsidR="00145F85" w:rsidRDefault="00145F85" w:rsidP="00145F85">
      <w:pPr>
        <w:overflowPunct w:val="0"/>
        <w:autoSpaceDE w:val="0"/>
        <w:autoSpaceDN w:val="0"/>
        <w:adjustRightInd w:val="0"/>
        <w:jc w:val="both"/>
        <w:textAlignment w:val="baseline"/>
      </w:pPr>
      <w:r>
        <w:t>Therefore, the overall benefit needs to be further justified for this enhancement. Furthermore, this may require RAN4 involvement for the new time limitation for known/unknown TCI states. The corresponding standardization effort is huge while the potential benefit so far is not clear.</w:t>
      </w:r>
    </w:p>
    <w:p w14:paraId="73FEF3E6" w14:textId="6FFD8CC5" w:rsidR="00145F85" w:rsidRDefault="00145F85" w:rsidP="00145F85">
      <w:pPr>
        <w:overflowPunct w:val="0"/>
        <w:autoSpaceDE w:val="0"/>
        <w:autoSpaceDN w:val="0"/>
        <w:adjustRightInd w:val="0"/>
        <w:contextualSpacing/>
        <w:jc w:val="both"/>
        <w:textAlignment w:val="baseline"/>
      </w:pPr>
      <w:r>
        <w:rPr>
          <w:b/>
          <w:bCs/>
          <w:i/>
          <w:iCs/>
        </w:rPr>
        <w:t xml:space="preserve">Proposal </w:t>
      </w:r>
      <w:r w:rsidR="00BC21EB">
        <w:rPr>
          <w:b/>
          <w:bCs/>
          <w:i/>
          <w:iCs/>
        </w:rPr>
        <w:t>1</w:t>
      </w:r>
      <w:r w:rsidR="0072446B">
        <w:rPr>
          <w:b/>
          <w:bCs/>
          <w:i/>
          <w:iCs/>
        </w:rPr>
        <w:t>9</w:t>
      </w:r>
      <w:r>
        <w:rPr>
          <w:b/>
          <w:bCs/>
          <w:i/>
          <w:iCs/>
        </w:rPr>
        <w:t xml:space="preserve">: For AI/ML-based BM, at this stage, there is no further enhancement needed for </w:t>
      </w:r>
      <w:r w:rsidR="00992B94">
        <w:rPr>
          <w:b/>
          <w:bCs/>
          <w:i/>
          <w:iCs/>
        </w:rPr>
        <w:t xml:space="preserve">TCI and </w:t>
      </w:r>
      <w:r>
        <w:rPr>
          <w:b/>
          <w:bCs/>
          <w:i/>
          <w:iCs/>
        </w:rPr>
        <w:t>beam indication based on unified TCI state framework.</w:t>
      </w:r>
    </w:p>
    <w:p w14:paraId="16DFC222" w14:textId="77777777" w:rsidR="00145F85" w:rsidRDefault="00145F85" w:rsidP="00145F85">
      <w:pPr>
        <w:jc w:val="both"/>
        <w:rPr>
          <w:rFonts w:eastAsia="SimSun"/>
          <w:bCs/>
          <w:iCs/>
          <w:szCs w:val="24"/>
          <w:lang w:eastAsia="zh-CN"/>
        </w:rPr>
      </w:pPr>
    </w:p>
    <w:p w14:paraId="17F37314" w14:textId="1F66FD69" w:rsidR="00EF5976" w:rsidRPr="00447492" w:rsidRDefault="009A15B1" w:rsidP="00447492">
      <w:pPr>
        <w:jc w:val="center"/>
        <w:rPr>
          <w:lang w:eastAsia="zh-TW"/>
        </w:rPr>
      </w:pPr>
      <w:r>
        <w:rPr>
          <w:noProof/>
        </w:rPr>
        <w:drawing>
          <wp:anchor distT="0" distB="0" distL="114300" distR="114300" simplePos="0" relativeHeight="251659264" behindDoc="0" locked="0" layoutInCell="1" allowOverlap="1" wp14:anchorId="184E2725" wp14:editId="7C20952A">
            <wp:simplePos x="0" y="0"/>
            <wp:positionH relativeFrom="margin">
              <wp:posOffset>1784350</wp:posOffset>
            </wp:positionH>
            <wp:positionV relativeFrom="paragraph">
              <wp:posOffset>146685</wp:posOffset>
            </wp:positionV>
            <wp:extent cx="2854960" cy="187071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4960" cy="1870710"/>
                    </a:xfrm>
                    <a:prstGeom prst="rect">
                      <a:avLst/>
                    </a:prstGeom>
                    <a:noFill/>
                  </pic:spPr>
                </pic:pic>
              </a:graphicData>
            </a:graphic>
            <wp14:sizeRelH relativeFrom="margin">
              <wp14:pctWidth>0</wp14:pctWidth>
            </wp14:sizeRelH>
            <wp14:sizeRelV relativeFrom="margin">
              <wp14:pctHeight>0</wp14:pctHeight>
            </wp14:sizeRelV>
          </wp:anchor>
        </w:drawing>
      </w:r>
      <w:bookmarkStart w:id="9" w:name="_Ref166189050"/>
      <w:r>
        <w:rPr>
          <w:b/>
          <w:iCs/>
          <w:lang w:eastAsia="zh-CN"/>
        </w:rPr>
        <w:t xml:space="preserve">Figure </w:t>
      </w:r>
      <w:r>
        <w:fldChar w:fldCharType="begin"/>
      </w:r>
      <w:r>
        <w:rPr>
          <w:b/>
          <w:iCs/>
          <w:lang w:eastAsia="zh-CN"/>
        </w:rPr>
        <w:instrText xml:space="preserve"> SEQ Figure \* ARABIC </w:instrText>
      </w:r>
      <w:r>
        <w:fldChar w:fldCharType="separate"/>
      </w:r>
      <w:r w:rsidR="00F43834">
        <w:rPr>
          <w:b/>
          <w:iCs/>
          <w:noProof/>
          <w:lang w:eastAsia="zh-CN"/>
        </w:rPr>
        <w:t>4</w:t>
      </w:r>
      <w:r>
        <w:fldChar w:fldCharType="end"/>
      </w:r>
      <w:bookmarkEnd w:id="9"/>
      <w:r>
        <w:rPr>
          <w:b/>
          <w:iCs/>
          <w:lang w:eastAsia="zh-CN"/>
        </w:rPr>
        <w:t>: An example of NW changes the serving beam based on the new reported conditions from the legacy UE.</w:t>
      </w:r>
    </w:p>
    <w:p w14:paraId="07F870E9" w14:textId="77777777" w:rsidR="00AB60C0" w:rsidRDefault="00AB60C0" w:rsidP="00AB60C0">
      <w:pPr>
        <w:jc w:val="both"/>
        <w:rPr>
          <w:lang w:eastAsia="zh-TW"/>
        </w:rPr>
      </w:pPr>
      <w:bookmarkStart w:id="10" w:name="_Ref166233221"/>
    </w:p>
    <w:p w14:paraId="7A738863" w14:textId="77777777" w:rsidR="0072446B" w:rsidRPr="00CB1461" w:rsidRDefault="0072446B" w:rsidP="00AB60C0">
      <w:pPr>
        <w:jc w:val="both"/>
      </w:pPr>
    </w:p>
    <w:p w14:paraId="0E860188" w14:textId="77FBF47B" w:rsidR="00793CCA" w:rsidRPr="00D9611D" w:rsidRDefault="00793CCA" w:rsidP="00793CCA">
      <w:pPr>
        <w:pStyle w:val="Heading2"/>
        <w:numPr>
          <w:ilvl w:val="1"/>
          <w:numId w:val="9"/>
        </w:numPr>
        <w:rPr>
          <w:rFonts w:ascii="Times New Roman" w:hAnsi="Times New Roman"/>
          <w:sz w:val="28"/>
          <w:szCs w:val="28"/>
        </w:rPr>
      </w:pPr>
      <w:r>
        <w:rPr>
          <w:rFonts w:ascii="Times New Roman" w:hAnsi="Times New Roman"/>
          <w:sz w:val="28"/>
          <w:szCs w:val="28"/>
        </w:rPr>
        <w:lastRenderedPageBreak/>
        <w:t>Discussion on UE features:</w:t>
      </w:r>
    </w:p>
    <w:p w14:paraId="1D213471" w14:textId="77777777" w:rsidR="00BF75C0" w:rsidRDefault="00BF75C0" w:rsidP="00BF75C0">
      <w:pPr>
        <w:pStyle w:val="Heading3"/>
        <w:numPr>
          <w:ilvl w:val="2"/>
          <w:numId w:val="9"/>
        </w:numPr>
        <w:rPr>
          <w:rFonts w:ascii="Times New Roman" w:hAnsi="Times New Roman"/>
          <w:szCs w:val="28"/>
        </w:rPr>
      </w:pPr>
      <w:r>
        <w:rPr>
          <w:rFonts w:ascii="Times New Roman" w:eastAsia="SimSun" w:hAnsi="Times New Roman"/>
          <w:szCs w:val="24"/>
          <w:lang w:val="en-US" w:eastAsia="zh-CN"/>
        </w:rPr>
        <w:t>Beam report timing</w:t>
      </w:r>
      <w:r>
        <w:rPr>
          <w:rFonts w:ascii="Times New Roman" w:hAnsi="Times New Roman"/>
          <w:szCs w:val="28"/>
        </w:rPr>
        <w:t xml:space="preserve"> for UE-sided model</w:t>
      </w:r>
    </w:p>
    <w:p w14:paraId="1DE58F38" w14:textId="4D7B7EDA" w:rsidR="00BF75C0" w:rsidRDefault="00BF75C0" w:rsidP="00BF75C0">
      <w:pPr>
        <w:jc w:val="both"/>
        <w:rPr>
          <w:lang w:val="en-GB"/>
        </w:rPr>
      </w:pPr>
      <w:r>
        <w:rPr>
          <w:lang w:val="en-GB"/>
        </w:rPr>
        <w:t xml:space="preserve">In the current spec, there is a UE capability associated with beam-based operation, that is </w:t>
      </w:r>
      <w:r>
        <w:rPr>
          <w:i/>
          <w:iCs/>
          <w:lang w:val="en-GB"/>
        </w:rPr>
        <w:t>beamReportTiming</w:t>
      </w:r>
      <w:r>
        <w:rPr>
          <w:lang w:val="en-GB"/>
        </w:rPr>
        <w:t xml:space="preserve">, which may be impacted by the new </w:t>
      </w:r>
      <w:r>
        <w:t>behavior</w:t>
      </w:r>
      <w:r>
        <w:rPr>
          <w:lang w:val="en-GB"/>
        </w:rPr>
        <w:t xml:space="preserve"> of AI/ML-based beam management. According to TS 38.306 </w:t>
      </w:r>
      <w:r>
        <w:rPr>
          <w:lang w:val="en-GB"/>
        </w:rPr>
        <w:fldChar w:fldCharType="begin"/>
      </w:r>
      <w:r>
        <w:rPr>
          <w:lang w:val="en-GB"/>
        </w:rPr>
        <w:instrText xml:space="preserve"> REF _Ref158738238 \r \h </w:instrText>
      </w:r>
      <w:r>
        <w:rPr>
          <w:lang w:val="en-GB"/>
        </w:rPr>
      </w:r>
      <w:r>
        <w:rPr>
          <w:lang w:val="en-GB"/>
        </w:rPr>
        <w:fldChar w:fldCharType="separate"/>
      </w:r>
      <w:r w:rsidR="00F43834">
        <w:rPr>
          <w:lang w:val="en-GB"/>
        </w:rPr>
        <w:t>[6]</w:t>
      </w:r>
      <w:r>
        <w:rPr>
          <w:lang w:val="en-GB"/>
        </w:rPr>
        <w:fldChar w:fldCharType="end"/>
      </w:r>
      <w:r>
        <w:rPr>
          <w:lang w:val="en-GB"/>
        </w:rPr>
        <w:t xml:space="preserve">, the definition of </w:t>
      </w:r>
      <w:r>
        <w:rPr>
          <w:i/>
          <w:iCs/>
          <w:lang w:val="en-GB"/>
        </w:rPr>
        <w:t>beamReportTiming</w:t>
      </w:r>
      <w:r>
        <w:rPr>
          <w:lang w:val="en-GB"/>
        </w:rPr>
        <w:t xml:space="preserve"> is defined as the following,</w:t>
      </w:r>
    </w:p>
    <w:tbl>
      <w:tblPr>
        <w:tblW w:w="937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75"/>
      </w:tblGrid>
      <w:tr w:rsidR="00BF75C0" w14:paraId="709BABC1" w14:textId="77777777" w:rsidTr="00BF75C0">
        <w:trPr>
          <w:cantSplit/>
          <w:tblHeader/>
          <w:jc w:val="center"/>
        </w:trPr>
        <w:tc>
          <w:tcPr>
            <w:tcW w:w="9375" w:type="dxa"/>
            <w:tcBorders>
              <w:top w:val="single" w:sz="4" w:space="0" w:color="808080"/>
              <w:left w:val="single" w:sz="4" w:space="0" w:color="808080"/>
              <w:bottom w:val="single" w:sz="4" w:space="0" w:color="808080"/>
              <w:right w:val="single" w:sz="4" w:space="0" w:color="808080"/>
            </w:tcBorders>
            <w:hideMark/>
          </w:tcPr>
          <w:p w14:paraId="0AB42BB7" w14:textId="77777777" w:rsidR="00BF75C0" w:rsidRDefault="00BF75C0">
            <w:pPr>
              <w:pStyle w:val="TAL"/>
              <w:rPr>
                <w:b/>
                <w:i/>
              </w:rPr>
            </w:pPr>
            <w:r>
              <w:rPr>
                <w:b/>
                <w:i/>
              </w:rPr>
              <w:t>beamReportTiming, beamReportTiming-v1710</w:t>
            </w:r>
          </w:p>
          <w:p w14:paraId="3CFDD330" w14:textId="77777777" w:rsidR="00BF75C0" w:rsidRDefault="00BF75C0">
            <w:pPr>
              <w:pStyle w:val="TAL"/>
              <w:jc w:val="both"/>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r>
    </w:tbl>
    <w:p w14:paraId="1F190AB8" w14:textId="77777777" w:rsidR="00BF75C0" w:rsidRDefault="00BF75C0" w:rsidP="00BF75C0"/>
    <w:p w14:paraId="1EBCF536" w14:textId="438A64D3" w:rsidR="00BF75C0" w:rsidRDefault="00BF75C0" w:rsidP="00BF75C0">
      <w:r>
        <w:t>Also, the corresponding available values are defined in TS38.331</w:t>
      </w:r>
      <w:r>
        <w:fldChar w:fldCharType="begin"/>
      </w:r>
      <w:r>
        <w:instrText xml:space="preserve"> REF _Ref127449783 \r \h </w:instrText>
      </w:r>
      <w:r>
        <w:fldChar w:fldCharType="separate"/>
      </w:r>
      <w:r w:rsidR="00F43834">
        <w:t>[5]</w:t>
      </w:r>
      <w:r>
        <w:fldChar w:fldCharType="end"/>
      </w:r>
      <w:r>
        <w:t xml:space="preserve"> as follows,</w:t>
      </w:r>
    </w:p>
    <w:tbl>
      <w:tblPr>
        <w:tblStyle w:val="TableGrid"/>
        <w:tblW w:w="0" w:type="auto"/>
        <w:tblLook w:val="04A0" w:firstRow="1" w:lastRow="0" w:firstColumn="1" w:lastColumn="0" w:noHBand="0" w:noVBand="1"/>
      </w:tblPr>
      <w:tblGrid>
        <w:gridCol w:w="9631"/>
      </w:tblGrid>
      <w:tr w:rsidR="00BF75C0" w14:paraId="7628A473" w14:textId="77777777" w:rsidTr="00BF75C0">
        <w:tc>
          <w:tcPr>
            <w:tcW w:w="9631" w:type="dxa"/>
            <w:tcBorders>
              <w:top w:val="single" w:sz="4" w:space="0" w:color="auto"/>
              <w:left w:val="single" w:sz="4" w:space="0" w:color="auto"/>
              <w:bottom w:val="single" w:sz="4" w:space="0" w:color="auto"/>
              <w:right w:val="single" w:sz="4" w:space="0" w:color="auto"/>
            </w:tcBorders>
            <w:vAlign w:val="center"/>
            <w:hideMark/>
          </w:tcPr>
          <w:p w14:paraId="5217CD37" w14:textId="6A4F3D59" w:rsidR="00BF75C0" w:rsidRDefault="00BF75C0">
            <w:pPr>
              <w:jc w:val="center"/>
            </w:pPr>
            <w:r>
              <w:rPr>
                <w:noProof/>
              </w:rPr>
              <w:drawing>
                <wp:inline distT="0" distB="0" distL="0" distR="0" wp14:anchorId="6CB2A999" wp14:editId="2AC1DD30">
                  <wp:extent cx="6000750" cy="571500"/>
                  <wp:effectExtent l="0" t="0" r="0" b="0"/>
                  <wp:docPr id="1445542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0750" cy="571500"/>
                          </a:xfrm>
                          <a:prstGeom prst="rect">
                            <a:avLst/>
                          </a:prstGeom>
                          <a:noFill/>
                          <a:ln>
                            <a:noFill/>
                          </a:ln>
                        </pic:spPr>
                      </pic:pic>
                    </a:graphicData>
                  </a:graphic>
                </wp:inline>
              </w:drawing>
            </w:r>
          </w:p>
        </w:tc>
      </w:tr>
    </w:tbl>
    <w:p w14:paraId="1039B815" w14:textId="77777777" w:rsidR="00BF75C0" w:rsidRDefault="00BF75C0" w:rsidP="00BF75C0">
      <w:pPr>
        <w:rPr>
          <w:lang w:val="en-GB"/>
        </w:rPr>
      </w:pPr>
    </w:p>
    <w:p w14:paraId="63487727" w14:textId="2FF310FD" w:rsidR="00BF75C0" w:rsidRDefault="00BF75C0" w:rsidP="00BF75C0">
      <w:pPr>
        <w:jc w:val="both"/>
        <w:rPr>
          <w:lang w:val="en-GB"/>
        </w:rPr>
      </w:pPr>
      <w:r>
        <w:rPr>
          <w:lang w:val="en-GB"/>
        </w:rPr>
        <w:t xml:space="preserve">The maximum available values of </w:t>
      </w:r>
      <w:r>
        <w:rPr>
          <w:i/>
          <w:iCs/>
          <w:lang w:val="en-GB"/>
        </w:rPr>
        <w:t>beamReportTiming</w:t>
      </w:r>
      <w:r>
        <w:rPr>
          <w:lang w:val="en-GB"/>
        </w:rPr>
        <w:t xml:space="preserve"> in terms of microseconds for each subcarrier spacing are approximately 533.4, 933.2, 466.8, 466.5 us (micro seconds) for SCS-15,30,60,120 kHz, respectively. However, for UE-sided AI/ML-based beam management, the complexity may be different than the legacy beam management. Therefore, we propose to add a new UE capability for </w:t>
      </w:r>
      <w:r>
        <w:rPr>
          <w:i/>
          <w:iCs/>
          <w:lang w:val="en-GB"/>
        </w:rPr>
        <w:t>beamReportTiming</w:t>
      </w:r>
      <w:r>
        <w:rPr>
          <w:lang w:val="en-GB"/>
        </w:rPr>
        <w:t xml:space="preserve"> specific for Rel-19 AI BM feature.</w:t>
      </w:r>
    </w:p>
    <w:p w14:paraId="6B4C34D3" w14:textId="3030E2AE" w:rsidR="00BF75C0" w:rsidRDefault="00BF75C0" w:rsidP="00BF75C0">
      <w:pPr>
        <w:spacing w:after="0"/>
        <w:jc w:val="both"/>
        <w:rPr>
          <w:b/>
          <w:bCs/>
          <w:i/>
          <w:iCs/>
        </w:rPr>
      </w:pPr>
      <w:r>
        <w:rPr>
          <w:b/>
          <w:bCs/>
          <w:i/>
          <w:iCs/>
        </w:rPr>
        <w:t xml:space="preserve">Proposal </w:t>
      </w:r>
      <w:r w:rsidR="0072446B">
        <w:rPr>
          <w:b/>
          <w:bCs/>
          <w:i/>
          <w:iCs/>
        </w:rPr>
        <w:t>20</w:t>
      </w:r>
      <w:r>
        <w:rPr>
          <w:b/>
          <w:bCs/>
          <w:i/>
          <w:iCs/>
        </w:rPr>
        <w:t>:</w:t>
      </w:r>
      <w:r>
        <w:rPr>
          <w:b/>
          <w:bCs/>
          <w:i/>
          <w:iCs/>
          <w:lang w:val="en-GB"/>
        </w:rPr>
        <w:t xml:space="preserve"> </w:t>
      </w:r>
      <w:r>
        <w:rPr>
          <w:b/>
          <w:bCs/>
          <w:i/>
          <w:iCs/>
        </w:rPr>
        <w:t xml:space="preserve"> F</w:t>
      </w:r>
      <w:r w:rsidRPr="00BF75C0">
        <w:rPr>
          <w:b/>
          <w:bCs/>
          <w:i/>
          <w:iCs/>
        </w:rPr>
        <w:t>or Rel-19 AI BM</w:t>
      </w:r>
      <w:r>
        <w:rPr>
          <w:b/>
          <w:bCs/>
          <w:i/>
          <w:iCs/>
        </w:rPr>
        <w:t xml:space="preserve"> features, introduce a specific beamReportTiming UE capability to distinguish between the legacy beamReportTiming UE capability.</w:t>
      </w:r>
    </w:p>
    <w:p w14:paraId="72C81EC9" w14:textId="77777777" w:rsidR="00793CCA" w:rsidRPr="00793CCA" w:rsidRDefault="00793CCA" w:rsidP="00BC3FD5">
      <w:pPr>
        <w:overflowPunct w:val="0"/>
        <w:autoSpaceDE w:val="0"/>
        <w:autoSpaceDN w:val="0"/>
        <w:adjustRightInd w:val="0"/>
        <w:contextualSpacing/>
        <w:jc w:val="both"/>
        <w:textAlignment w:val="baseline"/>
        <w:rPr>
          <w:b/>
          <w:bCs/>
        </w:rPr>
      </w:pPr>
    </w:p>
    <w:bookmarkEnd w:id="10"/>
    <w:p w14:paraId="084F0F0C" w14:textId="77777777" w:rsidR="00681633" w:rsidRPr="00D31C65" w:rsidRDefault="00681633" w:rsidP="00681633">
      <w:pPr>
        <w:pStyle w:val="Heading1"/>
        <w:numPr>
          <w:ilvl w:val="0"/>
          <w:numId w:val="1"/>
        </w:numPr>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Conclusion</w:t>
      </w:r>
    </w:p>
    <w:p w14:paraId="5C00E63F" w14:textId="77777777" w:rsidR="00681633" w:rsidRPr="00D31C65" w:rsidRDefault="00681633" w:rsidP="00681633">
      <w:pPr>
        <w:jc w:val="both"/>
        <w:rPr>
          <w:bCs/>
          <w:lang w:eastAsia="zh-TW"/>
        </w:rPr>
      </w:pPr>
      <w:r w:rsidRPr="00D31C65">
        <w:rPr>
          <w:bCs/>
          <w:lang w:eastAsia="zh-TW"/>
        </w:rPr>
        <w:t>In summary, based on the above discussion we have the following observations and proposals:</w:t>
      </w:r>
    </w:p>
    <w:p w14:paraId="0BA77663" w14:textId="77777777" w:rsidR="00272179" w:rsidRDefault="00272179" w:rsidP="00272179">
      <w:pPr>
        <w:spacing w:after="0"/>
        <w:jc w:val="both"/>
        <w:rPr>
          <w:b/>
          <w:bCs/>
          <w:i/>
          <w:iCs/>
        </w:rPr>
      </w:pPr>
      <w:r>
        <w:rPr>
          <w:b/>
          <w:bCs/>
          <w:i/>
          <w:iCs/>
        </w:rPr>
        <w:t xml:space="preserve">Proposal 1: For UE-sided model, for the content in the report of inference results, current agreed options are sufficient. </w:t>
      </w:r>
    </w:p>
    <w:p w14:paraId="476CB168" w14:textId="77777777" w:rsidR="004E1E74" w:rsidRDefault="004E1E74" w:rsidP="00272179">
      <w:pPr>
        <w:spacing w:after="0"/>
        <w:jc w:val="both"/>
        <w:rPr>
          <w:b/>
          <w:bCs/>
          <w:i/>
          <w:iCs/>
        </w:rPr>
      </w:pPr>
    </w:p>
    <w:p w14:paraId="3CA32140" w14:textId="77777777" w:rsidR="00F43834" w:rsidRDefault="00F43834" w:rsidP="00F43834">
      <w:pPr>
        <w:jc w:val="both"/>
        <w:rPr>
          <w:b/>
          <w:bCs/>
          <w:i/>
          <w:iCs/>
        </w:rPr>
      </w:pPr>
      <w:r>
        <w:rPr>
          <w:b/>
          <w:bCs/>
          <w:i/>
          <w:iCs/>
        </w:rPr>
        <w:t>Proposal 2: For BM Case1, when the report is a DCI triggered PUSCH reports, the Z/Z' report timeline requirement should be determined by UE capability.</w:t>
      </w:r>
    </w:p>
    <w:p w14:paraId="593F6F36" w14:textId="77777777" w:rsidR="00F43834" w:rsidRDefault="00F43834" w:rsidP="00F43834">
      <w:pPr>
        <w:jc w:val="both"/>
        <w:rPr>
          <w:b/>
          <w:bCs/>
          <w:i/>
          <w:iCs/>
        </w:rPr>
      </w:pPr>
      <w:r>
        <w:rPr>
          <w:b/>
          <w:bCs/>
          <w:i/>
          <w:iCs/>
        </w:rPr>
        <w:t>Proposal 3: For BM Case2, when the report is a DCI triggered PUSCH reports, the Z/Z' report timeline requirement should be determined by UE capability.</w:t>
      </w:r>
    </w:p>
    <w:p w14:paraId="719A5816" w14:textId="77777777" w:rsidR="00F43834" w:rsidRDefault="00F43834" w:rsidP="00F43834">
      <w:pPr>
        <w:jc w:val="both"/>
        <w:rPr>
          <w:b/>
          <w:bCs/>
          <w:i/>
          <w:iCs/>
        </w:rPr>
      </w:pPr>
      <w:r>
        <w:rPr>
          <w:b/>
          <w:bCs/>
          <w:i/>
          <w:iCs/>
        </w:rPr>
        <w:t>Proposal 4:</w:t>
      </w:r>
      <w:r>
        <w:t xml:space="preserve"> </w:t>
      </w:r>
      <w:r>
        <w:rPr>
          <w:b/>
          <w:bCs/>
          <w:i/>
          <w:iCs/>
        </w:rPr>
        <w:t>For each BM Cases, UE reports its corresponding capability on model inference timing. The timing capability is added to the current value of Z and Z’ in the report timeline requirement.</w:t>
      </w:r>
    </w:p>
    <w:p w14:paraId="47E063C9" w14:textId="77777777" w:rsidR="00F43834" w:rsidRDefault="00F43834" w:rsidP="00F43834">
      <w:pPr>
        <w:jc w:val="both"/>
      </w:pPr>
      <w:r>
        <w:rPr>
          <w:b/>
          <w:bCs/>
          <w:i/>
          <w:iCs/>
        </w:rPr>
        <w:t>Proposal 5: the CSI reference resource definition should consider model inference delay, which is expected to be higher than the legacy beam management operations, especially for BM Case2.</w:t>
      </w:r>
    </w:p>
    <w:p w14:paraId="0660E825" w14:textId="77777777" w:rsidR="00F43834" w:rsidRDefault="00F43834" w:rsidP="00F43834">
      <w:pPr>
        <w:jc w:val="both"/>
      </w:pPr>
      <w:r>
        <w:rPr>
          <w:b/>
          <w:bCs/>
          <w:i/>
          <w:iCs/>
        </w:rPr>
        <w:t>Proposal 6: For each BM Cases, UE reports its corresponding capability on model inference timing. The timing capability is added to the n_CSI_ref variable in the definition of CSI reference resource.</w:t>
      </w:r>
    </w:p>
    <w:p w14:paraId="113B22DC" w14:textId="77777777" w:rsidR="00F43834" w:rsidRDefault="00F43834" w:rsidP="00F43834">
      <w:pPr>
        <w:jc w:val="both"/>
        <w:rPr>
          <w:b/>
          <w:bCs/>
          <w:i/>
          <w:iCs/>
        </w:rPr>
      </w:pPr>
      <w:r>
        <w:rPr>
          <w:b/>
          <w:bCs/>
          <w:i/>
          <w:iCs/>
        </w:rPr>
        <w:t>Proposal 7: For the</w:t>
      </w:r>
      <w:r>
        <w:rPr>
          <w:b/>
          <w:bCs/>
          <w:i/>
          <w:iCs/>
          <w:kern w:val="24"/>
        </w:rPr>
        <w:t xml:space="preserve"> processing unit of a CSI report</w:t>
      </w:r>
      <w:r>
        <w:rPr>
          <w:b/>
          <w:bCs/>
          <w:i/>
          <w:iCs/>
        </w:rPr>
        <w:t xml:space="preserve"> for </w:t>
      </w:r>
      <w:r>
        <w:rPr>
          <w:b/>
          <w:bCs/>
          <w:i/>
          <w:iCs/>
          <w:kern w:val="24"/>
        </w:rPr>
        <w:t>AI BM, support Option1:</w:t>
      </w:r>
      <w:r>
        <w:rPr>
          <w:b/>
          <w:bCs/>
          <w:i/>
          <w:iCs/>
        </w:rPr>
        <w:t xml:space="preserve"> </w:t>
      </w:r>
      <w:r>
        <w:rPr>
          <w:b/>
          <w:bCs/>
          <w:i/>
          <w:iCs/>
          <w:kern w:val="24"/>
        </w:rPr>
        <w:t>only dedicated AI/ML PU is occupied, O_APU=N1 is reported by UE</w:t>
      </w:r>
      <w:r>
        <w:rPr>
          <w:b/>
          <w:bCs/>
          <w:i/>
          <w:iCs/>
        </w:rPr>
        <w:t>.</w:t>
      </w:r>
    </w:p>
    <w:p w14:paraId="24B50FE4" w14:textId="77777777" w:rsidR="00F43834" w:rsidRDefault="00F43834" w:rsidP="00F43834">
      <w:pPr>
        <w:jc w:val="both"/>
        <w:rPr>
          <w:b/>
          <w:bCs/>
          <w:i/>
          <w:iCs/>
        </w:rPr>
      </w:pPr>
      <w:r>
        <w:rPr>
          <w:b/>
          <w:bCs/>
          <w:i/>
          <w:iCs/>
        </w:rPr>
        <w:lastRenderedPageBreak/>
        <w:t>Proposal 8: For the</w:t>
      </w:r>
      <w:r>
        <w:rPr>
          <w:b/>
          <w:bCs/>
          <w:i/>
          <w:iCs/>
          <w:kern w:val="24"/>
        </w:rPr>
        <w:t xml:space="preserve"> processing unit of a CSI report</w:t>
      </w:r>
      <w:r>
        <w:rPr>
          <w:b/>
          <w:bCs/>
          <w:i/>
          <w:iCs/>
        </w:rPr>
        <w:t xml:space="preserve"> for </w:t>
      </w:r>
      <w:r>
        <w:rPr>
          <w:b/>
          <w:bCs/>
          <w:i/>
          <w:iCs/>
          <w:kern w:val="24"/>
        </w:rPr>
        <w:t>AI BM, do not support Option2</w:t>
      </w:r>
      <w:r>
        <w:t xml:space="preserve">: </w:t>
      </w:r>
      <w:r>
        <w:rPr>
          <w:b/>
          <w:bCs/>
          <w:i/>
          <w:iCs/>
          <w:kern w:val="24"/>
        </w:rPr>
        <w:t>only legacy CPU is occupied, O_CPU=M it is reported by UE</w:t>
      </w:r>
      <w:r>
        <w:rPr>
          <w:b/>
          <w:bCs/>
          <w:i/>
          <w:iCs/>
        </w:rPr>
        <w:t>.</w:t>
      </w:r>
    </w:p>
    <w:p w14:paraId="512F599F" w14:textId="77777777" w:rsidR="00F43834" w:rsidRDefault="00F43834" w:rsidP="00F43834">
      <w:pPr>
        <w:jc w:val="both"/>
        <w:rPr>
          <w:b/>
          <w:bCs/>
          <w:i/>
          <w:iCs/>
        </w:rPr>
      </w:pPr>
      <w:r>
        <w:rPr>
          <w:b/>
          <w:bCs/>
          <w:i/>
          <w:iCs/>
        </w:rPr>
        <w:t xml:space="preserve">Proposal 9: The total number of dedicated AI/ML PU for AI/ML-based beam management will not be shared with other use cases. </w:t>
      </w:r>
    </w:p>
    <w:p w14:paraId="2A727856" w14:textId="77777777" w:rsidR="00F43834" w:rsidRDefault="00F43834" w:rsidP="00F43834">
      <w:pPr>
        <w:spacing w:after="0"/>
        <w:textAlignment w:val="center"/>
        <w:rPr>
          <w:rFonts w:eastAsiaTheme="minorEastAsia"/>
          <w:b/>
          <w:bCs/>
          <w:i/>
          <w:iCs/>
          <w:lang w:eastAsia="zh-TW"/>
        </w:rPr>
      </w:pPr>
      <w:r>
        <w:rPr>
          <w:b/>
          <w:bCs/>
          <w:i/>
          <w:iCs/>
        </w:rPr>
        <w:t xml:space="preserve">Proposal 10:  </w:t>
      </w:r>
      <w:r>
        <w:rPr>
          <w:b/>
          <w:bCs/>
          <w:i/>
          <w:iCs/>
          <w:lang w:eastAsia="zh-TW"/>
        </w:rPr>
        <w:t xml:space="preserve">When </w:t>
      </w:r>
      <w:r>
        <w:rPr>
          <w:b/>
          <w:bCs/>
          <w:i/>
          <w:iCs/>
        </w:rPr>
        <w:t>the size of a set for monitoring is smaller than the size of Set A</w:t>
      </w:r>
      <w:r>
        <w:rPr>
          <w:b/>
          <w:bCs/>
          <w:i/>
          <w:iCs/>
          <w:lang w:eastAsia="zh-TW"/>
        </w:rPr>
        <w:t xml:space="preserve">. </w:t>
      </w:r>
      <w:r>
        <w:rPr>
          <w:rFonts w:eastAsia="SimSun"/>
          <w:b/>
          <w:bCs/>
          <w:i/>
          <w:iCs/>
          <w:lang w:eastAsia="zh-CN"/>
        </w:rPr>
        <w:t xml:space="preserve">The mapping between the resources for Set A and resources for monitoring can be configured in RRC. </w:t>
      </w:r>
    </w:p>
    <w:p w14:paraId="047F57B5" w14:textId="77777777" w:rsidR="00F43834" w:rsidRDefault="00F43834" w:rsidP="00F43834">
      <w:pPr>
        <w:spacing w:after="0"/>
        <w:textAlignment w:val="center"/>
        <w:rPr>
          <w:rFonts w:eastAsiaTheme="minorEastAsia"/>
          <w:b/>
          <w:bCs/>
          <w:i/>
          <w:iCs/>
          <w:lang w:eastAsia="zh-TW"/>
        </w:rPr>
      </w:pPr>
    </w:p>
    <w:p w14:paraId="49322C4B" w14:textId="25AE5931" w:rsidR="00F43834" w:rsidRDefault="00F43834" w:rsidP="00F43834">
      <w:pPr>
        <w:spacing w:after="0"/>
        <w:textAlignment w:val="center"/>
        <w:rPr>
          <w:rFonts w:eastAsia="SimSun"/>
          <w:b/>
          <w:bCs/>
          <w:i/>
          <w:iCs/>
          <w:lang w:eastAsia="zh-CN"/>
        </w:rPr>
      </w:pPr>
      <w:r>
        <w:rPr>
          <w:b/>
          <w:bCs/>
          <w:i/>
          <w:iCs/>
        </w:rPr>
        <w:t xml:space="preserve">Proposal </w:t>
      </w:r>
      <w:r>
        <w:rPr>
          <w:b/>
          <w:bCs/>
          <w:i/>
          <w:iCs/>
          <w:lang w:eastAsia="zh-TW"/>
        </w:rPr>
        <w:t>11</w:t>
      </w:r>
      <w:r>
        <w:rPr>
          <w:b/>
          <w:bCs/>
          <w:i/>
          <w:iCs/>
        </w:rPr>
        <w:t xml:space="preserve">:  For option1 type2, </w:t>
      </w:r>
      <w:r>
        <w:rPr>
          <w:rFonts w:eastAsia="SimSun"/>
          <w:b/>
          <w:bCs/>
          <w:i/>
          <w:iCs/>
          <w:lang w:eastAsia="zh-CN"/>
        </w:rPr>
        <w:t>to map RS resources in Set A and monitoring set, NW configures an additional bitmap or a set of ID (CRI or SSBRI of a resource in Set A) in the monitoring report configuration.</w:t>
      </w:r>
    </w:p>
    <w:p w14:paraId="0EC8F382" w14:textId="77777777" w:rsidR="004E1E74" w:rsidRPr="00F43834" w:rsidRDefault="004E1E74" w:rsidP="00F43834">
      <w:pPr>
        <w:spacing w:after="0"/>
        <w:textAlignment w:val="center"/>
        <w:rPr>
          <w:rFonts w:eastAsia="SimSun"/>
          <w:b/>
          <w:bCs/>
          <w:i/>
          <w:iCs/>
          <w:lang w:eastAsia="zh-CN"/>
        </w:rPr>
      </w:pPr>
    </w:p>
    <w:p w14:paraId="7F2B1F75" w14:textId="3462CF9B" w:rsidR="004E1E74" w:rsidRPr="004E1E74" w:rsidRDefault="00F43834" w:rsidP="004E1E74">
      <w:pPr>
        <w:spacing w:after="0"/>
        <w:textAlignment w:val="center"/>
        <w:rPr>
          <w:rFonts w:eastAsia="SimSun"/>
          <w:b/>
          <w:bCs/>
          <w:i/>
          <w:iCs/>
          <w:lang w:eastAsia="zh-CN"/>
        </w:rPr>
      </w:pPr>
      <w:r>
        <w:rPr>
          <w:b/>
          <w:bCs/>
          <w:i/>
          <w:iCs/>
        </w:rPr>
        <w:t>Proposal 12: For option1 type2, the performance metric of Top 1 or Top K beam prediction accuracy, Top-K predicted beam(s) should also be selected from the resource set(s) for monitoring, by filtering out the beams not included in the monitoring resource sets. K is the number of predicted beam(s) in the corresponding inference report.</w:t>
      </w:r>
    </w:p>
    <w:p w14:paraId="5326812C" w14:textId="77777777" w:rsidR="004E1E74" w:rsidRPr="004E1E74" w:rsidRDefault="004E1E74" w:rsidP="004E1E74">
      <w:pPr>
        <w:spacing w:after="0"/>
        <w:textAlignment w:val="center"/>
        <w:rPr>
          <w:rFonts w:eastAsia="SimSun"/>
          <w:b/>
          <w:bCs/>
          <w:i/>
          <w:iCs/>
          <w:lang w:eastAsia="zh-CN"/>
        </w:rPr>
      </w:pPr>
    </w:p>
    <w:p w14:paraId="796E0C40" w14:textId="77777777" w:rsidR="00F43834" w:rsidRDefault="00F43834" w:rsidP="00F43834">
      <w:r>
        <w:rPr>
          <w:b/>
          <w:bCs/>
          <w:i/>
          <w:iCs/>
        </w:rPr>
        <w:t>Proposal 13: RAN1 does not consider a one-to-one mapping between the associated ID and inference configurations.</w:t>
      </w:r>
    </w:p>
    <w:p w14:paraId="6E40A8A9" w14:textId="77777777" w:rsidR="00F43834" w:rsidRDefault="00F43834" w:rsidP="00F43834">
      <w:pPr>
        <w:spacing w:after="0"/>
        <w:jc w:val="both"/>
        <w:rPr>
          <w:b/>
          <w:bCs/>
          <w:i/>
          <w:iCs/>
        </w:rPr>
      </w:pPr>
      <w:r>
        <w:rPr>
          <w:b/>
          <w:bCs/>
          <w:i/>
          <w:iCs/>
        </w:rPr>
        <w:t xml:space="preserve">Proposal 14: RAN1 makes a working assumption that each NW vendor has its own exclusive set of associated IDs, which can be managed by PLMN. </w:t>
      </w:r>
    </w:p>
    <w:p w14:paraId="419359E0" w14:textId="77777777" w:rsidR="00F43834" w:rsidRDefault="00F43834" w:rsidP="00F43834">
      <w:pPr>
        <w:spacing w:after="0"/>
        <w:jc w:val="both"/>
        <w:rPr>
          <w:b/>
          <w:bCs/>
          <w:i/>
          <w:iCs/>
        </w:rPr>
      </w:pPr>
    </w:p>
    <w:p w14:paraId="4CEBB13A" w14:textId="77777777" w:rsidR="00F43834" w:rsidRDefault="00F43834" w:rsidP="00F43834">
      <w:pPr>
        <w:spacing w:after="0"/>
        <w:jc w:val="both"/>
        <w:rPr>
          <w:b/>
          <w:bCs/>
          <w:i/>
          <w:iCs/>
        </w:rPr>
      </w:pPr>
      <w:r>
        <w:rPr>
          <w:b/>
          <w:bCs/>
          <w:i/>
          <w:iCs/>
        </w:rPr>
        <w:t xml:space="preserve">Proposal 15: For associated ID, considering </w:t>
      </w:r>
    </w:p>
    <w:p w14:paraId="08FAE985" w14:textId="77777777" w:rsidR="00F43834" w:rsidRDefault="00F43834" w:rsidP="00F43834">
      <w:pPr>
        <w:pStyle w:val="ListParagraph"/>
        <w:numPr>
          <w:ilvl w:val="0"/>
          <w:numId w:val="106"/>
        </w:numPr>
        <w:spacing w:after="0"/>
        <w:jc w:val="both"/>
        <w:rPr>
          <w:b/>
          <w:bCs/>
          <w:i/>
          <w:iCs/>
        </w:rPr>
      </w:pPr>
      <w:r>
        <w:rPr>
          <w:b/>
          <w:bCs/>
          <w:i/>
          <w:iCs/>
        </w:rPr>
        <w:t>First part is a PLMN-specific ID, different NW vendors may not use the same ID under one PLMN</w:t>
      </w:r>
    </w:p>
    <w:p w14:paraId="1CDD58ED" w14:textId="77777777" w:rsidR="00F43834" w:rsidRDefault="00F43834" w:rsidP="00F43834">
      <w:pPr>
        <w:pStyle w:val="ListParagraph"/>
        <w:numPr>
          <w:ilvl w:val="0"/>
          <w:numId w:val="106"/>
        </w:numPr>
        <w:spacing w:after="0"/>
        <w:jc w:val="both"/>
        <w:rPr>
          <w:b/>
          <w:bCs/>
          <w:i/>
          <w:iCs/>
        </w:rPr>
      </w:pPr>
      <w:r>
        <w:rPr>
          <w:b/>
          <w:bCs/>
          <w:i/>
          <w:iCs/>
        </w:rPr>
        <w:t>Second part is a cell/gNB-determined ID</w:t>
      </w:r>
    </w:p>
    <w:p w14:paraId="2DFC4B82" w14:textId="77777777" w:rsidR="004E1E74" w:rsidRPr="004E1E74" w:rsidRDefault="004E1E74" w:rsidP="004E1E74">
      <w:pPr>
        <w:spacing w:after="0"/>
        <w:jc w:val="both"/>
        <w:rPr>
          <w:b/>
          <w:bCs/>
          <w:i/>
          <w:iCs/>
        </w:rPr>
      </w:pPr>
    </w:p>
    <w:p w14:paraId="40FDC326" w14:textId="77777777" w:rsidR="00F43834" w:rsidRDefault="00F43834" w:rsidP="00F43834">
      <w:pPr>
        <w:overflowPunct w:val="0"/>
        <w:autoSpaceDE w:val="0"/>
        <w:autoSpaceDN w:val="0"/>
        <w:adjustRightInd w:val="0"/>
        <w:spacing w:after="0"/>
        <w:jc w:val="both"/>
        <w:textAlignment w:val="baseline"/>
        <w:rPr>
          <w:b/>
          <w:bCs/>
          <w:i/>
          <w:iCs/>
        </w:rPr>
      </w:pPr>
      <w:r>
        <w:rPr>
          <w:b/>
          <w:bCs/>
          <w:i/>
          <w:iCs/>
        </w:rPr>
        <w:t>Proposal 16: Set A should always be configured with physical resources (i.e., have corresponding resource ID/resource set ID, ResourceConfig ID), for the following reasons:</w:t>
      </w:r>
    </w:p>
    <w:p w14:paraId="62344EC9" w14:textId="77777777" w:rsidR="00F43834" w:rsidRDefault="00F43834" w:rsidP="00F43834">
      <w:pPr>
        <w:pStyle w:val="ListParagraph"/>
        <w:numPr>
          <w:ilvl w:val="0"/>
          <w:numId w:val="107"/>
        </w:numPr>
        <w:overflowPunct w:val="0"/>
        <w:autoSpaceDE w:val="0"/>
        <w:autoSpaceDN w:val="0"/>
        <w:adjustRightInd w:val="0"/>
        <w:spacing w:after="0"/>
        <w:jc w:val="both"/>
        <w:textAlignment w:val="baseline"/>
        <w:rPr>
          <w:b/>
          <w:bCs/>
          <w:i/>
          <w:iCs/>
        </w:rPr>
      </w:pPr>
      <w:r>
        <w:rPr>
          <w:b/>
          <w:bCs/>
          <w:i/>
          <w:iCs/>
        </w:rPr>
        <w:t xml:space="preserve">Set A is required for monitoring/data collection, and can be configured with longer periodicity </w:t>
      </w:r>
    </w:p>
    <w:p w14:paraId="0BBF67E3" w14:textId="77777777" w:rsidR="00F43834" w:rsidRDefault="00F43834" w:rsidP="00F43834">
      <w:pPr>
        <w:pStyle w:val="ListParagraph"/>
        <w:numPr>
          <w:ilvl w:val="0"/>
          <w:numId w:val="107"/>
        </w:numPr>
        <w:overflowPunct w:val="0"/>
        <w:autoSpaceDE w:val="0"/>
        <w:autoSpaceDN w:val="0"/>
        <w:adjustRightInd w:val="0"/>
        <w:jc w:val="both"/>
        <w:textAlignment w:val="baseline"/>
        <w:rPr>
          <w:b/>
          <w:bCs/>
          <w:i/>
          <w:iCs/>
        </w:rPr>
      </w:pPr>
      <w:r>
        <w:rPr>
          <w:b/>
          <w:bCs/>
          <w:i/>
          <w:iCs/>
        </w:rPr>
        <w:t>Set A is required for legacy UE</w:t>
      </w:r>
    </w:p>
    <w:p w14:paraId="55633472" w14:textId="4B0B7BBE" w:rsidR="00F43834" w:rsidRDefault="00F43834" w:rsidP="00F43834">
      <w:pPr>
        <w:overflowPunct w:val="0"/>
        <w:autoSpaceDE w:val="0"/>
        <w:autoSpaceDN w:val="0"/>
        <w:adjustRightInd w:val="0"/>
        <w:spacing w:after="0"/>
        <w:jc w:val="both"/>
        <w:textAlignment w:val="baseline"/>
        <w:rPr>
          <w:b/>
          <w:bCs/>
          <w:i/>
          <w:iCs/>
        </w:rPr>
      </w:pPr>
      <w:r w:rsidRPr="00F43834">
        <w:rPr>
          <w:b/>
          <w:bCs/>
          <w:i/>
          <w:iCs/>
        </w:rPr>
        <w:t>Proposal 17: For the design of csi-ReportConfig for UE-sided model, Set A can be configured by the existing IE resourcesForChannelMeasurement in csi-ReportConfig. Set B can be configured by a new IE which has csi-ResourceConfigId as its value</w:t>
      </w:r>
      <w:r w:rsidR="004E1E74">
        <w:rPr>
          <w:b/>
          <w:bCs/>
          <w:i/>
          <w:iCs/>
        </w:rPr>
        <w:t>.</w:t>
      </w:r>
    </w:p>
    <w:p w14:paraId="309479A5" w14:textId="77777777" w:rsidR="004E1E74" w:rsidRPr="00F43834" w:rsidRDefault="004E1E74" w:rsidP="00F43834">
      <w:pPr>
        <w:overflowPunct w:val="0"/>
        <w:autoSpaceDE w:val="0"/>
        <w:autoSpaceDN w:val="0"/>
        <w:adjustRightInd w:val="0"/>
        <w:spacing w:after="0"/>
        <w:jc w:val="both"/>
        <w:textAlignment w:val="baseline"/>
        <w:rPr>
          <w:b/>
          <w:bCs/>
          <w:i/>
          <w:iCs/>
        </w:rPr>
      </w:pPr>
    </w:p>
    <w:p w14:paraId="0650AC4B" w14:textId="77777777" w:rsidR="00F43834" w:rsidRDefault="00F43834" w:rsidP="00F43834">
      <w:pPr>
        <w:spacing w:after="0"/>
        <w:rPr>
          <w:b/>
          <w:bCs/>
          <w:i/>
          <w:iCs/>
        </w:rPr>
      </w:pPr>
      <w:r>
        <w:rPr>
          <w:b/>
          <w:bCs/>
          <w:i/>
          <w:iCs/>
        </w:rPr>
        <w:t xml:space="preserve">Proposal 18: For both NW-side model and UE-side model, for monitoring and data collection (when applicable), </w:t>
      </w:r>
      <w:r>
        <w:rPr>
          <w:b/>
          <w:bCs/>
          <w:i/>
          <w:iCs/>
          <w:lang w:eastAsia="zh-TW"/>
        </w:rPr>
        <w:t>to support number of Set A beams &gt; 64</w:t>
      </w:r>
      <w:r>
        <w:rPr>
          <w:b/>
          <w:bCs/>
          <w:i/>
          <w:iCs/>
        </w:rPr>
        <w:t>, up to 4 resource sets can be configured for Set A in one CSI report configuration.</w:t>
      </w:r>
    </w:p>
    <w:p w14:paraId="49628819" w14:textId="77777777" w:rsidR="004E1E74" w:rsidRDefault="004E1E74" w:rsidP="00F43834">
      <w:pPr>
        <w:spacing w:after="0"/>
        <w:rPr>
          <w:b/>
          <w:bCs/>
          <w:i/>
          <w:iCs/>
        </w:rPr>
      </w:pPr>
    </w:p>
    <w:p w14:paraId="43F71F90" w14:textId="77777777" w:rsidR="00F43834" w:rsidRDefault="00F43834" w:rsidP="00F43834">
      <w:pPr>
        <w:overflowPunct w:val="0"/>
        <w:autoSpaceDE w:val="0"/>
        <w:autoSpaceDN w:val="0"/>
        <w:adjustRightInd w:val="0"/>
        <w:jc w:val="both"/>
        <w:textAlignment w:val="baseline"/>
      </w:pPr>
      <w:r>
        <w:rPr>
          <w:b/>
          <w:bCs/>
          <w:i/>
          <w:iCs/>
        </w:rPr>
        <w:t>Proposal 19: For AI/ML-based BM, at this stage, there is no further enhancement needed for TCI and beam indication based on unified TCI state framework.</w:t>
      </w:r>
    </w:p>
    <w:p w14:paraId="7410DD95" w14:textId="640C0F3B" w:rsidR="00272179" w:rsidRPr="002E3799" w:rsidRDefault="00F43834" w:rsidP="004E1E74">
      <w:pPr>
        <w:spacing w:after="0"/>
        <w:jc w:val="both"/>
        <w:rPr>
          <w:b/>
          <w:bCs/>
          <w:i/>
          <w:iCs/>
        </w:rPr>
      </w:pPr>
      <w:r>
        <w:rPr>
          <w:b/>
          <w:bCs/>
          <w:i/>
          <w:iCs/>
        </w:rPr>
        <w:t>Proposal 20:</w:t>
      </w:r>
      <w:r>
        <w:rPr>
          <w:b/>
          <w:bCs/>
          <w:i/>
          <w:iCs/>
          <w:lang w:val="en-GB"/>
        </w:rPr>
        <w:t xml:space="preserve"> </w:t>
      </w:r>
      <w:r>
        <w:rPr>
          <w:b/>
          <w:bCs/>
          <w:i/>
          <w:iCs/>
        </w:rPr>
        <w:t xml:space="preserve"> For Rel-19 AI BM features, introduce a specific beamReportTiming UE capability to distinguish between the legacy beamReportTiming UE capability.</w:t>
      </w:r>
    </w:p>
    <w:p w14:paraId="3FBE0CA6" w14:textId="77777777" w:rsidR="00EA11D1" w:rsidRPr="00D31C65" w:rsidRDefault="00EA11D1" w:rsidP="00E842A9">
      <w:pPr>
        <w:pStyle w:val="Heading1"/>
        <w:numPr>
          <w:ilvl w:val="0"/>
          <w:numId w:val="1"/>
        </w:numPr>
        <w:jc w:val="both"/>
        <w:rPr>
          <w:rFonts w:ascii="Times New Roman" w:hAnsi="Times New Roman"/>
        </w:rPr>
      </w:pPr>
      <w:r w:rsidRPr="00D31C65">
        <w:rPr>
          <w:rFonts w:ascii="Times New Roman" w:eastAsia="MS Mincho" w:hAnsi="Times New Roman"/>
          <w:b/>
          <w:sz w:val="32"/>
          <w:szCs w:val="32"/>
          <w:lang w:val="en-US"/>
        </w:rPr>
        <w:t>References</w:t>
      </w:r>
    </w:p>
    <w:p w14:paraId="28856E70" w14:textId="2ACFDF02" w:rsidR="00554C06" w:rsidRDefault="00554C06" w:rsidP="00554C06">
      <w:pPr>
        <w:pStyle w:val="ListParagraph"/>
        <w:numPr>
          <w:ilvl w:val="0"/>
          <w:numId w:val="2"/>
        </w:numPr>
      </w:pPr>
      <w:bookmarkStart w:id="11" w:name="_Ref157686972"/>
      <w:bookmarkStart w:id="12" w:name="_Ref131607972"/>
      <w:bookmarkStart w:id="13" w:name="_Ref142610320"/>
      <w:bookmarkStart w:id="14" w:name="_Ref111128188"/>
      <w:r>
        <w:t>TR 38.843 V</w:t>
      </w:r>
      <w:bookmarkStart w:id="15" w:name="specVersion"/>
      <w:r>
        <w:t>2.0.</w:t>
      </w:r>
      <w:bookmarkEnd w:id="15"/>
      <w:r>
        <w:t>1, “Study on Artificial Intelligence (AI)/Machine Learning (ML) for NR air interface”, 3GPP Release 18, Dec. 2023</w:t>
      </w:r>
      <w:bookmarkEnd w:id="11"/>
    </w:p>
    <w:p w14:paraId="264DE656" w14:textId="743B785D" w:rsidR="00554C06" w:rsidRDefault="00554C06" w:rsidP="00554C06">
      <w:pPr>
        <w:pStyle w:val="ListParagraph"/>
        <w:numPr>
          <w:ilvl w:val="0"/>
          <w:numId w:val="2"/>
        </w:numPr>
      </w:pPr>
      <w:bookmarkStart w:id="16" w:name="_Ref157686983"/>
      <w:r w:rsidRPr="00554C06">
        <w:t>RP-23</w:t>
      </w:r>
      <w:r>
        <w:t>4039</w:t>
      </w:r>
      <w:r w:rsidRPr="00554C06">
        <w:t>, “New WID on Artificial Intelligence (AI)/Machine Learning (ML) for NR Air Interface”, RAN#</w:t>
      </w:r>
      <w:r>
        <w:t>102</w:t>
      </w:r>
      <w:bookmarkEnd w:id="16"/>
    </w:p>
    <w:p w14:paraId="56B22435" w14:textId="4441E436" w:rsidR="00F43834" w:rsidRDefault="00F43834" w:rsidP="00F43834">
      <w:pPr>
        <w:numPr>
          <w:ilvl w:val="0"/>
          <w:numId w:val="2"/>
        </w:numPr>
        <w:jc w:val="both"/>
      </w:pPr>
      <w:bookmarkStart w:id="17" w:name="_Ref178875441"/>
      <w:r>
        <w:t>TS 38.214, “5G NR Physical layer procedures for data,” 3GPP Release 17, Feb. 2024.</w:t>
      </w:r>
      <w:bookmarkEnd w:id="17"/>
    </w:p>
    <w:p w14:paraId="054035A9" w14:textId="01DF6B71" w:rsidR="00C51BB8" w:rsidRDefault="00C51BB8" w:rsidP="00C51BB8">
      <w:pPr>
        <w:numPr>
          <w:ilvl w:val="0"/>
          <w:numId w:val="2"/>
        </w:numPr>
        <w:jc w:val="both"/>
      </w:pPr>
      <w:bookmarkStart w:id="18" w:name="_Ref194008353"/>
      <w:r>
        <w:t>R1-2501595, “</w:t>
      </w:r>
      <w:r w:rsidRPr="00C51BB8">
        <w:t>FL summary #6 for AI/ML in beam management</w:t>
      </w:r>
      <w:r>
        <w:t xml:space="preserve">”, </w:t>
      </w:r>
      <w:r w:rsidR="00DA5FA3">
        <w:t>Samsung</w:t>
      </w:r>
      <w:r>
        <w:t>, TSG RAN WG1#120</w:t>
      </w:r>
      <w:bookmarkEnd w:id="18"/>
    </w:p>
    <w:p w14:paraId="0513187C" w14:textId="4E3C49EB" w:rsidR="00A50639" w:rsidRDefault="001772C3" w:rsidP="003850ED">
      <w:pPr>
        <w:numPr>
          <w:ilvl w:val="0"/>
          <w:numId w:val="2"/>
        </w:numPr>
        <w:jc w:val="both"/>
      </w:pPr>
      <w:bookmarkStart w:id="19" w:name="_Ref127449783"/>
      <w:bookmarkEnd w:id="12"/>
      <w:bookmarkEnd w:id="13"/>
      <w:r w:rsidRPr="00D31C65">
        <w:lastRenderedPageBreak/>
        <w:t>T</w:t>
      </w:r>
      <w:r w:rsidR="002053F3" w:rsidRPr="00D31C65">
        <w:t>S</w:t>
      </w:r>
      <w:r w:rsidRPr="00D31C65">
        <w:t xml:space="preserve"> 38.</w:t>
      </w:r>
      <w:r w:rsidR="002053F3" w:rsidRPr="00D31C65">
        <w:t>331</w:t>
      </w:r>
      <w:r w:rsidRPr="00D31C65">
        <w:t>, “</w:t>
      </w:r>
      <w:r w:rsidR="002053F3" w:rsidRPr="00D31C65">
        <w:t>5G NR Radio Resource Control (RRC); Protocol specification</w:t>
      </w:r>
      <w:r w:rsidR="00313D07">
        <w:t xml:space="preserve">; </w:t>
      </w:r>
      <w:r w:rsidR="00313D07" w:rsidRPr="00313D07">
        <w:t>(3GPP TS 38.331 version 18.3.0 Release 18)</w:t>
      </w:r>
      <w:r w:rsidR="00431132">
        <w:t>,</w:t>
      </w:r>
      <w:r w:rsidRPr="00D31C65">
        <w:t>” 3GPP Release 1</w:t>
      </w:r>
      <w:r w:rsidR="0047210A">
        <w:t>8</w:t>
      </w:r>
      <w:r w:rsidRPr="00D31C65">
        <w:t xml:space="preserve">, </w:t>
      </w:r>
      <w:r w:rsidR="0047210A">
        <w:t>Oct</w:t>
      </w:r>
      <w:r w:rsidR="002053F3" w:rsidRPr="00D31C65">
        <w:t>.</w:t>
      </w:r>
      <w:r w:rsidRPr="00D31C65">
        <w:t xml:space="preserve"> 20</w:t>
      </w:r>
      <w:r w:rsidR="002053F3" w:rsidRPr="00D31C65">
        <w:t>2</w:t>
      </w:r>
      <w:r w:rsidR="0047210A">
        <w:t>4</w:t>
      </w:r>
      <w:r w:rsidRPr="00D31C65">
        <w:t>.</w:t>
      </w:r>
      <w:bookmarkEnd w:id="14"/>
      <w:bookmarkEnd w:id="19"/>
    </w:p>
    <w:p w14:paraId="3E47E6EA" w14:textId="07F870E5" w:rsidR="00BB4110" w:rsidRDefault="0016432B" w:rsidP="00B35B3D">
      <w:pPr>
        <w:numPr>
          <w:ilvl w:val="0"/>
          <w:numId w:val="2"/>
        </w:numPr>
        <w:jc w:val="both"/>
      </w:pPr>
      <w:bookmarkStart w:id="20" w:name="_Ref158738238"/>
      <w:r>
        <w:t xml:space="preserve">TS 38.306, “5G NR </w:t>
      </w:r>
      <w:r w:rsidR="002144F3" w:rsidRPr="002144F3">
        <w:t>User Equipment (UE) radio access capabilities</w:t>
      </w:r>
      <w:r>
        <w:t>,” 3GPP Release 1</w:t>
      </w:r>
      <w:r w:rsidR="002144F3">
        <w:t>7</w:t>
      </w:r>
      <w:r>
        <w:t xml:space="preserve">, </w:t>
      </w:r>
      <w:r w:rsidR="002144F3">
        <w:t>Aug</w:t>
      </w:r>
      <w:r>
        <w:t>. 202</w:t>
      </w:r>
      <w:r w:rsidR="002144F3">
        <w:t>2</w:t>
      </w:r>
      <w:r>
        <w:t>.</w:t>
      </w:r>
      <w:bookmarkEnd w:id="20"/>
    </w:p>
    <w:sectPr w:rsidR="00BB41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8E5BF" w14:textId="77777777" w:rsidR="000A6970" w:rsidRDefault="000A6970">
      <w:r>
        <w:separator/>
      </w:r>
    </w:p>
  </w:endnote>
  <w:endnote w:type="continuationSeparator" w:id="0">
    <w:p w14:paraId="09E1EA82" w14:textId="77777777" w:rsidR="000A6970" w:rsidRDefault="000A6970">
      <w:r>
        <w:continuationSeparator/>
      </w:r>
    </w:p>
  </w:endnote>
  <w:endnote w:type="continuationNotice" w:id="1">
    <w:p w14:paraId="60DA6386" w14:textId="77777777" w:rsidR="000A6970" w:rsidRDefault="000A6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2058A" w14:textId="77777777" w:rsidR="000A6970" w:rsidRDefault="000A6970">
      <w:r>
        <w:separator/>
      </w:r>
    </w:p>
  </w:footnote>
  <w:footnote w:type="continuationSeparator" w:id="0">
    <w:p w14:paraId="4DC983D4" w14:textId="77777777" w:rsidR="000A6970" w:rsidRDefault="000A6970">
      <w:r>
        <w:continuationSeparator/>
      </w:r>
    </w:p>
  </w:footnote>
  <w:footnote w:type="continuationNotice" w:id="1">
    <w:p w14:paraId="300AE121" w14:textId="77777777" w:rsidR="000A6970" w:rsidRDefault="000A69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EF0"/>
    <w:multiLevelType w:val="hybridMultilevel"/>
    <w:tmpl w:val="D1A2E5EC"/>
    <w:lvl w:ilvl="0" w:tplc="338AABC8">
      <w:start w:val="1"/>
      <w:numFmt w:val="bullet"/>
      <w:lvlText w:val=""/>
      <w:lvlJc w:val="left"/>
      <w:pPr>
        <w:tabs>
          <w:tab w:val="num" w:pos="720"/>
        </w:tabs>
        <w:ind w:left="720" w:hanging="360"/>
      </w:pPr>
      <w:rPr>
        <w:rFonts w:ascii="Symbol" w:hAnsi="Symbol" w:hint="default"/>
      </w:rPr>
    </w:lvl>
    <w:lvl w:ilvl="1" w:tplc="BBAA0F68">
      <w:numFmt w:val="bullet"/>
      <w:lvlText w:val="o"/>
      <w:lvlJc w:val="left"/>
      <w:pPr>
        <w:tabs>
          <w:tab w:val="num" w:pos="1440"/>
        </w:tabs>
        <w:ind w:left="1440" w:hanging="360"/>
      </w:pPr>
      <w:rPr>
        <w:rFonts w:ascii="Courier New" w:hAnsi="Courier New" w:hint="default"/>
      </w:rPr>
    </w:lvl>
    <w:lvl w:ilvl="2" w:tplc="843A0A4E">
      <w:numFmt w:val="bullet"/>
      <w:lvlText w:val=""/>
      <w:lvlJc w:val="left"/>
      <w:pPr>
        <w:tabs>
          <w:tab w:val="num" w:pos="2160"/>
        </w:tabs>
        <w:ind w:left="2160" w:hanging="360"/>
      </w:pPr>
      <w:rPr>
        <w:rFonts w:ascii="Wingdings" w:hAnsi="Wingdings" w:hint="default"/>
      </w:rPr>
    </w:lvl>
    <w:lvl w:ilvl="3" w:tplc="AE44DCA2" w:tentative="1">
      <w:start w:val="1"/>
      <w:numFmt w:val="bullet"/>
      <w:lvlText w:val=""/>
      <w:lvlJc w:val="left"/>
      <w:pPr>
        <w:tabs>
          <w:tab w:val="num" w:pos="2880"/>
        </w:tabs>
        <w:ind w:left="2880" w:hanging="360"/>
      </w:pPr>
      <w:rPr>
        <w:rFonts w:ascii="Symbol" w:hAnsi="Symbol" w:hint="default"/>
      </w:rPr>
    </w:lvl>
    <w:lvl w:ilvl="4" w:tplc="DE86574A" w:tentative="1">
      <w:start w:val="1"/>
      <w:numFmt w:val="bullet"/>
      <w:lvlText w:val=""/>
      <w:lvlJc w:val="left"/>
      <w:pPr>
        <w:tabs>
          <w:tab w:val="num" w:pos="3600"/>
        </w:tabs>
        <w:ind w:left="3600" w:hanging="360"/>
      </w:pPr>
      <w:rPr>
        <w:rFonts w:ascii="Symbol" w:hAnsi="Symbol" w:hint="default"/>
      </w:rPr>
    </w:lvl>
    <w:lvl w:ilvl="5" w:tplc="4262F654" w:tentative="1">
      <w:start w:val="1"/>
      <w:numFmt w:val="bullet"/>
      <w:lvlText w:val=""/>
      <w:lvlJc w:val="left"/>
      <w:pPr>
        <w:tabs>
          <w:tab w:val="num" w:pos="4320"/>
        </w:tabs>
        <w:ind w:left="4320" w:hanging="360"/>
      </w:pPr>
      <w:rPr>
        <w:rFonts w:ascii="Symbol" w:hAnsi="Symbol" w:hint="default"/>
      </w:rPr>
    </w:lvl>
    <w:lvl w:ilvl="6" w:tplc="A64898F0" w:tentative="1">
      <w:start w:val="1"/>
      <w:numFmt w:val="bullet"/>
      <w:lvlText w:val=""/>
      <w:lvlJc w:val="left"/>
      <w:pPr>
        <w:tabs>
          <w:tab w:val="num" w:pos="5040"/>
        </w:tabs>
        <w:ind w:left="5040" w:hanging="360"/>
      </w:pPr>
      <w:rPr>
        <w:rFonts w:ascii="Symbol" w:hAnsi="Symbol" w:hint="default"/>
      </w:rPr>
    </w:lvl>
    <w:lvl w:ilvl="7" w:tplc="AA949A14" w:tentative="1">
      <w:start w:val="1"/>
      <w:numFmt w:val="bullet"/>
      <w:lvlText w:val=""/>
      <w:lvlJc w:val="left"/>
      <w:pPr>
        <w:tabs>
          <w:tab w:val="num" w:pos="5760"/>
        </w:tabs>
        <w:ind w:left="5760" w:hanging="360"/>
      </w:pPr>
      <w:rPr>
        <w:rFonts w:ascii="Symbol" w:hAnsi="Symbol" w:hint="default"/>
      </w:rPr>
    </w:lvl>
    <w:lvl w:ilvl="8" w:tplc="75B4E3E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1386571"/>
    <w:multiLevelType w:val="hybridMultilevel"/>
    <w:tmpl w:val="F47E4B14"/>
    <w:lvl w:ilvl="0" w:tplc="B5561664">
      <w:start w:val="1"/>
      <w:numFmt w:val="bullet"/>
      <w:lvlText w:val=""/>
      <w:lvlJc w:val="left"/>
      <w:pPr>
        <w:tabs>
          <w:tab w:val="num" w:pos="720"/>
        </w:tabs>
        <w:ind w:left="720" w:hanging="360"/>
      </w:pPr>
      <w:rPr>
        <w:rFonts w:ascii="Symbol" w:hAnsi="Symbol" w:hint="default"/>
      </w:rPr>
    </w:lvl>
    <w:lvl w:ilvl="1" w:tplc="7452DA66">
      <w:numFmt w:val="bullet"/>
      <w:lvlText w:val="o"/>
      <w:lvlJc w:val="left"/>
      <w:pPr>
        <w:tabs>
          <w:tab w:val="num" w:pos="1440"/>
        </w:tabs>
        <w:ind w:left="1440" w:hanging="360"/>
      </w:pPr>
      <w:rPr>
        <w:rFonts w:ascii="Courier New" w:hAnsi="Courier New" w:hint="default"/>
      </w:rPr>
    </w:lvl>
    <w:lvl w:ilvl="2" w:tplc="1014321C">
      <w:numFmt w:val="bullet"/>
      <w:lvlText w:val=""/>
      <w:lvlJc w:val="left"/>
      <w:pPr>
        <w:tabs>
          <w:tab w:val="num" w:pos="2160"/>
        </w:tabs>
        <w:ind w:left="2160" w:hanging="360"/>
      </w:pPr>
      <w:rPr>
        <w:rFonts w:ascii="Wingdings" w:hAnsi="Wingdings" w:hint="default"/>
      </w:rPr>
    </w:lvl>
    <w:lvl w:ilvl="3" w:tplc="A67C833E" w:tentative="1">
      <w:start w:val="1"/>
      <w:numFmt w:val="bullet"/>
      <w:lvlText w:val=""/>
      <w:lvlJc w:val="left"/>
      <w:pPr>
        <w:tabs>
          <w:tab w:val="num" w:pos="2880"/>
        </w:tabs>
        <w:ind w:left="2880" w:hanging="360"/>
      </w:pPr>
      <w:rPr>
        <w:rFonts w:ascii="Symbol" w:hAnsi="Symbol" w:hint="default"/>
      </w:rPr>
    </w:lvl>
    <w:lvl w:ilvl="4" w:tplc="4D6CB580" w:tentative="1">
      <w:start w:val="1"/>
      <w:numFmt w:val="bullet"/>
      <w:lvlText w:val=""/>
      <w:lvlJc w:val="left"/>
      <w:pPr>
        <w:tabs>
          <w:tab w:val="num" w:pos="3600"/>
        </w:tabs>
        <w:ind w:left="3600" w:hanging="360"/>
      </w:pPr>
      <w:rPr>
        <w:rFonts w:ascii="Symbol" w:hAnsi="Symbol" w:hint="default"/>
      </w:rPr>
    </w:lvl>
    <w:lvl w:ilvl="5" w:tplc="64C2D70E" w:tentative="1">
      <w:start w:val="1"/>
      <w:numFmt w:val="bullet"/>
      <w:lvlText w:val=""/>
      <w:lvlJc w:val="left"/>
      <w:pPr>
        <w:tabs>
          <w:tab w:val="num" w:pos="4320"/>
        </w:tabs>
        <w:ind w:left="4320" w:hanging="360"/>
      </w:pPr>
      <w:rPr>
        <w:rFonts w:ascii="Symbol" w:hAnsi="Symbol" w:hint="default"/>
      </w:rPr>
    </w:lvl>
    <w:lvl w:ilvl="6" w:tplc="DB6EA038" w:tentative="1">
      <w:start w:val="1"/>
      <w:numFmt w:val="bullet"/>
      <w:lvlText w:val=""/>
      <w:lvlJc w:val="left"/>
      <w:pPr>
        <w:tabs>
          <w:tab w:val="num" w:pos="5040"/>
        </w:tabs>
        <w:ind w:left="5040" w:hanging="360"/>
      </w:pPr>
      <w:rPr>
        <w:rFonts w:ascii="Symbol" w:hAnsi="Symbol" w:hint="default"/>
      </w:rPr>
    </w:lvl>
    <w:lvl w:ilvl="7" w:tplc="0AA0E088" w:tentative="1">
      <w:start w:val="1"/>
      <w:numFmt w:val="bullet"/>
      <w:lvlText w:val=""/>
      <w:lvlJc w:val="left"/>
      <w:pPr>
        <w:tabs>
          <w:tab w:val="num" w:pos="5760"/>
        </w:tabs>
        <w:ind w:left="5760" w:hanging="360"/>
      </w:pPr>
      <w:rPr>
        <w:rFonts w:ascii="Symbol" w:hAnsi="Symbol" w:hint="default"/>
      </w:rPr>
    </w:lvl>
    <w:lvl w:ilvl="8" w:tplc="3CA28CE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EF6E77"/>
    <w:multiLevelType w:val="hybridMultilevel"/>
    <w:tmpl w:val="559A5D14"/>
    <w:lvl w:ilvl="0" w:tplc="1C8C7C68">
      <w:start w:val="1"/>
      <w:numFmt w:val="bullet"/>
      <w:lvlText w:val=""/>
      <w:lvlJc w:val="left"/>
      <w:pPr>
        <w:tabs>
          <w:tab w:val="num" w:pos="720"/>
        </w:tabs>
        <w:ind w:left="720" w:hanging="360"/>
      </w:pPr>
      <w:rPr>
        <w:rFonts w:ascii="Symbol" w:hAnsi="Symbol" w:hint="default"/>
      </w:rPr>
    </w:lvl>
    <w:lvl w:ilvl="1" w:tplc="123AA482" w:tentative="1">
      <w:start w:val="1"/>
      <w:numFmt w:val="bullet"/>
      <w:lvlText w:val=""/>
      <w:lvlJc w:val="left"/>
      <w:pPr>
        <w:tabs>
          <w:tab w:val="num" w:pos="1440"/>
        </w:tabs>
        <w:ind w:left="1440" w:hanging="360"/>
      </w:pPr>
      <w:rPr>
        <w:rFonts w:ascii="Symbol" w:hAnsi="Symbol" w:hint="default"/>
      </w:rPr>
    </w:lvl>
    <w:lvl w:ilvl="2" w:tplc="86888914" w:tentative="1">
      <w:start w:val="1"/>
      <w:numFmt w:val="bullet"/>
      <w:lvlText w:val=""/>
      <w:lvlJc w:val="left"/>
      <w:pPr>
        <w:tabs>
          <w:tab w:val="num" w:pos="2160"/>
        </w:tabs>
        <w:ind w:left="2160" w:hanging="360"/>
      </w:pPr>
      <w:rPr>
        <w:rFonts w:ascii="Symbol" w:hAnsi="Symbol" w:hint="default"/>
      </w:rPr>
    </w:lvl>
    <w:lvl w:ilvl="3" w:tplc="3892C1FE" w:tentative="1">
      <w:start w:val="1"/>
      <w:numFmt w:val="bullet"/>
      <w:lvlText w:val=""/>
      <w:lvlJc w:val="left"/>
      <w:pPr>
        <w:tabs>
          <w:tab w:val="num" w:pos="2880"/>
        </w:tabs>
        <w:ind w:left="2880" w:hanging="360"/>
      </w:pPr>
      <w:rPr>
        <w:rFonts w:ascii="Symbol" w:hAnsi="Symbol" w:hint="default"/>
      </w:rPr>
    </w:lvl>
    <w:lvl w:ilvl="4" w:tplc="B008C8DC" w:tentative="1">
      <w:start w:val="1"/>
      <w:numFmt w:val="bullet"/>
      <w:lvlText w:val=""/>
      <w:lvlJc w:val="left"/>
      <w:pPr>
        <w:tabs>
          <w:tab w:val="num" w:pos="3600"/>
        </w:tabs>
        <w:ind w:left="3600" w:hanging="360"/>
      </w:pPr>
      <w:rPr>
        <w:rFonts w:ascii="Symbol" w:hAnsi="Symbol" w:hint="default"/>
      </w:rPr>
    </w:lvl>
    <w:lvl w:ilvl="5" w:tplc="232C9C48" w:tentative="1">
      <w:start w:val="1"/>
      <w:numFmt w:val="bullet"/>
      <w:lvlText w:val=""/>
      <w:lvlJc w:val="left"/>
      <w:pPr>
        <w:tabs>
          <w:tab w:val="num" w:pos="4320"/>
        </w:tabs>
        <w:ind w:left="4320" w:hanging="360"/>
      </w:pPr>
      <w:rPr>
        <w:rFonts w:ascii="Symbol" w:hAnsi="Symbol" w:hint="default"/>
      </w:rPr>
    </w:lvl>
    <w:lvl w:ilvl="6" w:tplc="F9E8ECE2" w:tentative="1">
      <w:start w:val="1"/>
      <w:numFmt w:val="bullet"/>
      <w:lvlText w:val=""/>
      <w:lvlJc w:val="left"/>
      <w:pPr>
        <w:tabs>
          <w:tab w:val="num" w:pos="5040"/>
        </w:tabs>
        <w:ind w:left="5040" w:hanging="360"/>
      </w:pPr>
      <w:rPr>
        <w:rFonts w:ascii="Symbol" w:hAnsi="Symbol" w:hint="default"/>
      </w:rPr>
    </w:lvl>
    <w:lvl w:ilvl="7" w:tplc="1CB4821C" w:tentative="1">
      <w:start w:val="1"/>
      <w:numFmt w:val="bullet"/>
      <w:lvlText w:val=""/>
      <w:lvlJc w:val="left"/>
      <w:pPr>
        <w:tabs>
          <w:tab w:val="num" w:pos="5760"/>
        </w:tabs>
        <w:ind w:left="5760" w:hanging="360"/>
      </w:pPr>
      <w:rPr>
        <w:rFonts w:ascii="Symbol" w:hAnsi="Symbol" w:hint="default"/>
      </w:rPr>
    </w:lvl>
    <w:lvl w:ilvl="8" w:tplc="05DE876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16396"/>
    <w:multiLevelType w:val="hybridMultilevel"/>
    <w:tmpl w:val="ECAABB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C6EF4"/>
    <w:multiLevelType w:val="hybridMultilevel"/>
    <w:tmpl w:val="AC9C8190"/>
    <w:lvl w:ilvl="0" w:tplc="D2BAC350">
      <w:start w:val="1"/>
      <w:numFmt w:val="bullet"/>
      <w:lvlText w:val=""/>
      <w:lvlJc w:val="left"/>
      <w:pPr>
        <w:tabs>
          <w:tab w:val="num" w:pos="720"/>
        </w:tabs>
        <w:ind w:left="720" w:hanging="360"/>
      </w:pPr>
      <w:rPr>
        <w:rFonts w:ascii="Symbol" w:hAnsi="Symbol" w:hint="default"/>
      </w:rPr>
    </w:lvl>
    <w:lvl w:ilvl="1" w:tplc="5CE2D904" w:tentative="1">
      <w:start w:val="1"/>
      <w:numFmt w:val="bullet"/>
      <w:lvlText w:val=""/>
      <w:lvlJc w:val="left"/>
      <w:pPr>
        <w:tabs>
          <w:tab w:val="num" w:pos="1440"/>
        </w:tabs>
        <w:ind w:left="1440" w:hanging="360"/>
      </w:pPr>
      <w:rPr>
        <w:rFonts w:ascii="Symbol" w:hAnsi="Symbol" w:hint="default"/>
      </w:rPr>
    </w:lvl>
    <w:lvl w:ilvl="2" w:tplc="FCE43A7A" w:tentative="1">
      <w:start w:val="1"/>
      <w:numFmt w:val="bullet"/>
      <w:lvlText w:val=""/>
      <w:lvlJc w:val="left"/>
      <w:pPr>
        <w:tabs>
          <w:tab w:val="num" w:pos="2160"/>
        </w:tabs>
        <w:ind w:left="2160" w:hanging="360"/>
      </w:pPr>
      <w:rPr>
        <w:rFonts w:ascii="Symbol" w:hAnsi="Symbol" w:hint="default"/>
      </w:rPr>
    </w:lvl>
    <w:lvl w:ilvl="3" w:tplc="E9C83D1E" w:tentative="1">
      <w:start w:val="1"/>
      <w:numFmt w:val="bullet"/>
      <w:lvlText w:val=""/>
      <w:lvlJc w:val="left"/>
      <w:pPr>
        <w:tabs>
          <w:tab w:val="num" w:pos="2880"/>
        </w:tabs>
        <w:ind w:left="2880" w:hanging="360"/>
      </w:pPr>
      <w:rPr>
        <w:rFonts w:ascii="Symbol" w:hAnsi="Symbol" w:hint="default"/>
      </w:rPr>
    </w:lvl>
    <w:lvl w:ilvl="4" w:tplc="1C02DA9A" w:tentative="1">
      <w:start w:val="1"/>
      <w:numFmt w:val="bullet"/>
      <w:lvlText w:val=""/>
      <w:lvlJc w:val="left"/>
      <w:pPr>
        <w:tabs>
          <w:tab w:val="num" w:pos="3600"/>
        </w:tabs>
        <w:ind w:left="3600" w:hanging="360"/>
      </w:pPr>
      <w:rPr>
        <w:rFonts w:ascii="Symbol" w:hAnsi="Symbol" w:hint="default"/>
      </w:rPr>
    </w:lvl>
    <w:lvl w:ilvl="5" w:tplc="E7B21F6C" w:tentative="1">
      <w:start w:val="1"/>
      <w:numFmt w:val="bullet"/>
      <w:lvlText w:val=""/>
      <w:lvlJc w:val="left"/>
      <w:pPr>
        <w:tabs>
          <w:tab w:val="num" w:pos="4320"/>
        </w:tabs>
        <w:ind w:left="4320" w:hanging="360"/>
      </w:pPr>
      <w:rPr>
        <w:rFonts w:ascii="Symbol" w:hAnsi="Symbol" w:hint="default"/>
      </w:rPr>
    </w:lvl>
    <w:lvl w:ilvl="6" w:tplc="F7DE803C" w:tentative="1">
      <w:start w:val="1"/>
      <w:numFmt w:val="bullet"/>
      <w:lvlText w:val=""/>
      <w:lvlJc w:val="left"/>
      <w:pPr>
        <w:tabs>
          <w:tab w:val="num" w:pos="5040"/>
        </w:tabs>
        <w:ind w:left="5040" w:hanging="360"/>
      </w:pPr>
      <w:rPr>
        <w:rFonts w:ascii="Symbol" w:hAnsi="Symbol" w:hint="default"/>
      </w:rPr>
    </w:lvl>
    <w:lvl w:ilvl="7" w:tplc="04D4979E" w:tentative="1">
      <w:start w:val="1"/>
      <w:numFmt w:val="bullet"/>
      <w:lvlText w:val=""/>
      <w:lvlJc w:val="left"/>
      <w:pPr>
        <w:tabs>
          <w:tab w:val="num" w:pos="5760"/>
        </w:tabs>
        <w:ind w:left="5760" w:hanging="360"/>
      </w:pPr>
      <w:rPr>
        <w:rFonts w:ascii="Symbol" w:hAnsi="Symbol" w:hint="default"/>
      </w:rPr>
    </w:lvl>
    <w:lvl w:ilvl="8" w:tplc="EDC6508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91FD7"/>
    <w:multiLevelType w:val="hybridMultilevel"/>
    <w:tmpl w:val="99EC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D27F4C"/>
    <w:multiLevelType w:val="hybridMultilevel"/>
    <w:tmpl w:val="B23E8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973469"/>
    <w:multiLevelType w:val="hybridMultilevel"/>
    <w:tmpl w:val="6B2E2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917C2"/>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10C57FA8"/>
    <w:multiLevelType w:val="hybridMultilevel"/>
    <w:tmpl w:val="B64C2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67478B"/>
    <w:multiLevelType w:val="hybridMultilevel"/>
    <w:tmpl w:val="A548559A"/>
    <w:lvl w:ilvl="0" w:tplc="8E1E80BA">
      <w:start w:val="1"/>
      <w:numFmt w:val="bullet"/>
      <w:lvlText w:val=""/>
      <w:lvlJc w:val="left"/>
      <w:pPr>
        <w:tabs>
          <w:tab w:val="num" w:pos="720"/>
        </w:tabs>
        <w:ind w:left="720" w:hanging="360"/>
      </w:pPr>
      <w:rPr>
        <w:rFonts w:ascii="Symbol" w:hAnsi="Symbol" w:hint="default"/>
      </w:rPr>
    </w:lvl>
    <w:lvl w:ilvl="1" w:tplc="CA083F3E" w:tentative="1">
      <w:start w:val="1"/>
      <w:numFmt w:val="bullet"/>
      <w:lvlText w:val=""/>
      <w:lvlJc w:val="left"/>
      <w:pPr>
        <w:tabs>
          <w:tab w:val="num" w:pos="1440"/>
        </w:tabs>
        <w:ind w:left="1440" w:hanging="360"/>
      </w:pPr>
      <w:rPr>
        <w:rFonts w:ascii="Symbol" w:hAnsi="Symbol" w:hint="default"/>
      </w:rPr>
    </w:lvl>
    <w:lvl w:ilvl="2" w:tplc="9D58DEC4" w:tentative="1">
      <w:start w:val="1"/>
      <w:numFmt w:val="bullet"/>
      <w:lvlText w:val=""/>
      <w:lvlJc w:val="left"/>
      <w:pPr>
        <w:tabs>
          <w:tab w:val="num" w:pos="2160"/>
        </w:tabs>
        <w:ind w:left="2160" w:hanging="360"/>
      </w:pPr>
      <w:rPr>
        <w:rFonts w:ascii="Symbol" w:hAnsi="Symbol" w:hint="default"/>
      </w:rPr>
    </w:lvl>
    <w:lvl w:ilvl="3" w:tplc="B3E048E0" w:tentative="1">
      <w:start w:val="1"/>
      <w:numFmt w:val="bullet"/>
      <w:lvlText w:val=""/>
      <w:lvlJc w:val="left"/>
      <w:pPr>
        <w:tabs>
          <w:tab w:val="num" w:pos="2880"/>
        </w:tabs>
        <w:ind w:left="2880" w:hanging="360"/>
      </w:pPr>
      <w:rPr>
        <w:rFonts w:ascii="Symbol" w:hAnsi="Symbol" w:hint="default"/>
      </w:rPr>
    </w:lvl>
    <w:lvl w:ilvl="4" w:tplc="11E60E0C" w:tentative="1">
      <w:start w:val="1"/>
      <w:numFmt w:val="bullet"/>
      <w:lvlText w:val=""/>
      <w:lvlJc w:val="left"/>
      <w:pPr>
        <w:tabs>
          <w:tab w:val="num" w:pos="3600"/>
        </w:tabs>
        <w:ind w:left="3600" w:hanging="360"/>
      </w:pPr>
      <w:rPr>
        <w:rFonts w:ascii="Symbol" w:hAnsi="Symbol" w:hint="default"/>
      </w:rPr>
    </w:lvl>
    <w:lvl w:ilvl="5" w:tplc="3308499A" w:tentative="1">
      <w:start w:val="1"/>
      <w:numFmt w:val="bullet"/>
      <w:lvlText w:val=""/>
      <w:lvlJc w:val="left"/>
      <w:pPr>
        <w:tabs>
          <w:tab w:val="num" w:pos="4320"/>
        </w:tabs>
        <w:ind w:left="4320" w:hanging="360"/>
      </w:pPr>
      <w:rPr>
        <w:rFonts w:ascii="Symbol" w:hAnsi="Symbol" w:hint="default"/>
      </w:rPr>
    </w:lvl>
    <w:lvl w:ilvl="6" w:tplc="1132271E" w:tentative="1">
      <w:start w:val="1"/>
      <w:numFmt w:val="bullet"/>
      <w:lvlText w:val=""/>
      <w:lvlJc w:val="left"/>
      <w:pPr>
        <w:tabs>
          <w:tab w:val="num" w:pos="5040"/>
        </w:tabs>
        <w:ind w:left="5040" w:hanging="360"/>
      </w:pPr>
      <w:rPr>
        <w:rFonts w:ascii="Symbol" w:hAnsi="Symbol" w:hint="default"/>
      </w:rPr>
    </w:lvl>
    <w:lvl w:ilvl="7" w:tplc="EC96DC40" w:tentative="1">
      <w:start w:val="1"/>
      <w:numFmt w:val="bullet"/>
      <w:lvlText w:val=""/>
      <w:lvlJc w:val="left"/>
      <w:pPr>
        <w:tabs>
          <w:tab w:val="num" w:pos="5760"/>
        </w:tabs>
        <w:ind w:left="5760" w:hanging="360"/>
      </w:pPr>
      <w:rPr>
        <w:rFonts w:ascii="Symbol" w:hAnsi="Symbol" w:hint="default"/>
      </w:rPr>
    </w:lvl>
    <w:lvl w:ilvl="8" w:tplc="2492405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5DB322A"/>
    <w:multiLevelType w:val="hybridMultilevel"/>
    <w:tmpl w:val="878A6320"/>
    <w:lvl w:ilvl="0" w:tplc="04090001">
      <w:start w:val="1"/>
      <w:numFmt w:val="bullet"/>
      <w:lvlText w:val=""/>
      <w:lvlJc w:val="left"/>
      <w:pPr>
        <w:ind w:left="720" w:hanging="360"/>
      </w:pPr>
      <w:rPr>
        <w:rFonts w:ascii="Symbol" w:hAnsi="Symbol" w:hint="default"/>
      </w:rPr>
    </w:lvl>
    <w:lvl w:ilvl="1" w:tplc="679087CC">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AE574DB"/>
    <w:multiLevelType w:val="hybridMultilevel"/>
    <w:tmpl w:val="921CAE9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6226D7"/>
    <w:multiLevelType w:val="hybridMultilevel"/>
    <w:tmpl w:val="6036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40C7485"/>
    <w:multiLevelType w:val="hybridMultilevel"/>
    <w:tmpl w:val="B64C26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6FD4B89"/>
    <w:multiLevelType w:val="hybridMultilevel"/>
    <w:tmpl w:val="12E8ADE8"/>
    <w:lvl w:ilvl="0" w:tplc="44F01C3A">
      <w:start w:val="1"/>
      <w:numFmt w:val="bullet"/>
      <w:lvlText w:val=""/>
      <w:lvlJc w:val="left"/>
      <w:pPr>
        <w:tabs>
          <w:tab w:val="num" w:pos="720"/>
        </w:tabs>
        <w:ind w:left="720" w:hanging="360"/>
      </w:pPr>
      <w:rPr>
        <w:rFonts w:ascii="Symbol" w:hAnsi="Symbol" w:hint="default"/>
      </w:rPr>
    </w:lvl>
    <w:lvl w:ilvl="1" w:tplc="3550C590" w:tentative="1">
      <w:start w:val="1"/>
      <w:numFmt w:val="bullet"/>
      <w:lvlText w:val=""/>
      <w:lvlJc w:val="left"/>
      <w:pPr>
        <w:tabs>
          <w:tab w:val="num" w:pos="1440"/>
        </w:tabs>
        <w:ind w:left="1440" w:hanging="360"/>
      </w:pPr>
      <w:rPr>
        <w:rFonts w:ascii="Symbol" w:hAnsi="Symbol" w:hint="default"/>
      </w:rPr>
    </w:lvl>
    <w:lvl w:ilvl="2" w:tplc="C9484816" w:tentative="1">
      <w:start w:val="1"/>
      <w:numFmt w:val="bullet"/>
      <w:lvlText w:val=""/>
      <w:lvlJc w:val="left"/>
      <w:pPr>
        <w:tabs>
          <w:tab w:val="num" w:pos="2160"/>
        </w:tabs>
        <w:ind w:left="2160" w:hanging="360"/>
      </w:pPr>
      <w:rPr>
        <w:rFonts w:ascii="Symbol" w:hAnsi="Symbol" w:hint="default"/>
      </w:rPr>
    </w:lvl>
    <w:lvl w:ilvl="3" w:tplc="CBA4EDE0" w:tentative="1">
      <w:start w:val="1"/>
      <w:numFmt w:val="bullet"/>
      <w:lvlText w:val=""/>
      <w:lvlJc w:val="left"/>
      <w:pPr>
        <w:tabs>
          <w:tab w:val="num" w:pos="2880"/>
        </w:tabs>
        <w:ind w:left="2880" w:hanging="360"/>
      </w:pPr>
      <w:rPr>
        <w:rFonts w:ascii="Symbol" w:hAnsi="Symbol" w:hint="default"/>
      </w:rPr>
    </w:lvl>
    <w:lvl w:ilvl="4" w:tplc="6002C6AC" w:tentative="1">
      <w:start w:val="1"/>
      <w:numFmt w:val="bullet"/>
      <w:lvlText w:val=""/>
      <w:lvlJc w:val="left"/>
      <w:pPr>
        <w:tabs>
          <w:tab w:val="num" w:pos="3600"/>
        </w:tabs>
        <w:ind w:left="3600" w:hanging="360"/>
      </w:pPr>
      <w:rPr>
        <w:rFonts w:ascii="Symbol" w:hAnsi="Symbol" w:hint="default"/>
      </w:rPr>
    </w:lvl>
    <w:lvl w:ilvl="5" w:tplc="6E7E7B38" w:tentative="1">
      <w:start w:val="1"/>
      <w:numFmt w:val="bullet"/>
      <w:lvlText w:val=""/>
      <w:lvlJc w:val="left"/>
      <w:pPr>
        <w:tabs>
          <w:tab w:val="num" w:pos="4320"/>
        </w:tabs>
        <w:ind w:left="4320" w:hanging="360"/>
      </w:pPr>
      <w:rPr>
        <w:rFonts w:ascii="Symbol" w:hAnsi="Symbol" w:hint="default"/>
      </w:rPr>
    </w:lvl>
    <w:lvl w:ilvl="6" w:tplc="9BC455E2" w:tentative="1">
      <w:start w:val="1"/>
      <w:numFmt w:val="bullet"/>
      <w:lvlText w:val=""/>
      <w:lvlJc w:val="left"/>
      <w:pPr>
        <w:tabs>
          <w:tab w:val="num" w:pos="5040"/>
        </w:tabs>
        <w:ind w:left="5040" w:hanging="360"/>
      </w:pPr>
      <w:rPr>
        <w:rFonts w:ascii="Symbol" w:hAnsi="Symbol" w:hint="default"/>
      </w:rPr>
    </w:lvl>
    <w:lvl w:ilvl="7" w:tplc="24C86ADA" w:tentative="1">
      <w:start w:val="1"/>
      <w:numFmt w:val="bullet"/>
      <w:lvlText w:val=""/>
      <w:lvlJc w:val="left"/>
      <w:pPr>
        <w:tabs>
          <w:tab w:val="num" w:pos="5760"/>
        </w:tabs>
        <w:ind w:left="5760" w:hanging="360"/>
      </w:pPr>
      <w:rPr>
        <w:rFonts w:ascii="Symbol" w:hAnsi="Symbol" w:hint="default"/>
      </w:rPr>
    </w:lvl>
    <w:lvl w:ilvl="8" w:tplc="8B86220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792F71"/>
    <w:multiLevelType w:val="hybridMultilevel"/>
    <w:tmpl w:val="250CA3B2"/>
    <w:lvl w:ilvl="0" w:tplc="801064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3C054814"/>
    <w:multiLevelType w:val="hybridMultilevel"/>
    <w:tmpl w:val="D02E0ACC"/>
    <w:lvl w:ilvl="0" w:tplc="8D08DB9E">
      <w:start w:val="1"/>
      <w:numFmt w:val="bullet"/>
      <w:lvlText w:val=""/>
      <w:lvlJc w:val="left"/>
      <w:pPr>
        <w:tabs>
          <w:tab w:val="num" w:pos="720"/>
        </w:tabs>
        <w:ind w:left="720" w:hanging="360"/>
      </w:pPr>
      <w:rPr>
        <w:rFonts w:ascii="Symbol" w:hAnsi="Symbol" w:hint="default"/>
      </w:rPr>
    </w:lvl>
    <w:lvl w:ilvl="1" w:tplc="F36E6A10" w:tentative="1">
      <w:start w:val="1"/>
      <w:numFmt w:val="bullet"/>
      <w:lvlText w:val=""/>
      <w:lvlJc w:val="left"/>
      <w:pPr>
        <w:tabs>
          <w:tab w:val="num" w:pos="1440"/>
        </w:tabs>
        <w:ind w:left="1440" w:hanging="360"/>
      </w:pPr>
      <w:rPr>
        <w:rFonts w:ascii="Symbol" w:hAnsi="Symbol" w:hint="default"/>
      </w:rPr>
    </w:lvl>
    <w:lvl w:ilvl="2" w:tplc="5EBE3D58" w:tentative="1">
      <w:start w:val="1"/>
      <w:numFmt w:val="bullet"/>
      <w:lvlText w:val=""/>
      <w:lvlJc w:val="left"/>
      <w:pPr>
        <w:tabs>
          <w:tab w:val="num" w:pos="2160"/>
        </w:tabs>
        <w:ind w:left="2160" w:hanging="360"/>
      </w:pPr>
      <w:rPr>
        <w:rFonts w:ascii="Symbol" w:hAnsi="Symbol" w:hint="default"/>
      </w:rPr>
    </w:lvl>
    <w:lvl w:ilvl="3" w:tplc="B24C9D4C" w:tentative="1">
      <w:start w:val="1"/>
      <w:numFmt w:val="bullet"/>
      <w:lvlText w:val=""/>
      <w:lvlJc w:val="left"/>
      <w:pPr>
        <w:tabs>
          <w:tab w:val="num" w:pos="2880"/>
        </w:tabs>
        <w:ind w:left="2880" w:hanging="360"/>
      </w:pPr>
      <w:rPr>
        <w:rFonts w:ascii="Symbol" w:hAnsi="Symbol" w:hint="default"/>
      </w:rPr>
    </w:lvl>
    <w:lvl w:ilvl="4" w:tplc="091A6F98" w:tentative="1">
      <w:start w:val="1"/>
      <w:numFmt w:val="bullet"/>
      <w:lvlText w:val=""/>
      <w:lvlJc w:val="left"/>
      <w:pPr>
        <w:tabs>
          <w:tab w:val="num" w:pos="3600"/>
        </w:tabs>
        <w:ind w:left="3600" w:hanging="360"/>
      </w:pPr>
      <w:rPr>
        <w:rFonts w:ascii="Symbol" w:hAnsi="Symbol" w:hint="default"/>
      </w:rPr>
    </w:lvl>
    <w:lvl w:ilvl="5" w:tplc="BA28409C" w:tentative="1">
      <w:start w:val="1"/>
      <w:numFmt w:val="bullet"/>
      <w:lvlText w:val=""/>
      <w:lvlJc w:val="left"/>
      <w:pPr>
        <w:tabs>
          <w:tab w:val="num" w:pos="4320"/>
        </w:tabs>
        <w:ind w:left="4320" w:hanging="360"/>
      </w:pPr>
      <w:rPr>
        <w:rFonts w:ascii="Symbol" w:hAnsi="Symbol" w:hint="default"/>
      </w:rPr>
    </w:lvl>
    <w:lvl w:ilvl="6" w:tplc="01C4F694" w:tentative="1">
      <w:start w:val="1"/>
      <w:numFmt w:val="bullet"/>
      <w:lvlText w:val=""/>
      <w:lvlJc w:val="left"/>
      <w:pPr>
        <w:tabs>
          <w:tab w:val="num" w:pos="5040"/>
        </w:tabs>
        <w:ind w:left="5040" w:hanging="360"/>
      </w:pPr>
      <w:rPr>
        <w:rFonts w:ascii="Symbol" w:hAnsi="Symbol" w:hint="default"/>
      </w:rPr>
    </w:lvl>
    <w:lvl w:ilvl="7" w:tplc="50E6DC66" w:tentative="1">
      <w:start w:val="1"/>
      <w:numFmt w:val="bullet"/>
      <w:lvlText w:val=""/>
      <w:lvlJc w:val="left"/>
      <w:pPr>
        <w:tabs>
          <w:tab w:val="num" w:pos="5760"/>
        </w:tabs>
        <w:ind w:left="5760" w:hanging="360"/>
      </w:pPr>
      <w:rPr>
        <w:rFonts w:ascii="Symbol" w:hAnsi="Symbol" w:hint="default"/>
      </w:rPr>
    </w:lvl>
    <w:lvl w:ilvl="8" w:tplc="ED22D2A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EAB778B"/>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3C80D02"/>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4"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479151A5"/>
    <w:multiLevelType w:val="hybridMultilevel"/>
    <w:tmpl w:val="932CA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38" w15:restartNumberingAfterBreak="0">
    <w:nsid w:val="49FC151B"/>
    <w:multiLevelType w:val="hybridMultilevel"/>
    <w:tmpl w:val="B768C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A073D1B"/>
    <w:multiLevelType w:val="hybridMultilevel"/>
    <w:tmpl w:val="00A8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5637ED1"/>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4"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cs="Times New Roman"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5"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7C09F0"/>
    <w:multiLevelType w:val="hybridMultilevel"/>
    <w:tmpl w:val="083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9A05A91"/>
    <w:multiLevelType w:val="hybridMultilevel"/>
    <w:tmpl w:val="29121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4" w15:restartNumberingAfterBreak="0">
    <w:nsid w:val="6F8B0107"/>
    <w:multiLevelType w:val="hybridMultilevel"/>
    <w:tmpl w:val="22602FC4"/>
    <w:lvl w:ilvl="0" w:tplc="3B105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2324897"/>
    <w:multiLevelType w:val="hybridMultilevel"/>
    <w:tmpl w:val="8522F1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746D3A08"/>
    <w:multiLevelType w:val="hybridMultilevel"/>
    <w:tmpl w:val="9E582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8" w15:restartNumberingAfterBreak="0">
    <w:nsid w:val="76683D15"/>
    <w:multiLevelType w:val="hybridMultilevel"/>
    <w:tmpl w:val="0004D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A62131"/>
    <w:multiLevelType w:val="hybridMultilevel"/>
    <w:tmpl w:val="F7E8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47523B"/>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1" w15:restartNumberingAfterBreak="0">
    <w:nsid w:val="7ACB1969"/>
    <w:multiLevelType w:val="hybridMultilevel"/>
    <w:tmpl w:val="8522F112"/>
    <w:lvl w:ilvl="0" w:tplc="FA6EE95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7BED18BC"/>
    <w:multiLevelType w:val="multilevel"/>
    <w:tmpl w:val="4A283F1A"/>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lang w:val="en-GB"/>
      </w:rPr>
    </w:lvl>
    <w:lvl w:ilvl="3">
      <w:start w:val="1"/>
      <w:numFmt w:val="decimal"/>
      <w:lvlText w:val="%1.%2.%3.%4."/>
      <w:lvlJc w:val="left"/>
      <w:pPr>
        <w:ind w:left="648" w:hanging="648"/>
      </w:pPr>
      <w:rPr>
        <w:rFonts w:hint="default"/>
        <w:sz w:val="24"/>
        <w:szCs w:val="24"/>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7040109">
    <w:abstractNumId w:val="62"/>
  </w:num>
  <w:num w:numId="2" w16cid:durableId="1219391726">
    <w:abstractNumId w:val="21"/>
  </w:num>
  <w:num w:numId="3" w16cid:durableId="284387598">
    <w:abstractNumId w:val="48"/>
  </w:num>
  <w:num w:numId="4" w16cid:durableId="382101161">
    <w:abstractNumId w:val="6"/>
  </w:num>
  <w:num w:numId="5" w16cid:durableId="555893624">
    <w:abstractNumId w:val="3"/>
  </w:num>
  <w:num w:numId="6" w16cid:durableId="180357052">
    <w:abstractNumId w:val="22"/>
  </w:num>
  <w:num w:numId="7" w16cid:durableId="266471972">
    <w:abstractNumId w:val="31"/>
  </w:num>
  <w:num w:numId="8" w16cid:durableId="1216895394">
    <w:abstractNumId w:val="46"/>
  </w:num>
  <w:num w:numId="9" w16cid:durableId="14131067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12432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1286388">
    <w:abstractNumId w:val="15"/>
  </w:num>
  <w:num w:numId="12" w16cid:durableId="273710786">
    <w:abstractNumId w:val="24"/>
  </w:num>
  <w:num w:numId="13" w16cid:durableId="1223374289">
    <w:abstractNumId w:val="35"/>
  </w:num>
  <w:num w:numId="14" w16cid:durableId="1038120498">
    <w:abstractNumId w:val="18"/>
  </w:num>
  <w:num w:numId="15" w16cid:durableId="87419951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0980715">
    <w:abstractNumId w:val="55"/>
  </w:num>
  <w:num w:numId="17" w16cid:durableId="1310982265">
    <w:abstractNumId w:val="59"/>
  </w:num>
  <w:num w:numId="18" w16cid:durableId="245110317">
    <w:abstractNumId w:val="49"/>
  </w:num>
  <w:num w:numId="19" w16cid:durableId="1941177865">
    <w:abstractNumId w:val="8"/>
  </w:num>
  <w:num w:numId="20" w16cid:durableId="2073772657">
    <w:abstractNumId w:val="17"/>
  </w:num>
  <w:num w:numId="21" w16cid:durableId="5212427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8797103">
    <w:abstractNumId w:val="63"/>
  </w:num>
  <w:num w:numId="23" w16cid:durableId="1985036578">
    <w:abstractNumId w:val="36"/>
  </w:num>
  <w:num w:numId="24" w16cid:durableId="1380937193">
    <w:abstractNumId w:val="58"/>
  </w:num>
  <w:num w:numId="25" w16cid:durableId="814182439">
    <w:abstractNumId w:val="38"/>
  </w:num>
  <w:num w:numId="26" w16cid:durableId="156656218">
    <w:abstractNumId w:val="49"/>
  </w:num>
  <w:num w:numId="27" w16cid:durableId="145245013">
    <w:abstractNumId w:val="39"/>
  </w:num>
  <w:num w:numId="28" w16cid:durableId="1381902635">
    <w:abstractNumId w:val="25"/>
  </w:num>
  <w:num w:numId="29" w16cid:durableId="19730562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0309448">
    <w:abstractNumId w:val="7"/>
  </w:num>
  <w:num w:numId="31" w16cid:durableId="908425370">
    <w:abstractNumId w:val="57"/>
  </w:num>
  <w:num w:numId="32" w16cid:durableId="1697193597">
    <w:abstractNumId w:val="27"/>
  </w:num>
  <w:num w:numId="33" w16cid:durableId="2126537732">
    <w:abstractNumId w:val="42"/>
  </w:num>
  <w:num w:numId="34" w16cid:durableId="1354039959">
    <w:abstractNumId w:val="8"/>
  </w:num>
  <w:num w:numId="35" w16cid:durableId="393281757">
    <w:abstractNumId w:val="20"/>
  </w:num>
  <w:num w:numId="36" w16cid:durableId="1972860146">
    <w:abstractNumId w:val="23"/>
  </w:num>
  <w:num w:numId="37" w16cid:durableId="239368013">
    <w:abstractNumId w:val="40"/>
  </w:num>
  <w:num w:numId="38" w16cid:durableId="1984265982">
    <w:abstractNumId w:val="41"/>
  </w:num>
  <w:num w:numId="39" w16cid:durableId="1419794523">
    <w:abstractNumId w:val="56"/>
  </w:num>
  <w:num w:numId="40" w16cid:durableId="433595990">
    <w:abstractNumId w:val="20"/>
  </w:num>
  <w:num w:numId="41" w16cid:durableId="1309869021">
    <w:abstractNumId w:val="50"/>
  </w:num>
  <w:num w:numId="42" w16cid:durableId="918292929">
    <w:abstractNumId w:val="18"/>
  </w:num>
  <w:num w:numId="43" w16cid:durableId="444037925">
    <w:abstractNumId w:val="39"/>
  </w:num>
  <w:num w:numId="44" w16cid:durableId="1115632038">
    <w:abstractNumId w:val="50"/>
  </w:num>
  <w:num w:numId="45" w16cid:durableId="61830137">
    <w:abstractNumId w:val="59"/>
  </w:num>
  <w:num w:numId="46" w16cid:durableId="1786001437">
    <w:abstractNumId w:val="60"/>
  </w:num>
  <w:num w:numId="47" w16cid:durableId="220751888">
    <w:abstractNumId w:val="49"/>
  </w:num>
  <w:num w:numId="48" w16cid:durableId="461534162">
    <w:abstractNumId w:val="52"/>
  </w:num>
  <w:num w:numId="49" w16cid:durableId="81604919">
    <w:abstractNumId w:val="45"/>
  </w:num>
  <w:num w:numId="50" w16cid:durableId="1856768403">
    <w:abstractNumId w:val="10"/>
  </w:num>
  <w:num w:numId="51" w16cid:durableId="372072353">
    <w:abstractNumId w:val="15"/>
  </w:num>
  <w:num w:numId="52" w16cid:durableId="1648630154">
    <w:abstractNumId w:val="58"/>
  </w:num>
  <w:num w:numId="53" w16cid:durableId="655185784">
    <w:abstractNumId w:val="38"/>
  </w:num>
  <w:num w:numId="54" w16cid:durableId="1934242904">
    <w:abstractNumId w:val="1"/>
  </w:num>
  <w:num w:numId="55" w16cid:durableId="1941327847">
    <w:abstractNumId w:val="0"/>
  </w:num>
  <w:num w:numId="56" w16cid:durableId="1420373848">
    <w:abstractNumId w:val="5"/>
  </w:num>
  <w:num w:numId="57" w16cid:durableId="1917011568">
    <w:abstractNumId w:val="14"/>
  </w:num>
  <w:num w:numId="58" w16cid:durableId="1339623066">
    <w:abstractNumId w:val="2"/>
  </w:num>
  <w:num w:numId="59" w16cid:durableId="1664433037">
    <w:abstractNumId w:val="19"/>
  </w:num>
  <w:num w:numId="60" w16cid:durableId="1884058765">
    <w:abstractNumId w:val="29"/>
  </w:num>
  <w:num w:numId="61" w16cid:durableId="1596790431">
    <w:abstractNumId w:val="40"/>
  </w:num>
  <w:num w:numId="62" w16cid:durableId="442965836">
    <w:abstractNumId w:val="41"/>
  </w:num>
  <w:num w:numId="63" w16cid:durableId="1608809240">
    <w:abstractNumId w:val="56"/>
  </w:num>
  <w:num w:numId="64" w16cid:durableId="988823508">
    <w:abstractNumId w:val="26"/>
  </w:num>
  <w:num w:numId="65" w16cid:durableId="749161500">
    <w:abstractNumId w:val="54"/>
  </w:num>
  <w:num w:numId="66" w16cid:durableId="8527677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93885049">
    <w:abstractNumId w:val="18"/>
  </w:num>
  <w:num w:numId="68" w16cid:durableId="744961437">
    <w:abstractNumId w:val="39"/>
  </w:num>
  <w:num w:numId="69" w16cid:durableId="181289575">
    <w:abstractNumId w:val="59"/>
  </w:num>
  <w:num w:numId="70" w16cid:durableId="2030913754">
    <w:abstractNumId w:val="28"/>
  </w:num>
  <w:num w:numId="71" w16cid:durableId="317811975">
    <w:abstractNumId w:val="13"/>
  </w:num>
  <w:num w:numId="72" w16cid:durableId="1843887600">
    <w:abstractNumId w:val="43"/>
  </w:num>
  <w:num w:numId="73" w16cid:durableId="706488139">
    <w:abstractNumId w:val="49"/>
  </w:num>
  <w:num w:numId="74" w16cid:durableId="268706071">
    <w:abstractNumId w:val="58"/>
  </w:num>
  <w:num w:numId="75" w16cid:durableId="1298030243">
    <w:abstractNumId w:val="38"/>
  </w:num>
  <w:num w:numId="76" w16cid:durableId="54355628">
    <w:abstractNumId w:val="52"/>
  </w:num>
  <w:num w:numId="77" w16cid:durableId="1313872101">
    <w:abstractNumId w:val="19"/>
  </w:num>
  <w:num w:numId="78" w16cid:durableId="612783626">
    <w:abstractNumId w:val="4"/>
  </w:num>
  <w:num w:numId="79" w16cid:durableId="841697823">
    <w:abstractNumId w:val="15"/>
  </w:num>
  <w:num w:numId="80" w16cid:durableId="1684238971">
    <w:abstractNumId w:val="47"/>
  </w:num>
  <w:num w:numId="81" w16cid:durableId="1307785829">
    <w:abstractNumId w:val="37"/>
  </w:num>
  <w:num w:numId="82" w16cid:durableId="714356629">
    <w:abstractNumId w:val="59"/>
  </w:num>
  <w:num w:numId="83" w16cid:durableId="1810398803">
    <w:abstractNumId w:val="30"/>
  </w:num>
  <w:num w:numId="84" w16cid:durableId="1655644772">
    <w:abstractNumId w:val="38"/>
  </w:num>
  <w:num w:numId="85" w16cid:durableId="658919911">
    <w:abstractNumId w:val="52"/>
  </w:num>
  <w:num w:numId="86" w16cid:durableId="1547445562">
    <w:abstractNumId w:val="9"/>
  </w:num>
  <w:num w:numId="87" w16cid:durableId="8369197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397968723">
    <w:abstractNumId w:val="16"/>
  </w:num>
  <w:num w:numId="89" w16cid:durableId="1544098213">
    <w:abstractNumId w:val="11"/>
  </w:num>
  <w:num w:numId="90" w16cid:durableId="1338578146">
    <w:abstractNumId w:val="18"/>
  </w:num>
  <w:num w:numId="91" w16cid:durableId="906113284">
    <w:abstractNumId w:val="39"/>
  </w:num>
  <w:num w:numId="92" w16cid:durableId="427889067">
    <w:abstractNumId w:val="11"/>
  </w:num>
  <w:num w:numId="93" w16cid:durableId="60563264">
    <w:abstractNumId w:val="59"/>
  </w:num>
  <w:num w:numId="94" w16cid:durableId="638996051">
    <w:abstractNumId w:val="33"/>
  </w:num>
  <w:num w:numId="95" w16cid:durableId="1752582895">
    <w:abstractNumId w:val="16"/>
  </w:num>
  <w:num w:numId="96" w16cid:durableId="742221370">
    <w:abstractNumId w:val="44"/>
  </w:num>
  <w:num w:numId="97" w16cid:durableId="2104449332">
    <w:abstractNumId w:val="34"/>
  </w:num>
  <w:num w:numId="98" w16cid:durableId="1144273961">
    <w:abstractNumId w:val="32"/>
  </w:num>
  <w:num w:numId="99" w16cid:durableId="1606186094">
    <w:abstractNumId w:val="51"/>
  </w:num>
  <w:num w:numId="100" w16cid:durableId="2037344317">
    <w:abstractNumId w:val="53"/>
  </w:num>
  <w:num w:numId="101" w16cid:durableId="127529028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93678883">
    <w:abstractNumId w:val="29"/>
  </w:num>
  <w:num w:numId="103" w16cid:durableId="2132698919">
    <w:abstractNumId w:val="51"/>
  </w:num>
  <w:num w:numId="104" w16cid:durableId="1746026101">
    <w:abstractNumId w:val="32"/>
  </w:num>
  <w:num w:numId="105" w16cid:durableId="1500147653">
    <w:abstractNumId w:val="53"/>
  </w:num>
  <w:num w:numId="106" w16cid:durableId="1347249724">
    <w:abstractNumId w:val="39"/>
  </w:num>
  <w:num w:numId="107" w16cid:durableId="738135390">
    <w:abstractNumId w:val="12"/>
  </w:num>
  <w:num w:numId="108" w16cid:durableId="320725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4"/>
    <w:rsid w:val="0000014B"/>
    <w:rsid w:val="0000052A"/>
    <w:rsid w:val="0000089F"/>
    <w:rsid w:val="00000CE8"/>
    <w:rsid w:val="0000103B"/>
    <w:rsid w:val="0000141A"/>
    <w:rsid w:val="00001907"/>
    <w:rsid w:val="00001B8B"/>
    <w:rsid w:val="000028B1"/>
    <w:rsid w:val="0000295E"/>
    <w:rsid w:val="0000316B"/>
    <w:rsid w:val="000048DC"/>
    <w:rsid w:val="00004B5C"/>
    <w:rsid w:val="00004DF4"/>
    <w:rsid w:val="00005184"/>
    <w:rsid w:val="0000535E"/>
    <w:rsid w:val="00005669"/>
    <w:rsid w:val="00005B2D"/>
    <w:rsid w:val="0000696F"/>
    <w:rsid w:val="00006C40"/>
    <w:rsid w:val="00006DE3"/>
    <w:rsid w:val="0000797A"/>
    <w:rsid w:val="00007997"/>
    <w:rsid w:val="000100EA"/>
    <w:rsid w:val="000102D7"/>
    <w:rsid w:val="00010518"/>
    <w:rsid w:val="000110C7"/>
    <w:rsid w:val="000115F1"/>
    <w:rsid w:val="00011AF9"/>
    <w:rsid w:val="00011C78"/>
    <w:rsid w:val="0001271D"/>
    <w:rsid w:val="00012FA0"/>
    <w:rsid w:val="000130D0"/>
    <w:rsid w:val="0001327D"/>
    <w:rsid w:val="0001351D"/>
    <w:rsid w:val="00013D6F"/>
    <w:rsid w:val="00014ED6"/>
    <w:rsid w:val="00014FF9"/>
    <w:rsid w:val="00015768"/>
    <w:rsid w:val="00015993"/>
    <w:rsid w:val="00015A4D"/>
    <w:rsid w:val="00015E78"/>
    <w:rsid w:val="00015FE8"/>
    <w:rsid w:val="00016093"/>
    <w:rsid w:val="000163F0"/>
    <w:rsid w:val="000174A7"/>
    <w:rsid w:val="000202C6"/>
    <w:rsid w:val="0002063D"/>
    <w:rsid w:val="0002076A"/>
    <w:rsid w:val="0002078E"/>
    <w:rsid w:val="00020ADF"/>
    <w:rsid w:val="00020C94"/>
    <w:rsid w:val="00020E0A"/>
    <w:rsid w:val="00020F7C"/>
    <w:rsid w:val="00021040"/>
    <w:rsid w:val="0002187E"/>
    <w:rsid w:val="0002191D"/>
    <w:rsid w:val="00022E16"/>
    <w:rsid w:val="000236A6"/>
    <w:rsid w:val="000236DE"/>
    <w:rsid w:val="00023821"/>
    <w:rsid w:val="00023B62"/>
    <w:rsid w:val="000242AB"/>
    <w:rsid w:val="00024A08"/>
    <w:rsid w:val="00024F8F"/>
    <w:rsid w:val="00024FFA"/>
    <w:rsid w:val="000257C8"/>
    <w:rsid w:val="00025B0B"/>
    <w:rsid w:val="00026093"/>
    <w:rsid w:val="000266A0"/>
    <w:rsid w:val="00026A07"/>
    <w:rsid w:val="00026F21"/>
    <w:rsid w:val="0003008C"/>
    <w:rsid w:val="0003089D"/>
    <w:rsid w:val="00030C95"/>
    <w:rsid w:val="0003118F"/>
    <w:rsid w:val="00031AC9"/>
    <w:rsid w:val="00031C1D"/>
    <w:rsid w:val="00031EEC"/>
    <w:rsid w:val="00031FD8"/>
    <w:rsid w:val="00032481"/>
    <w:rsid w:val="00032765"/>
    <w:rsid w:val="00032832"/>
    <w:rsid w:val="00032C88"/>
    <w:rsid w:val="00032F6B"/>
    <w:rsid w:val="00033A7E"/>
    <w:rsid w:val="00034D03"/>
    <w:rsid w:val="00035AA7"/>
    <w:rsid w:val="00035BF9"/>
    <w:rsid w:val="0003618E"/>
    <w:rsid w:val="00036300"/>
    <w:rsid w:val="00036F4E"/>
    <w:rsid w:val="00037343"/>
    <w:rsid w:val="00037B34"/>
    <w:rsid w:val="000400BB"/>
    <w:rsid w:val="0004069A"/>
    <w:rsid w:val="000408B4"/>
    <w:rsid w:val="00040FA9"/>
    <w:rsid w:val="0004139C"/>
    <w:rsid w:val="00041C77"/>
    <w:rsid w:val="000421DA"/>
    <w:rsid w:val="000422DB"/>
    <w:rsid w:val="00042B9D"/>
    <w:rsid w:val="00043540"/>
    <w:rsid w:val="00043A2D"/>
    <w:rsid w:val="00043D52"/>
    <w:rsid w:val="00043F56"/>
    <w:rsid w:val="00044352"/>
    <w:rsid w:val="000444DE"/>
    <w:rsid w:val="00044552"/>
    <w:rsid w:val="00044B83"/>
    <w:rsid w:val="00044BD8"/>
    <w:rsid w:val="00044BFE"/>
    <w:rsid w:val="00045255"/>
    <w:rsid w:val="0004529B"/>
    <w:rsid w:val="0004557C"/>
    <w:rsid w:val="0004559E"/>
    <w:rsid w:val="00045751"/>
    <w:rsid w:val="00045B08"/>
    <w:rsid w:val="000476AD"/>
    <w:rsid w:val="000476B2"/>
    <w:rsid w:val="00047BD3"/>
    <w:rsid w:val="00047DA2"/>
    <w:rsid w:val="00047DB7"/>
    <w:rsid w:val="0005017C"/>
    <w:rsid w:val="0005032E"/>
    <w:rsid w:val="00050D40"/>
    <w:rsid w:val="00050E45"/>
    <w:rsid w:val="000513B2"/>
    <w:rsid w:val="000513D0"/>
    <w:rsid w:val="00051E97"/>
    <w:rsid w:val="00051F82"/>
    <w:rsid w:val="00052A5A"/>
    <w:rsid w:val="000538F7"/>
    <w:rsid w:val="00053C5F"/>
    <w:rsid w:val="0005416F"/>
    <w:rsid w:val="000542ED"/>
    <w:rsid w:val="00054424"/>
    <w:rsid w:val="000544F5"/>
    <w:rsid w:val="00055248"/>
    <w:rsid w:val="00055491"/>
    <w:rsid w:val="00055F74"/>
    <w:rsid w:val="00056945"/>
    <w:rsid w:val="000571EA"/>
    <w:rsid w:val="00057AD8"/>
    <w:rsid w:val="00057BA5"/>
    <w:rsid w:val="00060064"/>
    <w:rsid w:val="000600BF"/>
    <w:rsid w:val="0006067F"/>
    <w:rsid w:val="000606B4"/>
    <w:rsid w:val="0006172E"/>
    <w:rsid w:val="00061A8C"/>
    <w:rsid w:val="00062771"/>
    <w:rsid w:val="000627BE"/>
    <w:rsid w:val="000630B2"/>
    <w:rsid w:val="00063692"/>
    <w:rsid w:val="00063D17"/>
    <w:rsid w:val="000640B4"/>
    <w:rsid w:val="000640C4"/>
    <w:rsid w:val="0006429E"/>
    <w:rsid w:val="00064342"/>
    <w:rsid w:val="00064650"/>
    <w:rsid w:val="00064E60"/>
    <w:rsid w:val="00064F03"/>
    <w:rsid w:val="00065840"/>
    <w:rsid w:val="00065F28"/>
    <w:rsid w:val="000667FC"/>
    <w:rsid w:val="00066C90"/>
    <w:rsid w:val="000673E1"/>
    <w:rsid w:val="00067986"/>
    <w:rsid w:val="000701C1"/>
    <w:rsid w:val="0007070D"/>
    <w:rsid w:val="000709B9"/>
    <w:rsid w:val="0007124C"/>
    <w:rsid w:val="00072748"/>
    <w:rsid w:val="00072CB2"/>
    <w:rsid w:val="00072F1D"/>
    <w:rsid w:val="0007366A"/>
    <w:rsid w:val="00073E65"/>
    <w:rsid w:val="00073F75"/>
    <w:rsid w:val="00074087"/>
    <w:rsid w:val="00074573"/>
    <w:rsid w:val="00075563"/>
    <w:rsid w:val="0007558F"/>
    <w:rsid w:val="0007597B"/>
    <w:rsid w:val="00075AEF"/>
    <w:rsid w:val="00075B41"/>
    <w:rsid w:val="00075E4D"/>
    <w:rsid w:val="00076A62"/>
    <w:rsid w:val="00076C94"/>
    <w:rsid w:val="000772BC"/>
    <w:rsid w:val="00077702"/>
    <w:rsid w:val="000800D9"/>
    <w:rsid w:val="000801BE"/>
    <w:rsid w:val="000808F0"/>
    <w:rsid w:val="00080992"/>
    <w:rsid w:val="00080CC9"/>
    <w:rsid w:val="00081272"/>
    <w:rsid w:val="00081BC8"/>
    <w:rsid w:val="00082160"/>
    <w:rsid w:val="000822CC"/>
    <w:rsid w:val="00082805"/>
    <w:rsid w:val="000831F2"/>
    <w:rsid w:val="00083308"/>
    <w:rsid w:val="000833C4"/>
    <w:rsid w:val="000833D5"/>
    <w:rsid w:val="000837A9"/>
    <w:rsid w:val="00084591"/>
    <w:rsid w:val="0008465C"/>
    <w:rsid w:val="000846A6"/>
    <w:rsid w:val="00084CBF"/>
    <w:rsid w:val="00084FF5"/>
    <w:rsid w:val="000856D2"/>
    <w:rsid w:val="000858F7"/>
    <w:rsid w:val="0008597D"/>
    <w:rsid w:val="00085C1A"/>
    <w:rsid w:val="00086802"/>
    <w:rsid w:val="0008684B"/>
    <w:rsid w:val="0008693B"/>
    <w:rsid w:val="000870AA"/>
    <w:rsid w:val="0008717D"/>
    <w:rsid w:val="0008738E"/>
    <w:rsid w:val="00087DF0"/>
    <w:rsid w:val="00090277"/>
    <w:rsid w:val="00090AC8"/>
    <w:rsid w:val="00090AD6"/>
    <w:rsid w:val="000913F1"/>
    <w:rsid w:val="00091C52"/>
    <w:rsid w:val="000921F8"/>
    <w:rsid w:val="0009254B"/>
    <w:rsid w:val="000927C9"/>
    <w:rsid w:val="00092BA6"/>
    <w:rsid w:val="00092BA8"/>
    <w:rsid w:val="00093E7E"/>
    <w:rsid w:val="000940E6"/>
    <w:rsid w:val="000941D3"/>
    <w:rsid w:val="00094B19"/>
    <w:rsid w:val="00095C7B"/>
    <w:rsid w:val="00096E97"/>
    <w:rsid w:val="00096F03"/>
    <w:rsid w:val="0009767B"/>
    <w:rsid w:val="000979BC"/>
    <w:rsid w:val="000A049A"/>
    <w:rsid w:val="000A21D1"/>
    <w:rsid w:val="000A257E"/>
    <w:rsid w:val="000A2872"/>
    <w:rsid w:val="000A2A89"/>
    <w:rsid w:val="000A2B4A"/>
    <w:rsid w:val="000A2E10"/>
    <w:rsid w:val="000A2FFE"/>
    <w:rsid w:val="000A3132"/>
    <w:rsid w:val="000A3230"/>
    <w:rsid w:val="000A3786"/>
    <w:rsid w:val="000A3C65"/>
    <w:rsid w:val="000A3CA5"/>
    <w:rsid w:val="000A4880"/>
    <w:rsid w:val="000A5660"/>
    <w:rsid w:val="000A58D1"/>
    <w:rsid w:val="000A598A"/>
    <w:rsid w:val="000A5C32"/>
    <w:rsid w:val="000A6176"/>
    <w:rsid w:val="000A6970"/>
    <w:rsid w:val="000A736F"/>
    <w:rsid w:val="000A7970"/>
    <w:rsid w:val="000A7E66"/>
    <w:rsid w:val="000B0022"/>
    <w:rsid w:val="000B0486"/>
    <w:rsid w:val="000B1145"/>
    <w:rsid w:val="000B1782"/>
    <w:rsid w:val="000B18C2"/>
    <w:rsid w:val="000B195A"/>
    <w:rsid w:val="000B1A19"/>
    <w:rsid w:val="000B1C03"/>
    <w:rsid w:val="000B1E13"/>
    <w:rsid w:val="000B2022"/>
    <w:rsid w:val="000B2EF7"/>
    <w:rsid w:val="000B325D"/>
    <w:rsid w:val="000B36CE"/>
    <w:rsid w:val="000B3A12"/>
    <w:rsid w:val="000B3D5F"/>
    <w:rsid w:val="000B40A3"/>
    <w:rsid w:val="000B41A3"/>
    <w:rsid w:val="000B4204"/>
    <w:rsid w:val="000B4CC9"/>
    <w:rsid w:val="000B50F4"/>
    <w:rsid w:val="000B51C2"/>
    <w:rsid w:val="000B586A"/>
    <w:rsid w:val="000B5B3B"/>
    <w:rsid w:val="000B6085"/>
    <w:rsid w:val="000B608B"/>
    <w:rsid w:val="000B616D"/>
    <w:rsid w:val="000B6193"/>
    <w:rsid w:val="000B620C"/>
    <w:rsid w:val="000B6236"/>
    <w:rsid w:val="000B6271"/>
    <w:rsid w:val="000B6D4C"/>
    <w:rsid w:val="000B6DFE"/>
    <w:rsid w:val="000B7833"/>
    <w:rsid w:val="000C0119"/>
    <w:rsid w:val="000C0C61"/>
    <w:rsid w:val="000C0E2C"/>
    <w:rsid w:val="000C18A9"/>
    <w:rsid w:val="000C1AC6"/>
    <w:rsid w:val="000C1EE9"/>
    <w:rsid w:val="000C2298"/>
    <w:rsid w:val="000C2B82"/>
    <w:rsid w:val="000C3348"/>
    <w:rsid w:val="000C3B67"/>
    <w:rsid w:val="000C3D05"/>
    <w:rsid w:val="000C4262"/>
    <w:rsid w:val="000C433A"/>
    <w:rsid w:val="000C439F"/>
    <w:rsid w:val="000C43DE"/>
    <w:rsid w:val="000C4568"/>
    <w:rsid w:val="000C509B"/>
    <w:rsid w:val="000C5229"/>
    <w:rsid w:val="000C5824"/>
    <w:rsid w:val="000C6106"/>
    <w:rsid w:val="000C637E"/>
    <w:rsid w:val="000C64B8"/>
    <w:rsid w:val="000C78CA"/>
    <w:rsid w:val="000C7C70"/>
    <w:rsid w:val="000C7D20"/>
    <w:rsid w:val="000D0176"/>
    <w:rsid w:val="000D02DC"/>
    <w:rsid w:val="000D06B4"/>
    <w:rsid w:val="000D09A1"/>
    <w:rsid w:val="000D0FCF"/>
    <w:rsid w:val="000D0FE1"/>
    <w:rsid w:val="000D146A"/>
    <w:rsid w:val="000D1B6E"/>
    <w:rsid w:val="000D1EF5"/>
    <w:rsid w:val="000D2118"/>
    <w:rsid w:val="000D2AD5"/>
    <w:rsid w:val="000D373B"/>
    <w:rsid w:val="000D3D03"/>
    <w:rsid w:val="000D3F66"/>
    <w:rsid w:val="000D412E"/>
    <w:rsid w:val="000D4897"/>
    <w:rsid w:val="000D4C0A"/>
    <w:rsid w:val="000D4E19"/>
    <w:rsid w:val="000D536E"/>
    <w:rsid w:val="000D5582"/>
    <w:rsid w:val="000D57E7"/>
    <w:rsid w:val="000D5A7E"/>
    <w:rsid w:val="000D6CFC"/>
    <w:rsid w:val="000D74E1"/>
    <w:rsid w:val="000D74F2"/>
    <w:rsid w:val="000D7671"/>
    <w:rsid w:val="000E02D8"/>
    <w:rsid w:val="000E0A13"/>
    <w:rsid w:val="000E0FFE"/>
    <w:rsid w:val="000E105C"/>
    <w:rsid w:val="000E1A38"/>
    <w:rsid w:val="000E1D47"/>
    <w:rsid w:val="000E1E53"/>
    <w:rsid w:val="000E2356"/>
    <w:rsid w:val="000E29C8"/>
    <w:rsid w:val="000E2A3C"/>
    <w:rsid w:val="000E332A"/>
    <w:rsid w:val="000E3CC4"/>
    <w:rsid w:val="000E48D6"/>
    <w:rsid w:val="000E5990"/>
    <w:rsid w:val="000E69EA"/>
    <w:rsid w:val="000E7047"/>
    <w:rsid w:val="000E71D0"/>
    <w:rsid w:val="000E7761"/>
    <w:rsid w:val="000E7B8C"/>
    <w:rsid w:val="000E7EE5"/>
    <w:rsid w:val="000E7FF9"/>
    <w:rsid w:val="000F0C43"/>
    <w:rsid w:val="000F0C9C"/>
    <w:rsid w:val="000F10E0"/>
    <w:rsid w:val="000F131A"/>
    <w:rsid w:val="000F1467"/>
    <w:rsid w:val="000F1842"/>
    <w:rsid w:val="000F18DD"/>
    <w:rsid w:val="000F1FD9"/>
    <w:rsid w:val="000F230F"/>
    <w:rsid w:val="000F24BE"/>
    <w:rsid w:val="000F2A04"/>
    <w:rsid w:val="000F2AF9"/>
    <w:rsid w:val="000F2CA9"/>
    <w:rsid w:val="000F311E"/>
    <w:rsid w:val="000F3132"/>
    <w:rsid w:val="000F331B"/>
    <w:rsid w:val="000F346F"/>
    <w:rsid w:val="000F3D0E"/>
    <w:rsid w:val="000F44A2"/>
    <w:rsid w:val="000F4528"/>
    <w:rsid w:val="000F4F35"/>
    <w:rsid w:val="000F4F8B"/>
    <w:rsid w:val="000F510A"/>
    <w:rsid w:val="000F51E2"/>
    <w:rsid w:val="000F5257"/>
    <w:rsid w:val="000F5F26"/>
    <w:rsid w:val="000F6045"/>
    <w:rsid w:val="000F6BC8"/>
    <w:rsid w:val="000F6EF4"/>
    <w:rsid w:val="000F777B"/>
    <w:rsid w:val="000F7983"/>
    <w:rsid w:val="000F79D4"/>
    <w:rsid w:val="000F7C77"/>
    <w:rsid w:val="000F7EFE"/>
    <w:rsid w:val="00100857"/>
    <w:rsid w:val="00101012"/>
    <w:rsid w:val="0010125D"/>
    <w:rsid w:val="001012D3"/>
    <w:rsid w:val="001013C6"/>
    <w:rsid w:val="00102435"/>
    <w:rsid w:val="00103711"/>
    <w:rsid w:val="00103DC1"/>
    <w:rsid w:val="00104723"/>
    <w:rsid w:val="00104D1C"/>
    <w:rsid w:val="00105154"/>
    <w:rsid w:val="00105555"/>
    <w:rsid w:val="001062B4"/>
    <w:rsid w:val="00106E12"/>
    <w:rsid w:val="00106F91"/>
    <w:rsid w:val="00107D23"/>
    <w:rsid w:val="00107FDB"/>
    <w:rsid w:val="001101EC"/>
    <w:rsid w:val="001109E3"/>
    <w:rsid w:val="001114A7"/>
    <w:rsid w:val="00113002"/>
    <w:rsid w:val="00113188"/>
    <w:rsid w:val="001135BD"/>
    <w:rsid w:val="00113BF8"/>
    <w:rsid w:val="00114858"/>
    <w:rsid w:val="00114D28"/>
    <w:rsid w:val="0011509D"/>
    <w:rsid w:val="00115249"/>
    <w:rsid w:val="001158AF"/>
    <w:rsid w:val="00115A2E"/>
    <w:rsid w:val="00115FFB"/>
    <w:rsid w:val="0011686F"/>
    <w:rsid w:val="00116D9A"/>
    <w:rsid w:val="0011706A"/>
    <w:rsid w:val="001170F6"/>
    <w:rsid w:val="00117A88"/>
    <w:rsid w:val="00117BBB"/>
    <w:rsid w:val="001206F8"/>
    <w:rsid w:val="00120CBA"/>
    <w:rsid w:val="00120DCF"/>
    <w:rsid w:val="001214A8"/>
    <w:rsid w:val="0012153E"/>
    <w:rsid w:val="00121BA2"/>
    <w:rsid w:val="0012206D"/>
    <w:rsid w:val="0012222E"/>
    <w:rsid w:val="001224EE"/>
    <w:rsid w:val="00123454"/>
    <w:rsid w:val="00123680"/>
    <w:rsid w:val="001238DA"/>
    <w:rsid w:val="00123DCA"/>
    <w:rsid w:val="0012403C"/>
    <w:rsid w:val="00124404"/>
    <w:rsid w:val="00124C1C"/>
    <w:rsid w:val="00125275"/>
    <w:rsid w:val="0012534D"/>
    <w:rsid w:val="00125692"/>
    <w:rsid w:val="00125FCD"/>
    <w:rsid w:val="00126843"/>
    <w:rsid w:val="00126900"/>
    <w:rsid w:val="00126992"/>
    <w:rsid w:val="0012731E"/>
    <w:rsid w:val="0012739F"/>
    <w:rsid w:val="00127A9C"/>
    <w:rsid w:val="001304A7"/>
    <w:rsid w:val="00130ED8"/>
    <w:rsid w:val="00131B63"/>
    <w:rsid w:val="00131CF7"/>
    <w:rsid w:val="00131D79"/>
    <w:rsid w:val="00132399"/>
    <w:rsid w:val="00132A1B"/>
    <w:rsid w:val="00132D4A"/>
    <w:rsid w:val="0013332A"/>
    <w:rsid w:val="00133A8F"/>
    <w:rsid w:val="00133ECC"/>
    <w:rsid w:val="0013417F"/>
    <w:rsid w:val="001343AF"/>
    <w:rsid w:val="00134DB6"/>
    <w:rsid w:val="00135177"/>
    <w:rsid w:val="001352C6"/>
    <w:rsid w:val="00135703"/>
    <w:rsid w:val="00136081"/>
    <w:rsid w:val="001361D4"/>
    <w:rsid w:val="001362D7"/>
    <w:rsid w:val="00136D63"/>
    <w:rsid w:val="0013740C"/>
    <w:rsid w:val="00137B0F"/>
    <w:rsid w:val="00137F21"/>
    <w:rsid w:val="0014010C"/>
    <w:rsid w:val="001401C8"/>
    <w:rsid w:val="00141255"/>
    <w:rsid w:val="00141395"/>
    <w:rsid w:val="00141D07"/>
    <w:rsid w:val="0014290F"/>
    <w:rsid w:val="00142BB4"/>
    <w:rsid w:val="00142DDA"/>
    <w:rsid w:val="00142EC6"/>
    <w:rsid w:val="00142F5B"/>
    <w:rsid w:val="00142FA2"/>
    <w:rsid w:val="00143529"/>
    <w:rsid w:val="001435BA"/>
    <w:rsid w:val="00143749"/>
    <w:rsid w:val="00143901"/>
    <w:rsid w:val="00143961"/>
    <w:rsid w:val="00143E09"/>
    <w:rsid w:val="00143E24"/>
    <w:rsid w:val="001440AE"/>
    <w:rsid w:val="00144969"/>
    <w:rsid w:val="00144B7E"/>
    <w:rsid w:val="00144BD3"/>
    <w:rsid w:val="00144D4A"/>
    <w:rsid w:val="001459A1"/>
    <w:rsid w:val="001459DE"/>
    <w:rsid w:val="00145D40"/>
    <w:rsid w:val="00145DEE"/>
    <w:rsid w:val="00145F85"/>
    <w:rsid w:val="00146137"/>
    <w:rsid w:val="001462C1"/>
    <w:rsid w:val="001466DF"/>
    <w:rsid w:val="00146CC8"/>
    <w:rsid w:val="00146D7C"/>
    <w:rsid w:val="00147C62"/>
    <w:rsid w:val="0015014F"/>
    <w:rsid w:val="0015049E"/>
    <w:rsid w:val="001505FA"/>
    <w:rsid w:val="00150891"/>
    <w:rsid w:val="00150DB2"/>
    <w:rsid w:val="00150FA5"/>
    <w:rsid w:val="00151294"/>
    <w:rsid w:val="00151D67"/>
    <w:rsid w:val="00152458"/>
    <w:rsid w:val="00152EF4"/>
    <w:rsid w:val="00153455"/>
    <w:rsid w:val="00153528"/>
    <w:rsid w:val="001542A7"/>
    <w:rsid w:val="00154B5F"/>
    <w:rsid w:val="001557BB"/>
    <w:rsid w:val="00155DFC"/>
    <w:rsid w:val="001563CA"/>
    <w:rsid w:val="00156BE2"/>
    <w:rsid w:val="001570D9"/>
    <w:rsid w:val="001571FB"/>
    <w:rsid w:val="0015762C"/>
    <w:rsid w:val="00157BB4"/>
    <w:rsid w:val="00157F26"/>
    <w:rsid w:val="0016097B"/>
    <w:rsid w:val="00160DA8"/>
    <w:rsid w:val="0016145A"/>
    <w:rsid w:val="0016148F"/>
    <w:rsid w:val="001614A7"/>
    <w:rsid w:val="00161B9B"/>
    <w:rsid w:val="001622CB"/>
    <w:rsid w:val="00162365"/>
    <w:rsid w:val="00162C5A"/>
    <w:rsid w:val="0016325C"/>
    <w:rsid w:val="001642A0"/>
    <w:rsid w:val="0016432B"/>
    <w:rsid w:val="00164402"/>
    <w:rsid w:val="001651E2"/>
    <w:rsid w:val="0016535A"/>
    <w:rsid w:val="0016596F"/>
    <w:rsid w:val="001664ED"/>
    <w:rsid w:val="0016654B"/>
    <w:rsid w:val="00167012"/>
    <w:rsid w:val="0016789D"/>
    <w:rsid w:val="00167DD0"/>
    <w:rsid w:val="0017019D"/>
    <w:rsid w:val="0017055F"/>
    <w:rsid w:val="00170EE5"/>
    <w:rsid w:val="00171B6F"/>
    <w:rsid w:val="00171BA1"/>
    <w:rsid w:val="001721DB"/>
    <w:rsid w:val="0017245D"/>
    <w:rsid w:val="00172600"/>
    <w:rsid w:val="00172895"/>
    <w:rsid w:val="00172B0F"/>
    <w:rsid w:val="00172C7D"/>
    <w:rsid w:val="00172D78"/>
    <w:rsid w:val="00172D79"/>
    <w:rsid w:val="00172DF2"/>
    <w:rsid w:val="00172DF9"/>
    <w:rsid w:val="00172E93"/>
    <w:rsid w:val="00173169"/>
    <w:rsid w:val="001736D7"/>
    <w:rsid w:val="00173A55"/>
    <w:rsid w:val="00174036"/>
    <w:rsid w:val="001746E4"/>
    <w:rsid w:val="00174996"/>
    <w:rsid w:val="00174B28"/>
    <w:rsid w:val="00174F1A"/>
    <w:rsid w:val="0017502B"/>
    <w:rsid w:val="0017598B"/>
    <w:rsid w:val="00175F3E"/>
    <w:rsid w:val="00176490"/>
    <w:rsid w:val="00176CAF"/>
    <w:rsid w:val="0017713C"/>
    <w:rsid w:val="001772C3"/>
    <w:rsid w:val="00177CEB"/>
    <w:rsid w:val="00177DC6"/>
    <w:rsid w:val="00177F04"/>
    <w:rsid w:val="001801C6"/>
    <w:rsid w:val="00180429"/>
    <w:rsid w:val="00181672"/>
    <w:rsid w:val="0018188F"/>
    <w:rsid w:val="00181DF2"/>
    <w:rsid w:val="00182596"/>
    <w:rsid w:val="001825D6"/>
    <w:rsid w:val="001829F5"/>
    <w:rsid w:val="00182B63"/>
    <w:rsid w:val="00182C00"/>
    <w:rsid w:val="00182FB7"/>
    <w:rsid w:val="00183297"/>
    <w:rsid w:val="00183A9C"/>
    <w:rsid w:val="00183BEC"/>
    <w:rsid w:val="00183C5E"/>
    <w:rsid w:val="001842CE"/>
    <w:rsid w:val="0018460A"/>
    <w:rsid w:val="00184E0F"/>
    <w:rsid w:val="00185034"/>
    <w:rsid w:val="0018630B"/>
    <w:rsid w:val="00186787"/>
    <w:rsid w:val="001876FC"/>
    <w:rsid w:val="0019092F"/>
    <w:rsid w:val="00191948"/>
    <w:rsid w:val="00191AD9"/>
    <w:rsid w:val="00191F0E"/>
    <w:rsid w:val="00192163"/>
    <w:rsid w:val="00192491"/>
    <w:rsid w:val="001924CF"/>
    <w:rsid w:val="00192DA4"/>
    <w:rsid w:val="00192DE1"/>
    <w:rsid w:val="00193650"/>
    <w:rsid w:val="0019396E"/>
    <w:rsid w:val="00193D85"/>
    <w:rsid w:val="00194366"/>
    <w:rsid w:val="001948F7"/>
    <w:rsid w:val="00194FCC"/>
    <w:rsid w:val="0019506F"/>
    <w:rsid w:val="00195289"/>
    <w:rsid w:val="00195637"/>
    <w:rsid w:val="001956C9"/>
    <w:rsid w:val="00195925"/>
    <w:rsid w:val="001968B4"/>
    <w:rsid w:val="00196C1E"/>
    <w:rsid w:val="00196CEE"/>
    <w:rsid w:val="00196E03"/>
    <w:rsid w:val="001972B1"/>
    <w:rsid w:val="0019768C"/>
    <w:rsid w:val="001A0648"/>
    <w:rsid w:val="001A08AA"/>
    <w:rsid w:val="001A0A85"/>
    <w:rsid w:val="001A0BB8"/>
    <w:rsid w:val="001A2025"/>
    <w:rsid w:val="001A2850"/>
    <w:rsid w:val="001A32ED"/>
    <w:rsid w:val="001A34CF"/>
    <w:rsid w:val="001A3818"/>
    <w:rsid w:val="001A3886"/>
    <w:rsid w:val="001A3B72"/>
    <w:rsid w:val="001A3D0E"/>
    <w:rsid w:val="001A3DB7"/>
    <w:rsid w:val="001A3E94"/>
    <w:rsid w:val="001A4E34"/>
    <w:rsid w:val="001A5027"/>
    <w:rsid w:val="001A5695"/>
    <w:rsid w:val="001A5826"/>
    <w:rsid w:val="001A5B93"/>
    <w:rsid w:val="001A5BFD"/>
    <w:rsid w:val="001A70D8"/>
    <w:rsid w:val="001A7DF4"/>
    <w:rsid w:val="001A7FB3"/>
    <w:rsid w:val="001B091A"/>
    <w:rsid w:val="001B0BB8"/>
    <w:rsid w:val="001B0CB9"/>
    <w:rsid w:val="001B0F03"/>
    <w:rsid w:val="001B101D"/>
    <w:rsid w:val="001B1295"/>
    <w:rsid w:val="001B1546"/>
    <w:rsid w:val="001B19C0"/>
    <w:rsid w:val="001B1DB4"/>
    <w:rsid w:val="001B237C"/>
    <w:rsid w:val="001B2A77"/>
    <w:rsid w:val="001B2F7A"/>
    <w:rsid w:val="001B39DA"/>
    <w:rsid w:val="001B3CEB"/>
    <w:rsid w:val="001B4515"/>
    <w:rsid w:val="001B46E9"/>
    <w:rsid w:val="001B511F"/>
    <w:rsid w:val="001B6724"/>
    <w:rsid w:val="001B7E32"/>
    <w:rsid w:val="001B7EC7"/>
    <w:rsid w:val="001C0158"/>
    <w:rsid w:val="001C06C3"/>
    <w:rsid w:val="001C0845"/>
    <w:rsid w:val="001C0CA6"/>
    <w:rsid w:val="001C0FD5"/>
    <w:rsid w:val="001C19E0"/>
    <w:rsid w:val="001C22EB"/>
    <w:rsid w:val="001C23EA"/>
    <w:rsid w:val="001C2C24"/>
    <w:rsid w:val="001C2EA0"/>
    <w:rsid w:val="001C390D"/>
    <w:rsid w:val="001C3A99"/>
    <w:rsid w:val="001C3D21"/>
    <w:rsid w:val="001C420F"/>
    <w:rsid w:val="001C5030"/>
    <w:rsid w:val="001C5082"/>
    <w:rsid w:val="001C569C"/>
    <w:rsid w:val="001C6086"/>
    <w:rsid w:val="001C6910"/>
    <w:rsid w:val="001C6E6F"/>
    <w:rsid w:val="001C70EB"/>
    <w:rsid w:val="001C75A5"/>
    <w:rsid w:val="001C75EB"/>
    <w:rsid w:val="001D073D"/>
    <w:rsid w:val="001D1013"/>
    <w:rsid w:val="001D1309"/>
    <w:rsid w:val="001D1D0B"/>
    <w:rsid w:val="001D2B81"/>
    <w:rsid w:val="001D2BB6"/>
    <w:rsid w:val="001D2EE3"/>
    <w:rsid w:val="001D2FDE"/>
    <w:rsid w:val="001D324A"/>
    <w:rsid w:val="001D35F9"/>
    <w:rsid w:val="001D3696"/>
    <w:rsid w:val="001D38BA"/>
    <w:rsid w:val="001D3B5C"/>
    <w:rsid w:val="001D50EA"/>
    <w:rsid w:val="001D5133"/>
    <w:rsid w:val="001D51D5"/>
    <w:rsid w:val="001D5BE5"/>
    <w:rsid w:val="001D5C48"/>
    <w:rsid w:val="001D6194"/>
    <w:rsid w:val="001D6212"/>
    <w:rsid w:val="001D62D6"/>
    <w:rsid w:val="001D64C3"/>
    <w:rsid w:val="001D6CDA"/>
    <w:rsid w:val="001D6E32"/>
    <w:rsid w:val="001D6FC8"/>
    <w:rsid w:val="001D7233"/>
    <w:rsid w:val="001D72E5"/>
    <w:rsid w:val="001D7E84"/>
    <w:rsid w:val="001D7EB7"/>
    <w:rsid w:val="001E00FC"/>
    <w:rsid w:val="001E0941"/>
    <w:rsid w:val="001E154A"/>
    <w:rsid w:val="001E1749"/>
    <w:rsid w:val="001E1786"/>
    <w:rsid w:val="001E17DA"/>
    <w:rsid w:val="001E22AC"/>
    <w:rsid w:val="001E23FE"/>
    <w:rsid w:val="001E2E89"/>
    <w:rsid w:val="001E3B39"/>
    <w:rsid w:val="001E3C4E"/>
    <w:rsid w:val="001E3F41"/>
    <w:rsid w:val="001E4210"/>
    <w:rsid w:val="001E460A"/>
    <w:rsid w:val="001E485F"/>
    <w:rsid w:val="001E4B85"/>
    <w:rsid w:val="001E4F1E"/>
    <w:rsid w:val="001E6E07"/>
    <w:rsid w:val="001E79C2"/>
    <w:rsid w:val="001E7E2C"/>
    <w:rsid w:val="001F0044"/>
    <w:rsid w:val="001F0145"/>
    <w:rsid w:val="001F04BE"/>
    <w:rsid w:val="001F0B4F"/>
    <w:rsid w:val="001F0C08"/>
    <w:rsid w:val="001F11F3"/>
    <w:rsid w:val="001F14DA"/>
    <w:rsid w:val="001F1576"/>
    <w:rsid w:val="001F1D8A"/>
    <w:rsid w:val="001F1E3A"/>
    <w:rsid w:val="001F1E5C"/>
    <w:rsid w:val="001F24EA"/>
    <w:rsid w:val="001F27B3"/>
    <w:rsid w:val="001F37E7"/>
    <w:rsid w:val="001F385D"/>
    <w:rsid w:val="001F3B6A"/>
    <w:rsid w:val="001F408D"/>
    <w:rsid w:val="001F4E2B"/>
    <w:rsid w:val="001F52ED"/>
    <w:rsid w:val="001F5582"/>
    <w:rsid w:val="001F5735"/>
    <w:rsid w:val="001F5A42"/>
    <w:rsid w:val="001F5B13"/>
    <w:rsid w:val="001F6491"/>
    <w:rsid w:val="001F65ED"/>
    <w:rsid w:val="001F65EF"/>
    <w:rsid w:val="001F6A1E"/>
    <w:rsid w:val="001F6B21"/>
    <w:rsid w:val="001F6EBF"/>
    <w:rsid w:val="001F7178"/>
    <w:rsid w:val="001F76B6"/>
    <w:rsid w:val="001F7CBE"/>
    <w:rsid w:val="001F7CDD"/>
    <w:rsid w:val="002004AE"/>
    <w:rsid w:val="00201A10"/>
    <w:rsid w:val="00202365"/>
    <w:rsid w:val="002023A0"/>
    <w:rsid w:val="002029BA"/>
    <w:rsid w:val="00203541"/>
    <w:rsid w:val="00203A74"/>
    <w:rsid w:val="00203FAD"/>
    <w:rsid w:val="00204BE2"/>
    <w:rsid w:val="002051A6"/>
    <w:rsid w:val="002053F3"/>
    <w:rsid w:val="00205815"/>
    <w:rsid w:val="00205E1D"/>
    <w:rsid w:val="002061B1"/>
    <w:rsid w:val="0020636A"/>
    <w:rsid w:val="0020641B"/>
    <w:rsid w:val="00206E4D"/>
    <w:rsid w:val="00206EB3"/>
    <w:rsid w:val="00207234"/>
    <w:rsid w:val="002072A9"/>
    <w:rsid w:val="002079B5"/>
    <w:rsid w:val="00207BC3"/>
    <w:rsid w:val="00207E3E"/>
    <w:rsid w:val="00207E90"/>
    <w:rsid w:val="002100D3"/>
    <w:rsid w:val="002100F0"/>
    <w:rsid w:val="002100F7"/>
    <w:rsid w:val="0021141F"/>
    <w:rsid w:val="00211C4A"/>
    <w:rsid w:val="00212373"/>
    <w:rsid w:val="00212DCC"/>
    <w:rsid w:val="00213020"/>
    <w:rsid w:val="0021334F"/>
    <w:rsid w:val="002133AF"/>
    <w:rsid w:val="002135E1"/>
    <w:rsid w:val="002138EA"/>
    <w:rsid w:val="00213C3D"/>
    <w:rsid w:val="00213CE2"/>
    <w:rsid w:val="002143B4"/>
    <w:rsid w:val="002144F3"/>
    <w:rsid w:val="00214FBD"/>
    <w:rsid w:val="00214FCA"/>
    <w:rsid w:val="00215262"/>
    <w:rsid w:val="002156A2"/>
    <w:rsid w:val="00215A41"/>
    <w:rsid w:val="0021658A"/>
    <w:rsid w:val="00216D2C"/>
    <w:rsid w:val="00216E33"/>
    <w:rsid w:val="00216F82"/>
    <w:rsid w:val="00221325"/>
    <w:rsid w:val="00221B5B"/>
    <w:rsid w:val="00221DE2"/>
    <w:rsid w:val="00221DEB"/>
    <w:rsid w:val="00221E8B"/>
    <w:rsid w:val="002220F7"/>
    <w:rsid w:val="002223A7"/>
    <w:rsid w:val="00222869"/>
    <w:rsid w:val="00222897"/>
    <w:rsid w:val="00222CF2"/>
    <w:rsid w:val="00222DC7"/>
    <w:rsid w:val="00223548"/>
    <w:rsid w:val="002238B3"/>
    <w:rsid w:val="00223FD4"/>
    <w:rsid w:val="00224197"/>
    <w:rsid w:val="002247F2"/>
    <w:rsid w:val="00224B3A"/>
    <w:rsid w:val="00224B42"/>
    <w:rsid w:val="00224CEB"/>
    <w:rsid w:val="00224DB5"/>
    <w:rsid w:val="0022517F"/>
    <w:rsid w:val="002254B1"/>
    <w:rsid w:val="002256BA"/>
    <w:rsid w:val="00225844"/>
    <w:rsid w:val="00226F85"/>
    <w:rsid w:val="002270CA"/>
    <w:rsid w:val="00227FF3"/>
    <w:rsid w:val="002302BF"/>
    <w:rsid w:val="002308EA"/>
    <w:rsid w:val="00231062"/>
    <w:rsid w:val="0023155E"/>
    <w:rsid w:val="002315C0"/>
    <w:rsid w:val="0023169D"/>
    <w:rsid w:val="0023200D"/>
    <w:rsid w:val="00232116"/>
    <w:rsid w:val="00232177"/>
    <w:rsid w:val="00232669"/>
    <w:rsid w:val="002329FE"/>
    <w:rsid w:val="0023314B"/>
    <w:rsid w:val="002331CD"/>
    <w:rsid w:val="002334FB"/>
    <w:rsid w:val="00233B5D"/>
    <w:rsid w:val="002349FC"/>
    <w:rsid w:val="00234A83"/>
    <w:rsid w:val="00234BF7"/>
    <w:rsid w:val="002351D1"/>
    <w:rsid w:val="00235295"/>
    <w:rsid w:val="00235394"/>
    <w:rsid w:val="0023590C"/>
    <w:rsid w:val="00235A9B"/>
    <w:rsid w:val="00235F76"/>
    <w:rsid w:val="00236427"/>
    <w:rsid w:val="00237A8B"/>
    <w:rsid w:val="00237DB8"/>
    <w:rsid w:val="0024151C"/>
    <w:rsid w:val="00241D4B"/>
    <w:rsid w:val="00242037"/>
    <w:rsid w:val="00242663"/>
    <w:rsid w:val="00242729"/>
    <w:rsid w:val="0024337A"/>
    <w:rsid w:val="00243646"/>
    <w:rsid w:val="002437B9"/>
    <w:rsid w:val="00243C09"/>
    <w:rsid w:val="00243CB6"/>
    <w:rsid w:val="00243D39"/>
    <w:rsid w:val="00243EDB"/>
    <w:rsid w:val="0024414E"/>
    <w:rsid w:val="0024500B"/>
    <w:rsid w:val="0024549A"/>
    <w:rsid w:val="00245D28"/>
    <w:rsid w:val="002462A5"/>
    <w:rsid w:val="002466A8"/>
    <w:rsid w:val="00247D45"/>
    <w:rsid w:val="00247F9D"/>
    <w:rsid w:val="00250090"/>
    <w:rsid w:val="002503C7"/>
    <w:rsid w:val="002508A2"/>
    <w:rsid w:val="00250DED"/>
    <w:rsid w:val="00251341"/>
    <w:rsid w:val="00251400"/>
    <w:rsid w:val="0025193A"/>
    <w:rsid w:val="002519D3"/>
    <w:rsid w:val="002519F1"/>
    <w:rsid w:val="00251AD1"/>
    <w:rsid w:val="0025215B"/>
    <w:rsid w:val="00252167"/>
    <w:rsid w:val="002521DA"/>
    <w:rsid w:val="00252A1D"/>
    <w:rsid w:val="00252BA8"/>
    <w:rsid w:val="00253566"/>
    <w:rsid w:val="002537C9"/>
    <w:rsid w:val="00253D07"/>
    <w:rsid w:val="002540F5"/>
    <w:rsid w:val="00254C58"/>
    <w:rsid w:val="00254DD3"/>
    <w:rsid w:val="002551EE"/>
    <w:rsid w:val="00256C40"/>
    <w:rsid w:val="002573AD"/>
    <w:rsid w:val="00257794"/>
    <w:rsid w:val="002605B5"/>
    <w:rsid w:val="00260D30"/>
    <w:rsid w:val="002614E1"/>
    <w:rsid w:val="00261605"/>
    <w:rsid w:val="00261657"/>
    <w:rsid w:val="0026179F"/>
    <w:rsid w:val="0026235A"/>
    <w:rsid w:val="00262460"/>
    <w:rsid w:val="0026280F"/>
    <w:rsid w:val="00263458"/>
    <w:rsid w:val="00263490"/>
    <w:rsid w:val="00263AA3"/>
    <w:rsid w:val="0026446D"/>
    <w:rsid w:val="00264EB7"/>
    <w:rsid w:val="002657CC"/>
    <w:rsid w:val="0026644B"/>
    <w:rsid w:val="00266577"/>
    <w:rsid w:val="00266668"/>
    <w:rsid w:val="00266761"/>
    <w:rsid w:val="00266983"/>
    <w:rsid w:val="00266B27"/>
    <w:rsid w:val="0026717F"/>
    <w:rsid w:val="00267382"/>
    <w:rsid w:val="00267D1C"/>
    <w:rsid w:val="00267E94"/>
    <w:rsid w:val="002706A5"/>
    <w:rsid w:val="002713AC"/>
    <w:rsid w:val="00271416"/>
    <w:rsid w:val="00271B4B"/>
    <w:rsid w:val="00271EBE"/>
    <w:rsid w:val="00272179"/>
    <w:rsid w:val="00272439"/>
    <w:rsid w:val="00272489"/>
    <w:rsid w:val="00272E43"/>
    <w:rsid w:val="00272F16"/>
    <w:rsid w:val="002734EF"/>
    <w:rsid w:val="0027376F"/>
    <w:rsid w:val="002738A3"/>
    <w:rsid w:val="00273A2F"/>
    <w:rsid w:val="00274547"/>
    <w:rsid w:val="00274E1A"/>
    <w:rsid w:val="00274FCC"/>
    <w:rsid w:val="00275064"/>
    <w:rsid w:val="00275A19"/>
    <w:rsid w:val="002764C0"/>
    <w:rsid w:val="002768D7"/>
    <w:rsid w:val="00276F47"/>
    <w:rsid w:val="002778C9"/>
    <w:rsid w:val="002802F8"/>
    <w:rsid w:val="002809D5"/>
    <w:rsid w:val="00280A83"/>
    <w:rsid w:val="00281F5B"/>
    <w:rsid w:val="00282213"/>
    <w:rsid w:val="00283275"/>
    <w:rsid w:val="0028328E"/>
    <w:rsid w:val="00283354"/>
    <w:rsid w:val="002833F9"/>
    <w:rsid w:val="0028345D"/>
    <w:rsid w:val="00283EE1"/>
    <w:rsid w:val="00284EE7"/>
    <w:rsid w:val="00285744"/>
    <w:rsid w:val="0028579E"/>
    <w:rsid w:val="00285979"/>
    <w:rsid w:val="00286011"/>
    <w:rsid w:val="00286313"/>
    <w:rsid w:val="0028673D"/>
    <w:rsid w:val="00287935"/>
    <w:rsid w:val="00287D57"/>
    <w:rsid w:val="00290270"/>
    <w:rsid w:val="0029091A"/>
    <w:rsid w:val="00291349"/>
    <w:rsid w:val="0029193E"/>
    <w:rsid w:val="002925BE"/>
    <w:rsid w:val="00292870"/>
    <w:rsid w:val="00292D7F"/>
    <w:rsid w:val="0029323E"/>
    <w:rsid w:val="00293638"/>
    <w:rsid w:val="00293D4A"/>
    <w:rsid w:val="0029436D"/>
    <w:rsid w:val="002944DA"/>
    <w:rsid w:val="002949DE"/>
    <w:rsid w:val="00294AA9"/>
    <w:rsid w:val="00294F57"/>
    <w:rsid w:val="002954EE"/>
    <w:rsid w:val="00295529"/>
    <w:rsid w:val="00295A49"/>
    <w:rsid w:val="00296168"/>
    <w:rsid w:val="0029649A"/>
    <w:rsid w:val="0029697E"/>
    <w:rsid w:val="002973C1"/>
    <w:rsid w:val="00297473"/>
    <w:rsid w:val="002975B0"/>
    <w:rsid w:val="002975CE"/>
    <w:rsid w:val="00297A3F"/>
    <w:rsid w:val="00297D09"/>
    <w:rsid w:val="00297DCD"/>
    <w:rsid w:val="002A0918"/>
    <w:rsid w:val="002A0BB2"/>
    <w:rsid w:val="002A0DF4"/>
    <w:rsid w:val="002A183A"/>
    <w:rsid w:val="002A1C1A"/>
    <w:rsid w:val="002A21B0"/>
    <w:rsid w:val="002A24D4"/>
    <w:rsid w:val="002A27C5"/>
    <w:rsid w:val="002A2D51"/>
    <w:rsid w:val="002A372C"/>
    <w:rsid w:val="002A3D58"/>
    <w:rsid w:val="002A49F5"/>
    <w:rsid w:val="002A4EB2"/>
    <w:rsid w:val="002A5481"/>
    <w:rsid w:val="002A550E"/>
    <w:rsid w:val="002A5869"/>
    <w:rsid w:val="002A5BA3"/>
    <w:rsid w:val="002A5F68"/>
    <w:rsid w:val="002A64FA"/>
    <w:rsid w:val="002A690C"/>
    <w:rsid w:val="002A6B5E"/>
    <w:rsid w:val="002A6E66"/>
    <w:rsid w:val="002A6FE9"/>
    <w:rsid w:val="002A72C2"/>
    <w:rsid w:val="002A73DA"/>
    <w:rsid w:val="002A76F1"/>
    <w:rsid w:val="002A7838"/>
    <w:rsid w:val="002A78DB"/>
    <w:rsid w:val="002A7966"/>
    <w:rsid w:val="002B0D4B"/>
    <w:rsid w:val="002B1A23"/>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5DD"/>
    <w:rsid w:val="002C1837"/>
    <w:rsid w:val="002C2091"/>
    <w:rsid w:val="002C2582"/>
    <w:rsid w:val="002C3449"/>
    <w:rsid w:val="002C3773"/>
    <w:rsid w:val="002C37B5"/>
    <w:rsid w:val="002C3BFD"/>
    <w:rsid w:val="002C3F4C"/>
    <w:rsid w:val="002C42DC"/>
    <w:rsid w:val="002C45D2"/>
    <w:rsid w:val="002C4637"/>
    <w:rsid w:val="002C48C9"/>
    <w:rsid w:val="002C4C91"/>
    <w:rsid w:val="002C5CBA"/>
    <w:rsid w:val="002C5D55"/>
    <w:rsid w:val="002C5FA1"/>
    <w:rsid w:val="002C6FB1"/>
    <w:rsid w:val="002C70B3"/>
    <w:rsid w:val="002C71A0"/>
    <w:rsid w:val="002D05F0"/>
    <w:rsid w:val="002D06F5"/>
    <w:rsid w:val="002D087D"/>
    <w:rsid w:val="002D0A18"/>
    <w:rsid w:val="002D0AB0"/>
    <w:rsid w:val="002D0CB8"/>
    <w:rsid w:val="002D161C"/>
    <w:rsid w:val="002D16C7"/>
    <w:rsid w:val="002D1AD0"/>
    <w:rsid w:val="002D1BDA"/>
    <w:rsid w:val="002D249D"/>
    <w:rsid w:val="002D2B1A"/>
    <w:rsid w:val="002D2DB3"/>
    <w:rsid w:val="002D31FF"/>
    <w:rsid w:val="002D34BC"/>
    <w:rsid w:val="002D3995"/>
    <w:rsid w:val="002D44E8"/>
    <w:rsid w:val="002D45B3"/>
    <w:rsid w:val="002D4BB4"/>
    <w:rsid w:val="002D50CE"/>
    <w:rsid w:val="002D58F4"/>
    <w:rsid w:val="002D5A18"/>
    <w:rsid w:val="002D6ED6"/>
    <w:rsid w:val="002D6FDC"/>
    <w:rsid w:val="002D7181"/>
    <w:rsid w:val="002D7191"/>
    <w:rsid w:val="002D7343"/>
    <w:rsid w:val="002D74D8"/>
    <w:rsid w:val="002D758E"/>
    <w:rsid w:val="002D7C81"/>
    <w:rsid w:val="002D7F3C"/>
    <w:rsid w:val="002E049C"/>
    <w:rsid w:val="002E086B"/>
    <w:rsid w:val="002E0B58"/>
    <w:rsid w:val="002E1601"/>
    <w:rsid w:val="002E207E"/>
    <w:rsid w:val="002E29E4"/>
    <w:rsid w:val="002E3113"/>
    <w:rsid w:val="002E324D"/>
    <w:rsid w:val="002E348D"/>
    <w:rsid w:val="002E368C"/>
    <w:rsid w:val="002E3799"/>
    <w:rsid w:val="002E3D8C"/>
    <w:rsid w:val="002E4139"/>
    <w:rsid w:val="002E421B"/>
    <w:rsid w:val="002E4815"/>
    <w:rsid w:val="002E4DFF"/>
    <w:rsid w:val="002E50A4"/>
    <w:rsid w:val="002E5799"/>
    <w:rsid w:val="002E5C02"/>
    <w:rsid w:val="002E5DB7"/>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BDA"/>
    <w:rsid w:val="002F3FC8"/>
    <w:rsid w:val="002F4093"/>
    <w:rsid w:val="002F40CC"/>
    <w:rsid w:val="002F40F2"/>
    <w:rsid w:val="002F4510"/>
    <w:rsid w:val="002F4950"/>
    <w:rsid w:val="002F4DDA"/>
    <w:rsid w:val="002F5710"/>
    <w:rsid w:val="002F5C10"/>
    <w:rsid w:val="002F6309"/>
    <w:rsid w:val="002F63F6"/>
    <w:rsid w:val="002F6A1A"/>
    <w:rsid w:val="002F73BC"/>
    <w:rsid w:val="002F7537"/>
    <w:rsid w:val="002F7ACA"/>
    <w:rsid w:val="002F7B20"/>
    <w:rsid w:val="00300627"/>
    <w:rsid w:val="00301287"/>
    <w:rsid w:val="00301837"/>
    <w:rsid w:val="00301E2D"/>
    <w:rsid w:val="003022D8"/>
    <w:rsid w:val="003024F5"/>
    <w:rsid w:val="003027D8"/>
    <w:rsid w:val="00302BD4"/>
    <w:rsid w:val="003033E6"/>
    <w:rsid w:val="00303981"/>
    <w:rsid w:val="00303A00"/>
    <w:rsid w:val="00303F18"/>
    <w:rsid w:val="00304349"/>
    <w:rsid w:val="003049F6"/>
    <w:rsid w:val="00304C7F"/>
    <w:rsid w:val="003052EF"/>
    <w:rsid w:val="003052F8"/>
    <w:rsid w:val="003053F4"/>
    <w:rsid w:val="00306382"/>
    <w:rsid w:val="003065E0"/>
    <w:rsid w:val="00306AF7"/>
    <w:rsid w:val="00306B48"/>
    <w:rsid w:val="00306C66"/>
    <w:rsid w:val="00306FE1"/>
    <w:rsid w:val="00306FE4"/>
    <w:rsid w:val="00307410"/>
    <w:rsid w:val="0030747E"/>
    <w:rsid w:val="00307D21"/>
    <w:rsid w:val="00307F10"/>
    <w:rsid w:val="00310143"/>
    <w:rsid w:val="0031089D"/>
    <w:rsid w:val="00311037"/>
    <w:rsid w:val="00311AB4"/>
    <w:rsid w:val="003124B4"/>
    <w:rsid w:val="0031257C"/>
    <w:rsid w:val="00312F85"/>
    <w:rsid w:val="00313535"/>
    <w:rsid w:val="0031362C"/>
    <w:rsid w:val="00313D07"/>
    <w:rsid w:val="00313D5F"/>
    <w:rsid w:val="003141ED"/>
    <w:rsid w:val="00315777"/>
    <w:rsid w:val="00315D5E"/>
    <w:rsid w:val="00316814"/>
    <w:rsid w:val="00316D8B"/>
    <w:rsid w:val="00316F3E"/>
    <w:rsid w:val="00317ADC"/>
    <w:rsid w:val="0032006B"/>
    <w:rsid w:val="003203DB"/>
    <w:rsid w:val="00320B0A"/>
    <w:rsid w:val="00320CE3"/>
    <w:rsid w:val="00320D41"/>
    <w:rsid w:val="00320F85"/>
    <w:rsid w:val="003210CC"/>
    <w:rsid w:val="003212DA"/>
    <w:rsid w:val="00321579"/>
    <w:rsid w:val="00321980"/>
    <w:rsid w:val="00321A7F"/>
    <w:rsid w:val="00321ED6"/>
    <w:rsid w:val="003228CF"/>
    <w:rsid w:val="00323A6E"/>
    <w:rsid w:val="00323E37"/>
    <w:rsid w:val="00324089"/>
    <w:rsid w:val="003242FE"/>
    <w:rsid w:val="00325120"/>
    <w:rsid w:val="00325C8A"/>
    <w:rsid w:val="00325FCB"/>
    <w:rsid w:val="0032607D"/>
    <w:rsid w:val="00326109"/>
    <w:rsid w:val="00326258"/>
    <w:rsid w:val="003262A5"/>
    <w:rsid w:val="003262B8"/>
    <w:rsid w:val="00326743"/>
    <w:rsid w:val="00326CB3"/>
    <w:rsid w:val="00327741"/>
    <w:rsid w:val="00327CD7"/>
    <w:rsid w:val="00327F64"/>
    <w:rsid w:val="003304D1"/>
    <w:rsid w:val="00330A93"/>
    <w:rsid w:val="00331105"/>
    <w:rsid w:val="00331E74"/>
    <w:rsid w:val="00331F8D"/>
    <w:rsid w:val="00332595"/>
    <w:rsid w:val="00332C25"/>
    <w:rsid w:val="00335C77"/>
    <w:rsid w:val="003366B3"/>
    <w:rsid w:val="0033768E"/>
    <w:rsid w:val="00337B17"/>
    <w:rsid w:val="00337BA4"/>
    <w:rsid w:val="00337E5C"/>
    <w:rsid w:val="00337F57"/>
    <w:rsid w:val="00340216"/>
    <w:rsid w:val="00340305"/>
    <w:rsid w:val="00340FD4"/>
    <w:rsid w:val="003411C2"/>
    <w:rsid w:val="00341BB3"/>
    <w:rsid w:val="0034244C"/>
    <w:rsid w:val="003426E8"/>
    <w:rsid w:val="00343066"/>
    <w:rsid w:val="0034354B"/>
    <w:rsid w:val="0034369C"/>
    <w:rsid w:val="003439C6"/>
    <w:rsid w:val="00343B3F"/>
    <w:rsid w:val="00343B5E"/>
    <w:rsid w:val="00343BC8"/>
    <w:rsid w:val="0034402C"/>
    <w:rsid w:val="00344071"/>
    <w:rsid w:val="00344D84"/>
    <w:rsid w:val="00344EEE"/>
    <w:rsid w:val="00345443"/>
    <w:rsid w:val="00345930"/>
    <w:rsid w:val="00345F44"/>
    <w:rsid w:val="003463F0"/>
    <w:rsid w:val="0034698B"/>
    <w:rsid w:val="00347261"/>
    <w:rsid w:val="003473A8"/>
    <w:rsid w:val="0034755E"/>
    <w:rsid w:val="00347782"/>
    <w:rsid w:val="00347F8C"/>
    <w:rsid w:val="00350BFC"/>
    <w:rsid w:val="003512A1"/>
    <w:rsid w:val="00351531"/>
    <w:rsid w:val="003516B7"/>
    <w:rsid w:val="003522AB"/>
    <w:rsid w:val="00352370"/>
    <w:rsid w:val="003525CA"/>
    <w:rsid w:val="00352E56"/>
    <w:rsid w:val="003534FD"/>
    <w:rsid w:val="0035353F"/>
    <w:rsid w:val="003539BD"/>
    <w:rsid w:val="0035426C"/>
    <w:rsid w:val="003549EA"/>
    <w:rsid w:val="00354EF4"/>
    <w:rsid w:val="00355110"/>
    <w:rsid w:val="0035542E"/>
    <w:rsid w:val="003556FC"/>
    <w:rsid w:val="0035598B"/>
    <w:rsid w:val="00355B5D"/>
    <w:rsid w:val="00357581"/>
    <w:rsid w:val="0035766C"/>
    <w:rsid w:val="00357795"/>
    <w:rsid w:val="003600C5"/>
    <w:rsid w:val="00360B1F"/>
    <w:rsid w:val="00360B49"/>
    <w:rsid w:val="00360E6B"/>
    <w:rsid w:val="00360F4E"/>
    <w:rsid w:val="003611CF"/>
    <w:rsid w:val="003611D8"/>
    <w:rsid w:val="00361975"/>
    <w:rsid w:val="00362426"/>
    <w:rsid w:val="00363659"/>
    <w:rsid w:val="00363BE0"/>
    <w:rsid w:val="003640DB"/>
    <w:rsid w:val="0036442B"/>
    <w:rsid w:val="00364712"/>
    <w:rsid w:val="00364CFD"/>
    <w:rsid w:val="00365435"/>
    <w:rsid w:val="003654E0"/>
    <w:rsid w:val="0036594E"/>
    <w:rsid w:val="0036651F"/>
    <w:rsid w:val="003665FA"/>
    <w:rsid w:val="003669FD"/>
    <w:rsid w:val="00367724"/>
    <w:rsid w:val="00367736"/>
    <w:rsid w:val="003679F0"/>
    <w:rsid w:val="003709D0"/>
    <w:rsid w:val="003713D6"/>
    <w:rsid w:val="003716F1"/>
    <w:rsid w:val="00371E23"/>
    <w:rsid w:val="00372087"/>
    <w:rsid w:val="00372587"/>
    <w:rsid w:val="003739D3"/>
    <w:rsid w:val="00374423"/>
    <w:rsid w:val="00374A8B"/>
    <w:rsid w:val="00374DEE"/>
    <w:rsid w:val="00374E8D"/>
    <w:rsid w:val="0037569E"/>
    <w:rsid w:val="00375A6F"/>
    <w:rsid w:val="00375F5E"/>
    <w:rsid w:val="00376428"/>
    <w:rsid w:val="003777B1"/>
    <w:rsid w:val="003778BF"/>
    <w:rsid w:val="00377B78"/>
    <w:rsid w:val="00380364"/>
    <w:rsid w:val="003807CD"/>
    <w:rsid w:val="00380C5A"/>
    <w:rsid w:val="00381561"/>
    <w:rsid w:val="003817DE"/>
    <w:rsid w:val="003817F3"/>
    <w:rsid w:val="003818DA"/>
    <w:rsid w:val="00381AC2"/>
    <w:rsid w:val="003824C3"/>
    <w:rsid w:val="00382929"/>
    <w:rsid w:val="00383083"/>
    <w:rsid w:val="0038322C"/>
    <w:rsid w:val="0038344F"/>
    <w:rsid w:val="003834BC"/>
    <w:rsid w:val="003841FC"/>
    <w:rsid w:val="003845DB"/>
    <w:rsid w:val="00384CB9"/>
    <w:rsid w:val="003850ED"/>
    <w:rsid w:val="00385162"/>
    <w:rsid w:val="00385918"/>
    <w:rsid w:val="00386545"/>
    <w:rsid w:val="00386548"/>
    <w:rsid w:val="00386AE0"/>
    <w:rsid w:val="00386C0D"/>
    <w:rsid w:val="003879B3"/>
    <w:rsid w:val="00390087"/>
    <w:rsid w:val="003900A0"/>
    <w:rsid w:val="0039033D"/>
    <w:rsid w:val="003908A9"/>
    <w:rsid w:val="00390DAC"/>
    <w:rsid w:val="00391098"/>
    <w:rsid w:val="00392824"/>
    <w:rsid w:val="00392886"/>
    <w:rsid w:val="003928E9"/>
    <w:rsid w:val="0039298D"/>
    <w:rsid w:val="00392F35"/>
    <w:rsid w:val="0039405B"/>
    <w:rsid w:val="003941B1"/>
    <w:rsid w:val="00394D65"/>
    <w:rsid w:val="0039507B"/>
    <w:rsid w:val="00395141"/>
    <w:rsid w:val="003953A4"/>
    <w:rsid w:val="00395D53"/>
    <w:rsid w:val="00396CFC"/>
    <w:rsid w:val="00397435"/>
    <w:rsid w:val="003978CE"/>
    <w:rsid w:val="00397AA8"/>
    <w:rsid w:val="00397C1F"/>
    <w:rsid w:val="003A01BB"/>
    <w:rsid w:val="003A1043"/>
    <w:rsid w:val="003A1897"/>
    <w:rsid w:val="003A1AF9"/>
    <w:rsid w:val="003A1D4E"/>
    <w:rsid w:val="003A1DEE"/>
    <w:rsid w:val="003A1FDE"/>
    <w:rsid w:val="003A256B"/>
    <w:rsid w:val="003A285E"/>
    <w:rsid w:val="003A3300"/>
    <w:rsid w:val="003A3645"/>
    <w:rsid w:val="003A3892"/>
    <w:rsid w:val="003A3A79"/>
    <w:rsid w:val="003A3E86"/>
    <w:rsid w:val="003A41A5"/>
    <w:rsid w:val="003A5039"/>
    <w:rsid w:val="003A57DD"/>
    <w:rsid w:val="003A5980"/>
    <w:rsid w:val="003A5B71"/>
    <w:rsid w:val="003A5D38"/>
    <w:rsid w:val="003A5ED3"/>
    <w:rsid w:val="003A5FA4"/>
    <w:rsid w:val="003A63EF"/>
    <w:rsid w:val="003A69CD"/>
    <w:rsid w:val="003A6AAC"/>
    <w:rsid w:val="003A75FA"/>
    <w:rsid w:val="003A7633"/>
    <w:rsid w:val="003B01B7"/>
    <w:rsid w:val="003B1118"/>
    <w:rsid w:val="003B1895"/>
    <w:rsid w:val="003B1CD7"/>
    <w:rsid w:val="003B1F59"/>
    <w:rsid w:val="003B20E2"/>
    <w:rsid w:val="003B25A7"/>
    <w:rsid w:val="003B264E"/>
    <w:rsid w:val="003B28AD"/>
    <w:rsid w:val="003B2DD2"/>
    <w:rsid w:val="003B32BF"/>
    <w:rsid w:val="003B39D8"/>
    <w:rsid w:val="003B39F3"/>
    <w:rsid w:val="003B42D1"/>
    <w:rsid w:val="003B48DF"/>
    <w:rsid w:val="003B51B7"/>
    <w:rsid w:val="003B5437"/>
    <w:rsid w:val="003B5439"/>
    <w:rsid w:val="003B57EF"/>
    <w:rsid w:val="003B6104"/>
    <w:rsid w:val="003B619A"/>
    <w:rsid w:val="003B6AB1"/>
    <w:rsid w:val="003B7069"/>
    <w:rsid w:val="003B70DF"/>
    <w:rsid w:val="003B72AA"/>
    <w:rsid w:val="003C00AB"/>
    <w:rsid w:val="003C011E"/>
    <w:rsid w:val="003C05CB"/>
    <w:rsid w:val="003C08B5"/>
    <w:rsid w:val="003C0E95"/>
    <w:rsid w:val="003C10F6"/>
    <w:rsid w:val="003C1EBA"/>
    <w:rsid w:val="003C245B"/>
    <w:rsid w:val="003C24A7"/>
    <w:rsid w:val="003C2562"/>
    <w:rsid w:val="003C29B7"/>
    <w:rsid w:val="003C2DC1"/>
    <w:rsid w:val="003C3358"/>
    <w:rsid w:val="003C4397"/>
    <w:rsid w:val="003C4DBC"/>
    <w:rsid w:val="003C50DB"/>
    <w:rsid w:val="003C50E7"/>
    <w:rsid w:val="003C5993"/>
    <w:rsid w:val="003C612F"/>
    <w:rsid w:val="003C689B"/>
    <w:rsid w:val="003C7014"/>
    <w:rsid w:val="003C7186"/>
    <w:rsid w:val="003C7B02"/>
    <w:rsid w:val="003D0233"/>
    <w:rsid w:val="003D083C"/>
    <w:rsid w:val="003D095F"/>
    <w:rsid w:val="003D0CA3"/>
    <w:rsid w:val="003D0E75"/>
    <w:rsid w:val="003D1539"/>
    <w:rsid w:val="003D15AA"/>
    <w:rsid w:val="003D1917"/>
    <w:rsid w:val="003D1C4D"/>
    <w:rsid w:val="003D1E27"/>
    <w:rsid w:val="003D1F24"/>
    <w:rsid w:val="003D223B"/>
    <w:rsid w:val="003D2670"/>
    <w:rsid w:val="003D2CB9"/>
    <w:rsid w:val="003D3419"/>
    <w:rsid w:val="003D34FE"/>
    <w:rsid w:val="003D38D4"/>
    <w:rsid w:val="003D3D9B"/>
    <w:rsid w:val="003D456A"/>
    <w:rsid w:val="003D4A24"/>
    <w:rsid w:val="003D4D88"/>
    <w:rsid w:val="003D58E5"/>
    <w:rsid w:val="003D5F6E"/>
    <w:rsid w:val="003D60F4"/>
    <w:rsid w:val="003D6364"/>
    <w:rsid w:val="003D664F"/>
    <w:rsid w:val="003D6B53"/>
    <w:rsid w:val="003D6D41"/>
    <w:rsid w:val="003D7308"/>
    <w:rsid w:val="003D7571"/>
    <w:rsid w:val="003D7B3D"/>
    <w:rsid w:val="003D7F2E"/>
    <w:rsid w:val="003E0369"/>
    <w:rsid w:val="003E05F6"/>
    <w:rsid w:val="003E0E06"/>
    <w:rsid w:val="003E0E49"/>
    <w:rsid w:val="003E0FE7"/>
    <w:rsid w:val="003E15E1"/>
    <w:rsid w:val="003E2A58"/>
    <w:rsid w:val="003E345B"/>
    <w:rsid w:val="003E4D34"/>
    <w:rsid w:val="003E5289"/>
    <w:rsid w:val="003E5419"/>
    <w:rsid w:val="003E5A93"/>
    <w:rsid w:val="003E60F0"/>
    <w:rsid w:val="003E61A2"/>
    <w:rsid w:val="003E6B8B"/>
    <w:rsid w:val="003E703A"/>
    <w:rsid w:val="003E7554"/>
    <w:rsid w:val="003F04F5"/>
    <w:rsid w:val="003F0AC3"/>
    <w:rsid w:val="003F0CE8"/>
    <w:rsid w:val="003F215E"/>
    <w:rsid w:val="003F326B"/>
    <w:rsid w:val="003F3C1D"/>
    <w:rsid w:val="003F4278"/>
    <w:rsid w:val="003F481D"/>
    <w:rsid w:val="003F4CAE"/>
    <w:rsid w:val="003F577A"/>
    <w:rsid w:val="003F5880"/>
    <w:rsid w:val="003F5BC8"/>
    <w:rsid w:val="003F5FB2"/>
    <w:rsid w:val="003F6410"/>
    <w:rsid w:val="003F6879"/>
    <w:rsid w:val="003F78CA"/>
    <w:rsid w:val="003F7EBF"/>
    <w:rsid w:val="003F7F7A"/>
    <w:rsid w:val="00400166"/>
    <w:rsid w:val="00400D72"/>
    <w:rsid w:val="00400EA6"/>
    <w:rsid w:val="00400ECD"/>
    <w:rsid w:val="00401432"/>
    <w:rsid w:val="00402055"/>
    <w:rsid w:val="00402106"/>
    <w:rsid w:val="004023FA"/>
    <w:rsid w:val="00402612"/>
    <w:rsid w:val="00404194"/>
    <w:rsid w:val="004046D3"/>
    <w:rsid w:val="0040477C"/>
    <w:rsid w:val="0040487B"/>
    <w:rsid w:val="004048A8"/>
    <w:rsid w:val="00404FB5"/>
    <w:rsid w:val="00405657"/>
    <w:rsid w:val="00405B85"/>
    <w:rsid w:val="00405C6C"/>
    <w:rsid w:val="00405D97"/>
    <w:rsid w:val="00406457"/>
    <w:rsid w:val="00406ED3"/>
    <w:rsid w:val="0040745E"/>
    <w:rsid w:val="0040752F"/>
    <w:rsid w:val="00407F05"/>
    <w:rsid w:val="00410624"/>
    <w:rsid w:val="0041103C"/>
    <w:rsid w:val="004111B7"/>
    <w:rsid w:val="004112E4"/>
    <w:rsid w:val="00411877"/>
    <w:rsid w:val="00411BD0"/>
    <w:rsid w:val="004122AC"/>
    <w:rsid w:val="004122F3"/>
    <w:rsid w:val="0041234A"/>
    <w:rsid w:val="0041267F"/>
    <w:rsid w:val="00412B7D"/>
    <w:rsid w:val="00412F7C"/>
    <w:rsid w:val="00412FB0"/>
    <w:rsid w:val="0041441E"/>
    <w:rsid w:val="0041487F"/>
    <w:rsid w:val="00414B30"/>
    <w:rsid w:val="00414B55"/>
    <w:rsid w:val="00414E22"/>
    <w:rsid w:val="004150B9"/>
    <w:rsid w:val="004153F6"/>
    <w:rsid w:val="004158F1"/>
    <w:rsid w:val="004159D2"/>
    <w:rsid w:val="00415BFB"/>
    <w:rsid w:val="00415DFC"/>
    <w:rsid w:val="00415F13"/>
    <w:rsid w:val="0041649E"/>
    <w:rsid w:val="004164F0"/>
    <w:rsid w:val="00416CAD"/>
    <w:rsid w:val="00416E8E"/>
    <w:rsid w:val="004178C5"/>
    <w:rsid w:val="004204B0"/>
    <w:rsid w:val="00420E35"/>
    <w:rsid w:val="00420FAB"/>
    <w:rsid w:val="00420FF5"/>
    <w:rsid w:val="00421921"/>
    <w:rsid w:val="004221C9"/>
    <w:rsid w:val="004229A4"/>
    <w:rsid w:val="00422DA6"/>
    <w:rsid w:val="0042333E"/>
    <w:rsid w:val="00423398"/>
    <w:rsid w:val="00423A01"/>
    <w:rsid w:val="00423EF0"/>
    <w:rsid w:val="0042430E"/>
    <w:rsid w:val="0042476A"/>
    <w:rsid w:val="004248CA"/>
    <w:rsid w:val="00424D7D"/>
    <w:rsid w:val="0042534B"/>
    <w:rsid w:val="004259E8"/>
    <w:rsid w:val="00425ACF"/>
    <w:rsid w:val="004264A1"/>
    <w:rsid w:val="004268EC"/>
    <w:rsid w:val="00426AB8"/>
    <w:rsid w:val="00426B3A"/>
    <w:rsid w:val="00426CA3"/>
    <w:rsid w:val="00427362"/>
    <w:rsid w:val="00427771"/>
    <w:rsid w:val="00427AA2"/>
    <w:rsid w:val="0043059F"/>
    <w:rsid w:val="00431132"/>
    <w:rsid w:val="004312FA"/>
    <w:rsid w:val="0043177D"/>
    <w:rsid w:val="00432FC5"/>
    <w:rsid w:val="00433243"/>
    <w:rsid w:val="00433E06"/>
    <w:rsid w:val="004344D8"/>
    <w:rsid w:val="004344E6"/>
    <w:rsid w:val="00434981"/>
    <w:rsid w:val="00434FAC"/>
    <w:rsid w:val="00435894"/>
    <w:rsid w:val="00436326"/>
    <w:rsid w:val="00436667"/>
    <w:rsid w:val="004368E4"/>
    <w:rsid w:val="00436DD3"/>
    <w:rsid w:val="00437026"/>
    <w:rsid w:val="00437A85"/>
    <w:rsid w:val="00440519"/>
    <w:rsid w:val="00440728"/>
    <w:rsid w:val="00440887"/>
    <w:rsid w:val="00440E68"/>
    <w:rsid w:val="004413C3"/>
    <w:rsid w:val="0044154E"/>
    <w:rsid w:val="00442569"/>
    <w:rsid w:val="0044350E"/>
    <w:rsid w:val="00443A50"/>
    <w:rsid w:val="00443DCA"/>
    <w:rsid w:val="00444225"/>
    <w:rsid w:val="0044444C"/>
    <w:rsid w:val="00444B41"/>
    <w:rsid w:val="0044571B"/>
    <w:rsid w:val="00446AE9"/>
    <w:rsid w:val="00446B8C"/>
    <w:rsid w:val="00447202"/>
    <w:rsid w:val="00447492"/>
    <w:rsid w:val="0044765C"/>
    <w:rsid w:val="00447743"/>
    <w:rsid w:val="0045070A"/>
    <w:rsid w:val="00450716"/>
    <w:rsid w:val="00450D66"/>
    <w:rsid w:val="00450D92"/>
    <w:rsid w:val="004512D7"/>
    <w:rsid w:val="00451311"/>
    <w:rsid w:val="004514CD"/>
    <w:rsid w:val="00451607"/>
    <w:rsid w:val="004520CB"/>
    <w:rsid w:val="0045253B"/>
    <w:rsid w:val="00452680"/>
    <w:rsid w:val="0045296B"/>
    <w:rsid w:val="004533D8"/>
    <w:rsid w:val="0045366A"/>
    <w:rsid w:val="004536F6"/>
    <w:rsid w:val="0045398C"/>
    <w:rsid w:val="00453A16"/>
    <w:rsid w:val="00453B85"/>
    <w:rsid w:val="00453D51"/>
    <w:rsid w:val="004548FB"/>
    <w:rsid w:val="00454F04"/>
    <w:rsid w:val="00456BFB"/>
    <w:rsid w:val="00456CC4"/>
    <w:rsid w:val="00456E96"/>
    <w:rsid w:val="00456F77"/>
    <w:rsid w:val="004570AE"/>
    <w:rsid w:val="00457C47"/>
    <w:rsid w:val="0046014C"/>
    <w:rsid w:val="00460307"/>
    <w:rsid w:val="0046045D"/>
    <w:rsid w:val="00460731"/>
    <w:rsid w:val="004613DC"/>
    <w:rsid w:val="00461443"/>
    <w:rsid w:val="004621ED"/>
    <w:rsid w:val="00462B0E"/>
    <w:rsid w:val="004635A2"/>
    <w:rsid w:val="00463850"/>
    <w:rsid w:val="00463B30"/>
    <w:rsid w:val="00463FCC"/>
    <w:rsid w:val="00463FF6"/>
    <w:rsid w:val="004651BC"/>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0D73"/>
    <w:rsid w:val="00470DC3"/>
    <w:rsid w:val="00471857"/>
    <w:rsid w:val="0047210A"/>
    <w:rsid w:val="00472544"/>
    <w:rsid w:val="0047277C"/>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77567"/>
    <w:rsid w:val="00480B2F"/>
    <w:rsid w:val="00481158"/>
    <w:rsid w:val="0048132D"/>
    <w:rsid w:val="00481FCF"/>
    <w:rsid w:val="004820D4"/>
    <w:rsid w:val="00482698"/>
    <w:rsid w:val="004826D6"/>
    <w:rsid w:val="0048319E"/>
    <w:rsid w:val="00483433"/>
    <w:rsid w:val="004834C4"/>
    <w:rsid w:val="00483D79"/>
    <w:rsid w:val="0048430A"/>
    <w:rsid w:val="00484397"/>
    <w:rsid w:val="00484D75"/>
    <w:rsid w:val="0048502B"/>
    <w:rsid w:val="00485124"/>
    <w:rsid w:val="00485520"/>
    <w:rsid w:val="0048569C"/>
    <w:rsid w:val="004856EC"/>
    <w:rsid w:val="00485BC4"/>
    <w:rsid w:val="00485CB1"/>
    <w:rsid w:val="00486B15"/>
    <w:rsid w:val="00486B28"/>
    <w:rsid w:val="00487A30"/>
    <w:rsid w:val="004904BF"/>
    <w:rsid w:val="004906F0"/>
    <w:rsid w:val="00490C27"/>
    <w:rsid w:val="00490C78"/>
    <w:rsid w:val="004911C3"/>
    <w:rsid w:val="00491559"/>
    <w:rsid w:val="00492984"/>
    <w:rsid w:val="00492F3C"/>
    <w:rsid w:val="004934BA"/>
    <w:rsid w:val="004934D5"/>
    <w:rsid w:val="004937DE"/>
    <w:rsid w:val="00493A73"/>
    <w:rsid w:val="004941FF"/>
    <w:rsid w:val="0049461C"/>
    <w:rsid w:val="00494716"/>
    <w:rsid w:val="00494954"/>
    <w:rsid w:val="00494B86"/>
    <w:rsid w:val="00494E27"/>
    <w:rsid w:val="00495F09"/>
    <w:rsid w:val="00496246"/>
    <w:rsid w:val="00496A1F"/>
    <w:rsid w:val="00496A91"/>
    <w:rsid w:val="00496C45"/>
    <w:rsid w:val="00496C67"/>
    <w:rsid w:val="00496C6B"/>
    <w:rsid w:val="00496D20"/>
    <w:rsid w:val="00497117"/>
    <w:rsid w:val="0049712E"/>
    <w:rsid w:val="0049718A"/>
    <w:rsid w:val="00497832"/>
    <w:rsid w:val="00497D93"/>
    <w:rsid w:val="004A030B"/>
    <w:rsid w:val="004A04FE"/>
    <w:rsid w:val="004A07B6"/>
    <w:rsid w:val="004A0962"/>
    <w:rsid w:val="004A0B94"/>
    <w:rsid w:val="004A17C7"/>
    <w:rsid w:val="004A25DA"/>
    <w:rsid w:val="004A29B4"/>
    <w:rsid w:val="004A2A94"/>
    <w:rsid w:val="004A3200"/>
    <w:rsid w:val="004A34A2"/>
    <w:rsid w:val="004A39AD"/>
    <w:rsid w:val="004A3D9B"/>
    <w:rsid w:val="004A45D5"/>
    <w:rsid w:val="004A463F"/>
    <w:rsid w:val="004A47D4"/>
    <w:rsid w:val="004A4DFC"/>
    <w:rsid w:val="004A5CCB"/>
    <w:rsid w:val="004A5EC6"/>
    <w:rsid w:val="004A6044"/>
    <w:rsid w:val="004A71C7"/>
    <w:rsid w:val="004A7BB6"/>
    <w:rsid w:val="004B08C4"/>
    <w:rsid w:val="004B0EFA"/>
    <w:rsid w:val="004B11F5"/>
    <w:rsid w:val="004B14AC"/>
    <w:rsid w:val="004B17AB"/>
    <w:rsid w:val="004B1935"/>
    <w:rsid w:val="004B2928"/>
    <w:rsid w:val="004B329E"/>
    <w:rsid w:val="004B32E2"/>
    <w:rsid w:val="004B32F7"/>
    <w:rsid w:val="004B36E4"/>
    <w:rsid w:val="004B371C"/>
    <w:rsid w:val="004B4B8F"/>
    <w:rsid w:val="004B5244"/>
    <w:rsid w:val="004B5A64"/>
    <w:rsid w:val="004B5C36"/>
    <w:rsid w:val="004B734A"/>
    <w:rsid w:val="004B7644"/>
    <w:rsid w:val="004B78C9"/>
    <w:rsid w:val="004B7AAF"/>
    <w:rsid w:val="004B7F8D"/>
    <w:rsid w:val="004C0650"/>
    <w:rsid w:val="004C2488"/>
    <w:rsid w:val="004C2C09"/>
    <w:rsid w:val="004C2FED"/>
    <w:rsid w:val="004C3890"/>
    <w:rsid w:val="004C3A2C"/>
    <w:rsid w:val="004C516C"/>
    <w:rsid w:val="004C5214"/>
    <w:rsid w:val="004C65F4"/>
    <w:rsid w:val="004C66BC"/>
    <w:rsid w:val="004C6898"/>
    <w:rsid w:val="004C6FD3"/>
    <w:rsid w:val="004C75EF"/>
    <w:rsid w:val="004C7A3E"/>
    <w:rsid w:val="004D0996"/>
    <w:rsid w:val="004D0D88"/>
    <w:rsid w:val="004D105F"/>
    <w:rsid w:val="004D11A4"/>
    <w:rsid w:val="004D1468"/>
    <w:rsid w:val="004D2002"/>
    <w:rsid w:val="004D2619"/>
    <w:rsid w:val="004D26FF"/>
    <w:rsid w:val="004D2AB3"/>
    <w:rsid w:val="004D2BDE"/>
    <w:rsid w:val="004D3A25"/>
    <w:rsid w:val="004D3C77"/>
    <w:rsid w:val="004D3EE1"/>
    <w:rsid w:val="004D3EFC"/>
    <w:rsid w:val="004D410F"/>
    <w:rsid w:val="004D4F12"/>
    <w:rsid w:val="004D5020"/>
    <w:rsid w:val="004D5E17"/>
    <w:rsid w:val="004D5FE8"/>
    <w:rsid w:val="004D615E"/>
    <w:rsid w:val="004D622E"/>
    <w:rsid w:val="004D681E"/>
    <w:rsid w:val="004D6903"/>
    <w:rsid w:val="004D69A7"/>
    <w:rsid w:val="004D6A25"/>
    <w:rsid w:val="004D7992"/>
    <w:rsid w:val="004E0273"/>
    <w:rsid w:val="004E039F"/>
    <w:rsid w:val="004E1D1D"/>
    <w:rsid w:val="004E1E74"/>
    <w:rsid w:val="004E23DE"/>
    <w:rsid w:val="004E2E40"/>
    <w:rsid w:val="004E3013"/>
    <w:rsid w:val="004E34F7"/>
    <w:rsid w:val="004E3522"/>
    <w:rsid w:val="004E397B"/>
    <w:rsid w:val="004E3FFF"/>
    <w:rsid w:val="004E42B4"/>
    <w:rsid w:val="004E4EA1"/>
    <w:rsid w:val="004E5190"/>
    <w:rsid w:val="004E51B0"/>
    <w:rsid w:val="004E52E8"/>
    <w:rsid w:val="004E5311"/>
    <w:rsid w:val="004E5633"/>
    <w:rsid w:val="004E5B01"/>
    <w:rsid w:val="004E6158"/>
    <w:rsid w:val="004E68AF"/>
    <w:rsid w:val="004E6B7A"/>
    <w:rsid w:val="004E6DBB"/>
    <w:rsid w:val="004E6DD7"/>
    <w:rsid w:val="004E6E6E"/>
    <w:rsid w:val="004E72E3"/>
    <w:rsid w:val="004E7B34"/>
    <w:rsid w:val="004F01B3"/>
    <w:rsid w:val="004F03DF"/>
    <w:rsid w:val="004F0477"/>
    <w:rsid w:val="004F0577"/>
    <w:rsid w:val="004F0B5D"/>
    <w:rsid w:val="004F1278"/>
    <w:rsid w:val="004F2032"/>
    <w:rsid w:val="004F3257"/>
    <w:rsid w:val="004F3413"/>
    <w:rsid w:val="004F353D"/>
    <w:rsid w:val="004F3D71"/>
    <w:rsid w:val="004F3E91"/>
    <w:rsid w:val="004F4FB6"/>
    <w:rsid w:val="004F5376"/>
    <w:rsid w:val="004F68D1"/>
    <w:rsid w:val="004F6B58"/>
    <w:rsid w:val="004F6DA8"/>
    <w:rsid w:val="004F7448"/>
    <w:rsid w:val="004F7676"/>
    <w:rsid w:val="004F7774"/>
    <w:rsid w:val="004F7A1E"/>
    <w:rsid w:val="004F7A67"/>
    <w:rsid w:val="004F7F77"/>
    <w:rsid w:val="00500EEB"/>
    <w:rsid w:val="00501262"/>
    <w:rsid w:val="005023F4"/>
    <w:rsid w:val="0050262D"/>
    <w:rsid w:val="00502EE0"/>
    <w:rsid w:val="0050334D"/>
    <w:rsid w:val="0050342D"/>
    <w:rsid w:val="00503690"/>
    <w:rsid w:val="00503E48"/>
    <w:rsid w:val="005044DC"/>
    <w:rsid w:val="00504809"/>
    <w:rsid w:val="0050493A"/>
    <w:rsid w:val="00504C02"/>
    <w:rsid w:val="00504D6C"/>
    <w:rsid w:val="00504D8C"/>
    <w:rsid w:val="00504E73"/>
    <w:rsid w:val="00505250"/>
    <w:rsid w:val="00505BFA"/>
    <w:rsid w:val="005061CB"/>
    <w:rsid w:val="00506222"/>
    <w:rsid w:val="00506AA5"/>
    <w:rsid w:val="00506B3C"/>
    <w:rsid w:val="00507053"/>
    <w:rsid w:val="0050749E"/>
    <w:rsid w:val="00510B56"/>
    <w:rsid w:val="005116D8"/>
    <w:rsid w:val="00511BFD"/>
    <w:rsid w:val="00512400"/>
    <w:rsid w:val="005127C8"/>
    <w:rsid w:val="00512881"/>
    <w:rsid w:val="0051288F"/>
    <w:rsid w:val="00512F8A"/>
    <w:rsid w:val="0051326C"/>
    <w:rsid w:val="00513526"/>
    <w:rsid w:val="00513C98"/>
    <w:rsid w:val="00513F7E"/>
    <w:rsid w:val="00514264"/>
    <w:rsid w:val="005145B4"/>
    <w:rsid w:val="005147B8"/>
    <w:rsid w:val="00514916"/>
    <w:rsid w:val="00514EB4"/>
    <w:rsid w:val="0051550E"/>
    <w:rsid w:val="00517B0A"/>
    <w:rsid w:val="00517C1F"/>
    <w:rsid w:val="00517E37"/>
    <w:rsid w:val="00517E7D"/>
    <w:rsid w:val="0052089A"/>
    <w:rsid w:val="005213C3"/>
    <w:rsid w:val="0052144A"/>
    <w:rsid w:val="00521C81"/>
    <w:rsid w:val="00522073"/>
    <w:rsid w:val="00522372"/>
    <w:rsid w:val="00523915"/>
    <w:rsid w:val="00523A04"/>
    <w:rsid w:val="005241DD"/>
    <w:rsid w:val="005244E1"/>
    <w:rsid w:val="00524A1A"/>
    <w:rsid w:val="00524ABA"/>
    <w:rsid w:val="00524CA1"/>
    <w:rsid w:val="00525601"/>
    <w:rsid w:val="00525989"/>
    <w:rsid w:val="00525AF7"/>
    <w:rsid w:val="0052606D"/>
    <w:rsid w:val="005264A5"/>
    <w:rsid w:val="00526517"/>
    <w:rsid w:val="00526ABE"/>
    <w:rsid w:val="00526D17"/>
    <w:rsid w:val="00526DAC"/>
    <w:rsid w:val="0052764F"/>
    <w:rsid w:val="005278DA"/>
    <w:rsid w:val="005279C2"/>
    <w:rsid w:val="00530877"/>
    <w:rsid w:val="0053129A"/>
    <w:rsid w:val="005314E4"/>
    <w:rsid w:val="005318CB"/>
    <w:rsid w:val="00531BBD"/>
    <w:rsid w:val="005322B9"/>
    <w:rsid w:val="00532810"/>
    <w:rsid w:val="00532B0C"/>
    <w:rsid w:val="005334B6"/>
    <w:rsid w:val="00534833"/>
    <w:rsid w:val="00534D44"/>
    <w:rsid w:val="00535352"/>
    <w:rsid w:val="00535525"/>
    <w:rsid w:val="005355EC"/>
    <w:rsid w:val="0053591B"/>
    <w:rsid w:val="00535B4F"/>
    <w:rsid w:val="00535B79"/>
    <w:rsid w:val="00535F2D"/>
    <w:rsid w:val="0053688F"/>
    <w:rsid w:val="00536B74"/>
    <w:rsid w:val="00536F7A"/>
    <w:rsid w:val="0053734A"/>
    <w:rsid w:val="00537940"/>
    <w:rsid w:val="00537D88"/>
    <w:rsid w:val="00537FD9"/>
    <w:rsid w:val="0054042B"/>
    <w:rsid w:val="005406FC"/>
    <w:rsid w:val="005407F1"/>
    <w:rsid w:val="00540934"/>
    <w:rsid w:val="005412AC"/>
    <w:rsid w:val="00541356"/>
    <w:rsid w:val="00541ACB"/>
    <w:rsid w:val="00542414"/>
    <w:rsid w:val="00542A2B"/>
    <w:rsid w:val="00542F6B"/>
    <w:rsid w:val="005431D9"/>
    <w:rsid w:val="0054333A"/>
    <w:rsid w:val="00543561"/>
    <w:rsid w:val="00543890"/>
    <w:rsid w:val="0054401D"/>
    <w:rsid w:val="00544F03"/>
    <w:rsid w:val="005464A9"/>
    <w:rsid w:val="00547366"/>
    <w:rsid w:val="005473F2"/>
    <w:rsid w:val="00547C11"/>
    <w:rsid w:val="00550362"/>
    <w:rsid w:val="0055043D"/>
    <w:rsid w:val="0055074B"/>
    <w:rsid w:val="00551284"/>
    <w:rsid w:val="00551FD1"/>
    <w:rsid w:val="005520E6"/>
    <w:rsid w:val="00552484"/>
    <w:rsid w:val="0055296B"/>
    <w:rsid w:val="00552CEF"/>
    <w:rsid w:val="00553212"/>
    <w:rsid w:val="00553549"/>
    <w:rsid w:val="00553551"/>
    <w:rsid w:val="00553FC5"/>
    <w:rsid w:val="00554026"/>
    <w:rsid w:val="0055430B"/>
    <w:rsid w:val="00554C06"/>
    <w:rsid w:val="005554FF"/>
    <w:rsid w:val="00555802"/>
    <w:rsid w:val="005558AB"/>
    <w:rsid w:val="00555F24"/>
    <w:rsid w:val="00556902"/>
    <w:rsid w:val="00556BB0"/>
    <w:rsid w:val="00556CC0"/>
    <w:rsid w:val="005570A7"/>
    <w:rsid w:val="005577A8"/>
    <w:rsid w:val="005579CC"/>
    <w:rsid w:val="00557AB9"/>
    <w:rsid w:val="00557FD7"/>
    <w:rsid w:val="00560212"/>
    <w:rsid w:val="00560C46"/>
    <w:rsid w:val="00560F47"/>
    <w:rsid w:val="0056124F"/>
    <w:rsid w:val="00561A0B"/>
    <w:rsid w:val="00561A4E"/>
    <w:rsid w:val="005623AC"/>
    <w:rsid w:val="00562E28"/>
    <w:rsid w:val="00563111"/>
    <w:rsid w:val="00563958"/>
    <w:rsid w:val="00563984"/>
    <w:rsid w:val="005644F7"/>
    <w:rsid w:val="00564539"/>
    <w:rsid w:val="00564566"/>
    <w:rsid w:val="00566178"/>
    <w:rsid w:val="00566394"/>
    <w:rsid w:val="0056679B"/>
    <w:rsid w:val="00566CE5"/>
    <w:rsid w:val="00566DE2"/>
    <w:rsid w:val="00566F01"/>
    <w:rsid w:val="0056779D"/>
    <w:rsid w:val="00570653"/>
    <w:rsid w:val="00570D5C"/>
    <w:rsid w:val="0057100B"/>
    <w:rsid w:val="0057129E"/>
    <w:rsid w:val="00571A70"/>
    <w:rsid w:val="00572A2D"/>
    <w:rsid w:val="00572D9D"/>
    <w:rsid w:val="00573AD9"/>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3FE"/>
    <w:rsid w:val="00583AF1"/>
    <w:rsid w:val="00583BD1"/>
    <w:rsid w:val="00584454"/>
    <w:rsid w:val="005844F7"/>
    <w:rsid w:val="005848AD"/>
    <w:rsid w:val="005855FB"/>
    <w:rsid w:val="00585EEA"/>
    <w:rsid w:val="0058668B"/>
    <w:rsid w:val="00586B3A"/>
    <w:rsid w:val="00587410"/>
    <w:rsid w:val="0058751B"/>
    <w:rsid w:val="00587D54"/>
    <w:rsid w:val="00590177"/>
    <w:rsid w:val="0059044E"/>
    <w:rsid w:val="00590E8E"/>
    <w:rsid w:val="00591037"/>
    <w:rsid w:val="005910DC"/>
    <w:rsid w:val="005911A7"/>
    <w:rsid w:val="00591227"/>
    <w:rsid w:val="00591EB2"/>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25D"/>
    <w:rsid w:val="005A0EE1"/>
    <w:rsid w:val="005A1A52"/>
    <w:rsid w:val="005A2509"/>
    <w:rsid w:val="005A297B"/>
    <w:rsid w:val="005A2BD9"/>
    <w:rsid w:val="005A2D7F"/>
    <w:rsid w:val="005A3426"/>
    <w:rsid w:val="005A36E4"/>
    <w:rsid w:val="005A3A85"/>
    <w:rsid w:val="005A41EC"/>
    <w:rsid w:val="005A4BA1"/>
    <w:rsid w:val="005A5449"/>
    <w:rsid w:val="005A5570"/>
    <w:rsid w:val="005A5E33"/>
    <w:rsid w:val="005A5F1B"/>
    <w:rsid w:val="005A6130"/>
    <w:rsid w:val="005A650D"/>
    <w:rsid w:val="005A6683"/>
    <w:rsid w:val="005A6940"/>
    <w:rsid w:val="005A7250"/>
    <w:rsid w:val="005A74E2"/>
    <w:rsid w:val="005B1399"/>
    <w:rsid w:val="005B168F"/>
    <w:rsid w:val="005B1F15"/>
    <w:rsid w:val="005B277D"/>
    <w:rsid w:val="005B2810"/>
    <w:rsid w:val="005B296E"/>
    <w:rsid w:val="005B337A"/>
    <w:rsid w:val="005B3F49"/>
    <w:rsid w:val="005B4416"/>
    <w:rsid w:val="005B4813"/>
    <w:rsid w:val="005B4C8E"/>
    <w:rsid w:val="005B5083"/>
    <w:rsid w:val="005B51E7"/>
    <w:rsid w:val="005B5211"/>
    <w:rsid w:val="005B5FBE"/>
    <w:rsid w:val="005B6AE9"/>
    <w:rsid w:val="005B6B34"/>
    <w:rsid w:val="005B6B5F"/>
    <w:rsid w:val="005B72E3"/>
    <w:rsid w:val="005C0029"/>
    <w:rsid w:val="005C070D"/>
    <w:rsid w:val="005C0AEB"/>
    <w:rsid w:val="005C0F6E"/>
    <w:rsid w:val="005C10B5"/>
    <w:rsid w:val="005C1295"/>
    <w:rsid w:val="005C18AD"/>
    <w:rsid w:val="005C1DF2"/>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07DD"/>
    <w:rsid w:val="005D0853"/>
    <w:rsid w:val="005D1413"/>
    <w:rsid w:val="005D20C3"/>
    <w:rsid w:val="005D27A5"/>
    <w:rsid w:val="005D2F63"/>
    <w:rsid w:val="005D39D0"/>
    <w:rsid w:val="005D3DC2"/>
    <w:rsid w:val="005D47F0"/>
    <w:rsid w:val="005D4C01"/>
    <w:rsid w:val="005D4D3E"/>
    <w:rsid w:val="005D4D85"/>
    <w:rsid w:val="005D572F"/>
    <w:rsid w:val="005D57CA"/>
    <w:rsid w:val="005D5815"/>
    <w:rsid w:val="005D5894"/>
    <w:rsid w:val="005D787A"/>
    <w:rsid w:val="005D7DD6"/>
    <w:rsid w:val="005D7FE2"/>
    <w:rsid w:val="005E0178"/>
    <w:rsid w:val="005E0EAE"/>
    <w:rsid w:val="005E165C"/>
    <w:rsid w:val="005E179E"/>
    <w:rsid w:val="005E22FA"/>
    <w:rsid w:val="005E26E0"/>
    <w:rsid w:val="005E2DC1"/>
    <w:rsid w:val="005E3536"/>
    <w:rsid w:val="005E4345"/>
    <w:rsid w:val="005E4843"/>
    <w:rsid w:val="005E4A3B"/>
    <w:rsid w:val="005E4A7F"/>
    <w:rsid w:val="005E4A97"/>
    <w:rsid w:val="005E4C0F"/>
    <w:rsid w:val="005E514F"/>
    <w:rsid w:val="005E5985"/>
    <w:rsid w:val="005E5DAC"/>
    <w:rsid w:val="005E66FF"/>
    <w:rsid w:val="005E6AF6"/>
    <w:rsid w:val="005E6B83"/>
    <w:rsid w:val="005E7768"/>
    <w:rsid w:val="005E7840"/>
    <w:rsid w:val="005E7A03"/>
    <w:rsid w:val="005E7ECF"/>
    <w:rsid w:val="005F0D45"/>
    <w:rsid w:val="005F0E97"/>
    <w:rsid w:val="005F1521"/>
    <w:rsid w:val="005F1794"/>
    <w:rsid w:val="005F18E5"/>
    <w:rsid w:val="005F23E9"/>
    <w:rsid w:val="005F28F9"/>
    <w:rsid w:val="005F2DC9"/>
    <w:rsid w:val="005F344B"/>
    <w:rsid w:val="005F449A"/>
    <w:rsid w:val="005F4819"/>
    <w:rsid w:val="005F4884"/>
    <w:rsid w:val="005F5067"/>
    <w:rsid w:val="005F5185"/>
    <w:rsid w:val="005F53D9"/>
    <w:rsid w:val="005F53F7"/>
    <w:rsid w:val="005F542B"/>
    <w:rsid w:val="005F55F8"/>
    <w:rsid w:val="005F5681"/>
    <w:rsid w:val="005F5775"/>
    <w:rsid w:val="005F6187"/>
    <w:rsid w:val="005F62B8"/>
    <w:rsid w:val="005F66E2"/>
    <w:rsid w:val="005F6C38"/>
    <w:rsid w:val="005F7326"/>
    <w:rsid w:val="005F7978"/>
    <w:rsid w:val="005F7E4A"/>
    <w:rsid w:val="00600118"/>
    <w:rsid w:val="00600398"/>
    <w:rsid w:val="0060131E"/>
    <w:rsid w:val="00601791"/>
    <w:rsid w:val="006017DA"/>
    <w:rsid w:val="00601A4A"/>
    <w:rsid w:val="006024C3"/>
    <w:rsid w:val="00602509"/>
    <w:rsid w:val="00602DF2"/>
    <w:rsid w:val="00602F74"/>
    <w:rsid w:val="00603167"/>
    <w:rsid w:val="00603733"/>
    <w:rsid w:val="00603EBB"/>
    <w:rsid w:val="006042C9"/>
    <w:rsid w:val="0060469B"/>
    <w:rsid w:val="00604841"/>
    <w:rsid w:val="00605049"/>
    <w:rsid w:val="0060597B"/>
    <w:rsid w:val="00605F8C"/>
    <w:rsid w:val="00605FCE"/>
    <w:rsid w:val="0060672A"/>
    <w:rsid w:val="0060756D"/>
    <w:rsid w:val="00607D26"/>
    <w:rsid w:val="00607D7E"/>
    <w:rsid w:val="00607DC2"/>
    <w:rsid w:val="0061035E"/>
    <w:rsid w:val="00610659"/>
    <w:rsid w:val="006107C6"/>
    <w:rsid w:val="00610943"/>
    <w:rsid w:val="006109B6"/>
    <w:rsid w:val="00610D5A"/>
    <w:rsid w:val="00611722"/>
    <w:rsid w:val="00611792"/>
    <w:rsid w:val="00612164"/>
    <w:rsid w:val="0061225A"/>
    <w:rsid w:val="0061239F"/>
    <w:rsid w:val="006124F8"/>
    <w:rsid w:val="00613E38"/>
    <w:rsid w:val="006144CD"/>
    <w:rsid w:val="00614D25"/>
    <w:rsid w:val="00614FD7"/>
    <w:rsid w:val="00615E57"/>
    <w:rsid w:val="0061642A"/>
    <w:rsid w:val="00616B2A"/>
    <w:rsid w:val="00616CCB"/>
    <w:rsid w:val="00617430"/>
    <w:rsid w:val="00617873"/>
    <w:rsid w:val="00617901"/>
    <w:rsid w:val="00617FCB"/>
    <w:rsid w:val="00620518"/>
    <w:rsid w:val="00621068"/>
    <w:rsid w:val="00621177"/>
    <w:rsid w:val="006217E3"/>
    <w:rsid w:val="00621CD1"/>
    <w:rsid w:val="00622996"/>
    <w:rsid w:val="00622BE1"/>
    <w:rsid w:val="00624252"/>
    <w:rsid w:val="00625028"/>
    <w:rsid w:val="00625083"/>
    <w:rsid w:val="006250C4"/>
    <w:rsid w:val="006252A8"/>
    <w:rsid w:val="00625DDA"/>
    <w:rsid w:val="006261D7"/>
    <w:rsid w:val="00626258"/>
    <w:rsid w:val="0062646C"/>
    <w:rsid w:val="006266E7"/>
    <w:rsid w:val="0062692B"/>
    <w:rsid w:val="00626999"/>
    <w:rsid w:val="00626A91"/>
    <w:rsid w:val="00626C82"/>
    <w:rsid w:val="00626E7B"/>
    <w:rsid w:val="00626EC3"/>
    <w:rsid w:val="00626EFE"/>
    <w:rsid w:val="00626F03"/>
    <w:rsid w:val="00626F2B"/>
    <w:rsid w:val="0062733A"/>
    <w:rsid w:val="006273EF"/>
    <w:rsid w:val="0063019F"/>
    <w:rsid w:val="006303A5"/>
    <w:rsid w:val="00630B8C"/>
    <w:rsid w:val="00630F44"/>
    <w:rsid w:val="00630FFC"/>
    <w:rsid w:val="00631F61"/>
    <w:rsid w:val="00632E4C"/>
    <w:rsid w:val="00632F50"/>
    <w:rsid w:val="00632FFF"/>
    <w:rsid w:val="00634591"/>
    <w:rsid w:val="0063460B"/>
    <w:rsid w:val="00634838"/>
    <w:rsid w:val="00634B08"/>
    <w:rsid w:val="00634BD0"/>
    <w:rsid w:val="00634F45"/>
    <w:rsid w:val="00634F81"/>
    <w:rsid w:val="00635610"/>
    <w:rsid w:val="00636978"/>
    <w:rsid w:val="00637238"/>
    <w:rsid w:val="006374B5"/>
    <w:rsid w:val="00637FA8"/>
    <w:rsid w:val="00640A32"/>
    <w:rsid w:val="00640F7E"/>
    <w:rsid w:val="00641040"/>
    <w:rsid w:val="00641196"/>
    <w:rsid w:val="00641374"/>
    <w:rsid w:val="0064174A"/>
    <w:rsid w:val="00641AF3"/>
    <w:rsid w:val="00641D1E"/>
    <w:rsid w:val="00641E0B"/>
    <w:rsid w:val="00643BE3"/>
    <w:rsid w:val="00643C8B"/>
    <w:rsid w:val="00644DBB"/>
    <w:rsid w:val="006457BC"/>
    <w:rsid w:val="00645A26"/>
    <w:rsid w:val="00646E6F"/>
    <w:rsid w:val="006473A9"/>
    <w:rsid w:val="00647CE2"/>
    <w:rsid w:val="00647DF6"/>
    <w:rsid w:val="00647FCE"/>
    <w:rsid w:val="006500BA"/>
    <w:rsid w:val="006503A0"/>
    <w:rsid w:val="00650B14"/>
    <w:rsid w:val="00650B3A"/>
    <w:rsid w:val="00650BEB"/>
    <w:rsid w:val="0065105F"/>
    <w:rsid w:val="006510C5"/>
    <w:rsid w:val="006512B6"/>
    <w:rsid w:val="006517D0"/>
    <w:rsid w:val="00651F1C"/>
    <w:rsid w:val="006523A0"/>
    <w:rsid w:val="00652F1B"/>
    <w:rsid w:val="0065343B"/>
    <w:rsid w:val="00653496"/>
    <w:rsid w:val="00653C72"/>
    <w:rsid w:val="00654E2B"/>
    <w:rsid w:val="00655002"/>
    <w:rsid w:val="006556EB"/>
    <w:rsid w:val="00655C30"/>
    <w:rsid w:val="00655CB9"/>
    <w:rsid w:val="00655F27"/>
    <w:rsid w:val="006560F2"/>
    <w:rsid w:val="00656307"/>
    <w:rsid w:val="006567FE"/>
    <w:rsid w:val="00656E7F"/>
    <w:rsid w:val="0065702D"/>
    <w:rsid w:val="0065720D"/>
    <w:rsid w:val="006572B7"/>
    <w:rsid w:val="00657312"/>
    <w:rsid w:val="0065799F"/>
    <w:rsid w:val="00657F04"/>
    <w:rsid w:val="00660DC1"/>
    <w:rsid w:val="006612A8"/>
    <w:rsid w:val="00661822"/>
    <w:rsid w:val="006618EA"/>
    <w:rsid w:val="00661A96"/>
    <w:rsid w:val="00661B97"/>
    <w:rsid w:val="00661F59"/>
    <w:rsid w:val="00663047"/>
    <w:rsid w:val="00663349"/>
    <w:rsid w:val="00663A0C"/>
    <w:rsid w:val="00663A2E"/>
    <w:rsid w:val="00663E2D"/>
    <w:rsid w:val="00663EEB"/>
    <w:rsid w:val="00664090"/>
    <w:rsid w:val="006640D0"/>
    <w:rsid w:val="006644D0"/>
    <w:rsid w:val="006644E0"/>
    <w:rsid w:val="00664DFC"/>
    <w:rsid w:val="00665FF7"/>
    <w:rsid w:val="00666ABC"/>
    <w:rsid w:val="00666B37"/>
    <w:rsid w:val="00667199"/>
    <w:rsid w:val="00667277"/>
    <w:rsid w:val="006674F2"/>
    <w:rsid w:val="006678C0"/>
    <w:rsid w:val="00667AA1"/>
    <w:rsid w:val="00667C23"/>
    <w:rsid w:val="00667CC6"/>
    <w:rsid w:val="00667D32"/>
    <w:rsid w:val="00670042"/>
    <w:rsid w:val="006703F6"/>
    <w:rsid w:val="006708D9"/>
    <w:rsid w:val="00672061"/>
    <w:rsid w:val="00672E79"/>
    <w:rsid w:val="006730F5"/>
    <w:rsid w:val="006734F3"/>
    <w:rsid w:val="006735D4"/>
    <w:rsid w:val="00673FF0"/>
    <w:rsid w:val="00674464"/>
    <w:rsid w:val="0067457B"/>
    <w:rsid w:val="006745E3"/>
    <w:rsid w:val="00674B8F"/>
    <w:rsid w:val="00674C3D"/>
    <w:rsid w:val="006752BE"/>
    <w:rsid w:val="00675876"/>
    <w:rsid w:val="00675AB9"/>
    <w:rsid w:val="00675FC2"/>
    <w:rsid w:val="006763A3"/>
    <w:rsid w:val="006767D6"/>
    <w:rsid w:val="00676B87"/>
    <w:rsid w:val="00676E92"/>
    <w:rsid w:val="00677951"/>
    <w:rsid w:val="00677A8B"/>
    <w:rsid w:val="00677A8C"/>
    <w:rsid w:val="00677EBF"/>
    <w:rsid w:val="00677F98"/>
    <w:rsid w:val="006801FF"/>
    <w:rsid w:val="00680FD6"/>
    <w:rsid w:val="00681633"/>
    <w:rsid w:val="00681D06"/>
    <w:rsid w:val="006821DD"/>
    <w:rsid w:val="00682513"/>
    <w:rsid w:val="00682728"/>
    <w:rsid w:val="00682B71"/>
    <w:rsid w:val="00682CAF"/>
    <w:rsid w:val="006834CF"/>
    <w:rsid w:val="00683538"/>
    <w:rsid w:val="0068355B"/>
    <w:rsid w:val="00683AD7"/>
    <w:rsid w:val="00683CFF"/>
    <w:rsid w:val="00683E8E"/>
    <w:rsid w:val="00683FA6"/>
    <w:rsid w:val="00684130"/>
    <w:rsid w:val="0068430F"/>
    <w:rsid w:val="00685088"/>
    <w:rsid w:val="0068514F"/>
    <w:rsid w:val="0068602A"/>
    <w:rsid w:val="00686766"/>
    <w:rsid w:val="00686869"/>
    <w:rsid w:val="006869C3"/>
    <w:rsid w:val="00686A27"/>
    <w:rsid w:val="00686CEE"/>
    <w:rsid w:val="006874D5"/>
    <w:rsid w:val="00687C55"/>
    <w:rsid w:val="00687FEB"/>
    <w:rsid w:val="00690607"/>
    <w:rsid w:val="0069077B"/>
    <w:rsid w:val="00690EB8"/>
    <w:rsid w:val="006911DC"/>
    <w:rsid w:val="00691AA8"/>
    <w:rsid w:val="00692208"/>
    <w:rsid w:val="0069231F"/>
    <w:rsid w:val="006924F4"/>
    <w:rsid w:val="0069304E"/>
    <w:rsid w:val="0069350F"/>
    <w:rsid w:val="00693DBE"/>
    <w:rsid w:val="006942B8"/>
    <w:rsid w:val="00695321"/>
    <w:rsid w:val="0069632C"/>
    <w:rsid w:val="00696B9A"/>
    <w:rsid w:val="00697276"/>
    <w:rsid w:val="006976A2"/>
    <w:rsid w:val="006A17A7"/>
    <w:rsid w:val="006A240A"/>
    <w:rsid w:val="006A299C"/>
    <w:rsid w:val="006A2E2F"/>
    <w:rsid w:val="006A3047"/>
    <w:rsid w:val="006A3521"/>
    <w:rsid w:val="006A4102"/>
    <w:rsid w:val="006A47AA"/>
    <w:rsid w:val="006A48A0"/>
    <w:rsid w:val="006A48E1"/>
    <w:rsid w:val="006A4998"/>
    <w:rsid w:val="006A5532"/>
    <w:rsid w:val="006A5A67"/>
    <w:rsid w:val="006A60A1"/>
    <w:rsid w:val="006A64B6"/>
    <w:rsid w:val="006A6E01"/>
    <w:rsid w:val="006A7303"/>
    <w:rsid w:val="006A73C3"/>
    <w:rsid w:val="006A75CE"/>
    <w:rsid w:val="006B26E3"/>
    <w:rsid w:val="006B271D"/>
    <w:rsid w:val="006B299E"/>
    <w:rsid w:val="006B3488"/>
    <w:rsid w:val="006B34B6"/>
    <w:rsid w:val="006B3F5E"/>
    <w:rsid w:val="006B404F"/>
    <w:rsid w:val="006B40DE"/>
    <w:rsid w:val="006B4A2C"/>
    <w:rsid w:val="006B5205"/>
    <w:rsid w:val="006B52C8"/>
    <w:rsid w:val="006B554B"/>
    <w:rsid w:val="006B5848"/>
    <w:rsid w:val="006B5B31"/>
    <w:rsid w:val="006B5BA3"/>
    <w:rsid w:val="006B5C64"/>
    <w:rsid w:val="006B63B1"/>
    <w:rsid w:val="006B6457"/>
    <w:rsid w:val="006B67A0"/>
    <w:rsid w:val="006B7012"/>
    <w:rsid w:val="006B717C"/>
    <w:rsid w:val="006B78EC"/>
    <w:rsid w:val="006B7C3C"/>
    <w:rsid w:val="006B7E27"/>
    <w:rsid w:val="006C0251"/>
    <w:rsid w:val="006C02B3"/>
    <w:rsid w:val="006C0C30"/>
    <w:rsid w:val="006C1647"/>
    <w:rsid w:val="006C172E"/>
    <w:rsid w:val="006C26CD"/>
    <w:rsid w:val="006C273E"/>
    <w:rsid w:val="006C3BDC"/>
    <w:rsid w:val="006C4D45"/>
    <w:rsid w:val="006C53FC"/>
    <w:rsid w:val="006C575D"/>
    <w:rsid w:val="006C5948"/>
    <w:rsid w:val="006C5ADD"/>
    <w:rsid w:val="006C5F15"/>
    <w:rsid w:val="006C5F9D"/>
    <w:rsid w:val="006C6839"/>
    <w:rsid w:val="006C6880"/>
    <w:rsid w:val="006C6F10"/>
    <w:rsid w:val="006C7CF2"/>
    <w:rsid w:val="006D02C8"/>
    <w:rsid w:val="006D045A"/>
    <w:rsid w:val="006D0A99"/>
    <w:rsid w:val="006D0F2C"/>
    <w:rsid w:val="006D1231"/>
    <w:rsid w:val="006D162E"/>
    <w:rsid w:val="006D1953"/>
    <w:rsid w:val="006D212C"/>
    <w:rsid w:val="006D21D2"/>
    <w:rsid w:val="006D23D5"/>
    <w:rsid w:val="006D2710"/>
    <w:rsid w:val="006D2725"/>
    <w:rsid w:val="006D32B7"/>
    <w:rsid w:val="006D3A9B"/>
    <w:rsid w:val="006D3C89"/>
    <w:rsid w:val="006D3CD5"/>
    <w:rsid w:val="006D3D8F"/>
    <w:rsid w:val="006D41CD"/>
    <w:rsid w:val="006D4742"/>
    <w:rsid w:val="006D492C"/>
    <w:rsid w:val="006D49B0"/>
    <w:rsid w:val="006D4C39"/>
    <w:rsid w:val="006D50C5"/>
    <w:rsid w:val="006D5163"/>
    <w:rsid w:val="006D54F2"/>
    <w:rsid w:val="006D558B"/>
    <w:rsid w:val="006D56F2"/>
    <w:rsid w:val="006D57DC"/>
    <w:rsid w:val="006D5A1A"/>
    <w:rsid w:val="006D66EF"/>
    <w:rsid w:val="006D6BA0"/>
    <w:rsid w:val="006D6D95"/>
    <w:rsid w:val="006D7237"/>
    <w:rsid w:val="006D743F"/>
    <w:rsid w:val="006D7F2A"/>
    <w:rsid w:val="006E02CE"/>
    <w:rsid w:val="006E068E"/>
    <w:rsid w:val="006E08A0"/>
    <w:rsid w:val="006E0979"/>
    <w:rsid w:val="006E0AB7"/>
    <w:rsid w:val="006E0E24"/>
    <w:rsid w:val="006E14AC"/>
    <w:rsid w:val="006E18EE"/>
    <w:rsid w:val="006E2412"/>
    <w:rsid w:val="006E2A5D"/>
    <w:rsid w:val="006E2F26"/>
    <w:rsid w:val="006E3151"/>
    <w:rsid w:val="006E3321"/>
    <w:rsid w:val="006E34CA"/>
    <w:rsid w:val="006E3D26"/>
    <w:rsid w:val="006E3E83"/>
    <w:rsid w:val="006E48C7"/>
    <w:rsid w:val="006E516A"/>
    <w:rsid w:val="006E570B"/>
    <w:rsid w:val="006E627C"/>
    <w:rsid w:val="006E6DC6"/>
    <w:rsid w:val="006E7135"/>
    <w:rsid w:val="006E733E"/>
    <w:rsid w:val="006E7980"/>
    <w:rsid w:val="006E7BF4"/>
    <w:rsid w:val="006F14AD"/>
    <w:rsid w:val="006F16DB"/>
    <w:rsid w:val="006F187D"/>
    <w:rsid w:val="006F1E15"/>
    <w:rsid w:val="006F241E"/>
    <w:rsid w:val="006F2819"/>
    <w:rsid w:val="006F29A1"/>
    <w:rsid w:val="006F2A26"/>
    <w:rsid w:val="006F2B3E"/>
    <w:rsid w:val="006F2E1B"/>
    <w:rsid w:val="006F2F84"/>
    <w:rsid w:val="006F42E3"/>
    <w:rsid w:val="006F4844"/>
    <w:rsid w:val="006F5A4B"/>
    <w:rsid w:val="006F5AED"/>
    <w:rsid w:val="006F6385"/>
    <w:rsid w:val="006F68BC"/>
    <w:rsid w:val="006F7184"/>
    <w:rsid w:val="006F762F"/>
    <w:rsid w:val="007009CD"/>
    <w:rsid w:val="00701951"/>
    <w:rsid w:val="00701F00"/>
    <w:rsid w:val="00702125"/>
    <w:rsid w:val="0070233B"/>
    <w:rsid w:val="0070236A"/>
    <w:rsid w:val="0070236E"/>
    <w:rsid w:val="007027E1"/>
    <w:rsid w:val="00702D49"/>
    <w:rsid w:val="0070347C"/>
    <w:rsid w:val="00703588"/>
    <w:rsid w:val="00703F02"/>
    <w:rsid w:val="00704209"/>
    <w:rsid w:val="0070458B"/>
    <w:rsid w:val="00704E63"/>
    <w:rsid w:val="00704EE9"/>
    <w:rsid w:val="00705021"/>
    <w:rsid w:val="007055DC"/>
    <w:rsid w:val="0070595C"/>
    <w:rsid w:val="0070646B"/>
    <w:rsid w:val="00706B4C"/>
    <w:rsid w:val="00706B80"/>
    <w:rsid w:val="00706D6D"/>
    <w:rsid w:val="007075F9"/>
    <w:rsid w:val="00707988"/>
    <w:rsid w:val="00707AC0"/>
    <w:rsid w:val="00710C20"/>
    <w:rsid w:val="00710F4A"/>
    <w:rsid w:val="00710F57"/>
    <w:rsid w:val="00710FE8"/>
    <w:rsid w:val="0071157A"/>
    <w:rsid w:val="00711711"/>
    <w:rsid w:val="0071181B"/>
    <w:rsid w:val="00711BAD"/>
    <w:rsid w:val="00713114"/>
    <w:rsid w:val="00713874"/>
    <w:rsid w:val="00713A0F"/>
    <w:rsid w:val="00713B22"/>
    <w:rsid w:val="0071435C"/>
    <w:rsid w:val="00714644"/>
    <w:rsid w:val="00714677"/>
    <w:rsid w:val="0071521A"/>
    <w:rsid w:val="00715F3A"/>
    <w:rsid w:val="007161BC"/>
    <w:rsid w:val="0071623F"/>
    <w:rsid w:val="007164F6"/>
    <w:rsid w:val="00717F13"/>
    <w:rsid w:val="00720083"/>
    <w:rsid w:val="00720684"/>
    <w:rsid w:val="00720FC0"/>
    <w:rsid w:val="007210C3"/>
    <w:rsid w:val="007211F2"/>
    <w:rsid w:val="0072160A"/>
    <w:rsid w:val="0072186F"/>
    <w:rsid w:val="00721891"/>
    <w:rsid w:val="00721D74"/>
    <w:rsid w:val="00722152"/>
    <w:rsid w:val="007222EA"/>
    <w:rsid w:val="00722631"/>
    <w:rsid w:val="00722727"/>
    <w:rsid w:val="00722A90"/>
    <w:rsid w:val="007236EC"/>
    <w:rsid w:val="00723729"/>
    <w:rsid w:val="00723EC8"/>
    <w:rsid w:val="00724017"/>
    <w:rsid w:val="00724174"/>
    <w:rsid w:val="007242EC"/>
    <w:rsid w:val="0072446B"/>
    <w:rsid w:val="007244B8"/>
    <w:rsid w:val="0072453D"/>
    <w:rsid w:val="00725E31"/>
    <w:rsid w:val="007274B8"/>
    <w:rsid w:val="00727902"/>
    <w:rsid w:val="00727B47"/>
    <w:rsid w:val="00727D84"/>
    <w:rsid w:val="00727E7E"/>
    <w:rsid w:val="00730089"/>
    <w:rsid w:val="00730404"/>
    <w:rsid w:val="00730619"/>
    <w:rsid w:val="00730A39"/>
    <w:rsid w:val="0073130B"/>
    <w:rsid w:val="007314A7"/>
    <w:rsid w:val="00731FC9"/>
    <w:rsid w:val="007322E9"/>
    <w:rsid w:val="007328F1"/>
    <w:rsid w:val="00732A43"/>
    <w:rsid w:val="0073346A"/>
    <w:rsid w:val="00733AB3"/>
    <w:rsid w:val="00733AFA"/>
    <w:rsid w:val="0073410F"/>
    <w:rsid w:val="00734672"/>
    <w:rsid w:val="007348A5"/>
    <w:rsid w:val="0073609F"/>
    <w:rsid w:val="00736224"/>
    <w:rsid w:val="00736682"/>
    <w:rsid w:val="007368D4"/>
    <w:rsid w:val="00736C04"/>
    <w:rsid w:val="00737559"/>
    <w:rsid w:val="007376C1"/>
    <w:rsid w:val="00737824"/>
    <w:rsid w:val="00737851"/>
    <w:rsid w:val="00737C9D"/>
    <w:rsid w:val="0074015A"/>
    <w:rsid w:val="00740225"/>
    <w:rsid w:val="0074036F"/>
    <w:rsid w:val="00740B3E"/>
    <w:rsid w:val="00740B90"/>
    <w:rsid w:val="00740CB7"/>
    <w:rsid w:val="00741DF8"/>
    <w:rsid w:val="007428EA"/>
    <w:rsid w:val="00742AD5"/>
    <w:rsid w:val="00743026"/>
    <w:rsid w:val="0074342C"/>
    <w:rsid w:val="00743747"/>
    <w:rsid w:val="00743902"/>
    <w:rsid w:val="007439E6"/>
    <w:rsid w:val="00743D6E"/>
    <w:rsid w:val="00743F25"/>
    <w:rsid w:val="00744391"/>
    <w:rsid w:val="007443DD"/>
    <w:rsid w:val="007448C4"/>
    <w:rsid w:val="00744A42"/>
    <w:rsid w:val="00744CFD"/>
    <w:rsid w:val="007451B9"/>
    <w:rsid w:val="00745D4C"/>
    <w:rsid w:val="00746097"/>
    <w:rsid w:val="00746214"/>
    <w:rsid w:val="00746230"/>
    <w:rsid w:val="00746627"/>
    <w:rsid w:val="00746D22"/>
    <w:rsid w:val="00747C91"/>
    <w:rsid w:val="00747D74"/>
    <w:rsid w:val="007505CF"/>
    <w:rsid w:val="00750C89"/>
    <w:rsid w:val="00750D18"/>
    <w:rsid w:val="00750EA9"/>
    <w:rsid w:val="007516CA"/>
    <w:rsid w:val="00751D28"/>
    <w:rsid w:val="0075283D"/>
    <w:rsid w:val="007528DE"/>
    <w:rsid w:val="0075303B"/>
    <w:rsid w:val="00753075"/>
    <w:rsid w:val="007534BA"/>
    <w:rsid w:val="00753704"/>
    <w:rsid w:val="00754420"/>
    <w:rsid w:val="00754993"/>
    <w:rsid w:val="00754F40"/>
    <w:rsid w:val="00755089"/>
    <w:rsid w:val="00755780"/>
    <w:rsid w:val="00755E39"/>
    <w:rsid w:val="007564DC"/>
    <w:rsid w:val="00757164"/>
    <w:rsid w:val="00757292"/>
    <w:rsid w:val="00760510"/>
    <w:rsid w:val="007606CB"/>
    <w:rsid w:val="007608A0"/>
    <w:rsid w:val="00760A49"/>
    <w:rsid w:val="00760A83"/>
    <w:rsid w:val="00760C88"/>
    <w:rsid w:val="0076168C"/>
    <w:rsid w:val="00762648"/>
    <w:rsid w:val="0076288F"/>
    <w:rsid w:val="00762A9B"/>
    <w:rsid w:val="00762EC4"/>
    <w:rsid w:val="007634B9"/>
    <w:rsid w:val="0076391D"/>
    <w:rsid w:val="00763EF8"/>
    <w:rsid w:val="007648E2"/>
    <w:rsid w:val="00764F11"/>
    <w:rsid w:val="00765926"/>
    <w:rsid w:val="00766051"/>
    <w:rsid w:val="007660F6"/>
    <w:rsid w:val="00766359"/>
    <w:rsid w:val="00766607"/>
    <w:rsid w:val="00766BD7"/>
    <w:rsid w:val="00767954"/>
    <w:rsid w:val="00767AC5"/>
    <w:rsid w:val="00767EE5"/>
    <w:rsid w:val="00767F60"/>
    <w:rsid w:val="007700F4"/>
    <w:rsid w:val="0077018D"/>
    <w:rsid w:val="00770FF4"/>
    <w:rsid w:val="0077107E"/>
    <w:rsid w:val="00771B3A"/>
    <w:rsid w:val="007723CE"/>
    <w:rsid w:val="007725E4"/>
    <w:rsid w:val="0077262D"/>
    <w:rsid w:val="00772B62"/>
    <w:rsid w:val="00773400"/>
    <w:rsid w:val="00773432"/>
    <w:rsid w:val="007736C3"/>
    <w:rsid w:val="00773751"/>
    <w:rsid w:val="00773C85"/>
    <w:rsid w:val="00774061"/>
    <w:rsid w:val="00774E1E"/>
    <w:rsid w:val="00774E2F"/>
    <w:rsid w:val="00774F4D"/>
    <w:rsid w:val="00775A93"/>
    <w:rsid w:val="00777837"/>
    <w:rsid w:val="00777A9B"/>
    <w:rsid w:val="00777BA6"/>
    <w:rsid w:val="0078036B"/>
    <w:rsid w:val="00780D62"/>
    <w:rsid w:val="00781423"/>
    <w:rsid w:val="0078180F"/>
    <w:rsid w:val="00781C24"/>
    <w:rsid w:val="00782426"/>
    <w:rsid w:val="00782C89"/>
    <w:rsid w:val="00783083"/>
    <w:rsid w:val="00783301"/>
    <w:rsid w:val="0078357D"/>
    <w:rsid w:val="00784117"/>
    <w:rsid w:val="00785458"/>
    <w:rsid w:val="00786295"/>
    <w:rsid w:val="0078646D"/>
    <w:rsid w:val="0078700B"/>
    <w:rsid w:val="007871AB"/>
    <w:rsid w:val="007871B5"/>
    <w:rsid w:val="007872C8"/>
    <w:rsid w:val="00787C5A"/>
    <w:rsid w:val="007903B4"/>
    <w:rsid w:val="007908AE"/>
    <w:rsid w:val="00790FD0"/>
    <w:rsid w:val="00791181"/>
    <w:rsid w:val="0079154B"/>
    <w:rsid w:val="007915BF"/>
    <w:rsid w:val="00791A9B"/>
    <w:rsid w:val="00791F2F"/>
    <w:rsid w:val="00792851"/>
    <w:rsid w:val="00792DB0"/>
    <w:rsid w:val="0079327D"/>
    <w:rsid w:val="00793934"/>
    <w:rsid w:val="00793A0D"/>
    <w:rsid w:val="00793CCA"/>
    <w:rsid w:val="0079451B"/>
    <w:rsid w:val="00794590"/>
    <w:rsid w:val="00794A2C"/>
    <w:rsid w:val="00795152"/>
    <w:rsid w:val="0079556F"/>
    <w:rsid w:val="00795B18"/>
    <w:rsid w:val="00796EB2"/>
    <w:rsid w:val="00797A66"/>
    <w:rsid w:val="00797D2F"/>
    <w:rsid w:val="007A0F93"/>
    <w:rsid w:val="007A199C"/>
    <w:rsid w:val="007A284E"/>
    <w:rsid w:val="007A2AD7"/>
    <w:rsid w:val="007A2D96"/>
    <w:rsid w:val="007A37D4"/>
    <w:rsid w:val="007A46B7"/>
    <w:rsid w:val="007A64AD"/>
    <w:rsid w:val="007A6702"/>
    <w:rsid w:val="007A690C"/>
    <w:rsid w:val="007A758D"/>
    <w:rsid w:val="007A76BA"/>
    <w:rsid w:val="007B0017"/>
    <w:rsid w:val="007B0048"/>
    <w:rsid w:val="007B07B3"/>
    <w:rsid w:val="007B07EC"/>
    <w:rsid w:val="007B0857"/>
    <w:rsid w:val="007B0908"/>
    <w:rsid w:val="007B0ADA"/>
    <w:rsid w:val="007B0B4B"/>
    <w:rsid w:val="007B0D7B"/>
    <w:rsid w:val="007B150D"/>
    <w:rsid w:val="007B1D2B"/>
    <w:rsid w:val="007B270B"/>
    <w:rsid w:val="007B29DE"/>
    <w:rsid w:val="007B2D63"/>
    <w:rsid w:val="007B2D72"/>
    <w:rsid w:val="007B2EFD"/>
    <w:rsid w:val="007B2F23"/>
    <w:rsid w:val="007B32BD"/>
    <w:rsid w:val="007B352F"/>
    <w:rsid w:val="007B3939"/>
    <w:rsid w:val="007B3C8C"/>
    <w:rsid w:val="007B41FA"/>
    <w:rsid w:val="007B458D"/>
    <w:rsid w:val="007B477D"/>
    <w:rsid w:val="007B54D9"/>
    <w:rsid w:val="007B5510"/>
    <w:rsid w:val="007B55E9"/>
    <w:rsid w:val="007C1150"/>
    <w:rsid w:val="007C1160"/>
    <w:rsid w:val="007C12B6"/>
    <w:rsid w:val="007C16A0"/>
    <w:rsid w:val="007C17C9"/>
    <w:rsid w:val="007C1906"/>
    <w:rsid w:val="007C2233"/>
    <w:rsid w:val="007C27A0"/>
    <w:rsid w:val="007C2918"/>
    <w:rsid w:val="007C2A50"/>
    <w:rsid w:val="007C2B9F"/>
    <w:rsid w:val="007C2BC9"/>
    <w:rsid w:val="007C2BD9"/>
    <w:rsid w:val="007C2BF8"/>
    <w:rsid w:val="007C3FE3"/>
    <w:rsid w:val="007C4DAA"/>
    <w:rsid w:val="007C53CE"/>
    <w:rsid w:val="007C735D"/>
    <w:rsid w:val="007C78D9"/>
    <w:rsid w:val="007C79CB"/>
    <w:rsid w:val="007D0A93"/>
    <w:rsid w:val="007D0F9C"/>
    <w:rsid w:val="007D12E6"/>
    <w:rsid w:val="007D1B4C"/>
    <w:rsid w:val="007D20DE"/>
    <w:rsid w:val="007D24B1"/>
    <w:rsid w:val="007D33BC"/>
    <w:rsid w:val="007D3858"/>
    <w:rsid w:val="007D3E21"/>
    <w:rsid w:val="007D4048"/>
    <w:rsid w:val="007D4395"/>
    <w:rsid w:val="007D4979"/>
    <w:rsid w:val="007D4F61"/>
    <w:rsid w:val="007D4FD7"/>
    <w:rsid w:val="007D53CD"/>
    <w:rsid w:val="007D646D"/>
    <w:rsid w:val="007D6A4F"/>
    <w:rsid w:val="007D6ADD"/>
    <w:rsid w:val="007D6FCB"/>
    <w:rsid w:val="007D70BC"/>
    <w:rsid w:val="007D7100"/>
    <w:rsid w:val="007D7115"/>
    <w:rsid w:val="007D725E"/>
    <w:rsid w:val="007D7702"/>
    <w:rsid w:val="007D7977"/>
    <w:rsid w:val="007E0C82"/>
    <w:rsid w:val="007E0CEA"/>
    <w:rsid w:val="007E0E7B"/>
    <w:rsid w:val="007E120E"/>
    <w:rsid w:val="007E146C"/>
    <w:rsid w:val="007E18AB"/>
    <w:rsid w:val="007E1A5C"/>
    <w:rsid w:val="007E1E37"/>
    <w:rsid w:val="007E2130"/>
    <w:rsid w:val="007E2547"/>
    <w:rsid w:val="007E2A0B"/>
    <w:rsid w:val="007E3046"/>
    <w:rsid w:val="007E31DD"/>
    <w:rsid w:val="007E4EF3"/>
    <w:rsid w:val="007E6029"/>
    <w:rsid w:val="007E65F3"/>
    <w:rsid w:val="007E69C7"/>
    <w:rsid w:val="007E6A52"/>
    <w:rsid w:val="007E7060"/>
    <w:rsid w:val="007E7248"/>
    <w:rsid w:val="007F0A3C"/>
    <w:rsid w:val="007F0E1E"/>
    <w:rsid w:val="007F12DD"/>
    <w:rsid w:val="007F15EA"/>
    <w:rsid w:val="007F1613"/>
    <w:rsid w:val="007F1877"/>
    <w:rsid w:val="007F28AA"/>
    <w:rsid w:val="007F30A9"/>
    <w:rsid w:val="007F3E05"/>
    <w:rsid w:val="007F3E0D"/>
    <w:rsid w:val="007F3E83"/>
    <w:rsid w:val="007F3EFA"/>
    <w:rsid w:val="007F4195"/>
    <w:rsid w:val="007F4520"/>
    <w:rsid w:val="007F5E10"/>
    <w:rsid w:val="007F5FD2"/>
    <w:rsid w:val="007F6206"/>
    <w:rsid w:val="007F62EA"/>
    <w:rsid w:val="007F74DD"/>
    <w:rsid w:val="007F79F5"/>
    <w:rsid w:val="007F7D3F"/>
    <w:rsid w:val="008012A5"/>
    <w:rsid w:val="00801506"/>
    <w:rsid w:val="0080168B"/>
    <w:rsid w:val="008017E1"/>
    <w:rsid w:val="00801BB8"/>
    <w:rsid w:val="00801BD3"/>
    <w:rsid w:val="00801ED2"/>
    <w:rsid w:val="00801F03"/>
    <w:rsid w:val="00802098"/>
    <w:rsid w:val="008023A0"/>
    <w:rsid w:val="008029C2"/>
    <w:rsid w:val="00803293"/>
    <w:rsid w:val="008033C2"/>
    <w:rsid w:val="00804017"/>
    <w:rsid w:val="008040C3"/>
    <w:rsid w:val="008048F5"/>
    <w:rsid w:val="0080599D"/>
    <w:rsid w:val="00805EAD"/>
    <w:rsid w:val="008068D7"/>
    <w:rsid w:val="00806AEE"/>
    <w:rsid w:val="0080786C"/>
    <w:rsid w:val="00807EB0"/>
    <w:rsid w:val="00807FA0"/>
    <w:rsid w:val="00810752"/>
    <w:rsid w:val="00810AC1"/>
    <w:rsid w:val="00811496"/>
    <w:rsid w:val="00811AAD"/>
    <w:rsid w:val="00812306"/>
    <w:rsid w:val="00812454"/>
    <w:rsid w:val="00813572"/>
    <w:rsid w:val="008141ED"/>
    <w:rsid w:val="00814D25"/>
    <w:rsid w:val="00815218"/>
    <w:rsid w:val="008158BF"/>
    <w:rsid w:val="00815C6C"/>
    <w:rsid w:val="00815E55"/>
    <w:rsid w:val="0081641E"/>
    <w:rsid w:val="00816505"/>
    <w:rsid w:val="008170B6"/>
    <w:rsid w:val="0081736F"/>
    <w:rsid w:val="008174DF"/>
    <w:rsid w:val="008178BE"/>
    <w:rsid w:val="00817921"/>
    <w:rsid w:val="00817ABE"/>
    <w:rsid w:val="00817D3D"/>
    <w:rsid w:val="00820B6F"/>
    <w:rsid w:val="00820C50"/>
    <w:rsid w:val="00820D6D"/>
    <w:rsid w:val="0082115F"/>
    <w:rsid w:val="00821C02"/>
    <w:rsid w:val="00822512"/>
    <w:rsid w:val="0082262A"/>
    <w:rsid w:val="00823D02"/>
    <w:rsid w:val="00823E64"/>
    <w:rsid w:val="00824915"/>
    <w:rsid w:val="00824997"/>
    <w:rsid w:val="00824CC9"/>
    <w:rsid w:val="008253A1"/>
    <w:rsid w:val="00825503"/>
    <w:rsid w:val="0082598F"/>
    <w:rsid w:val="00825B55"/>
    <w:rsid w:val="008260FD"/>
    <w:rsid w:val="008262EA"/>
    <w:rsid w:val="008271AF"/>
    <w:rsid w:val="00827341"/>
    <w:rsid w:val="008273A7"/>
    <w:rsid w:val="008274AE"/>
    <w:rsid w:val="00827F0C"/>
    <w:rsid w:val="0083049D"/>
    <w:rsid w:val="008306B3"/>
    <w:rsid w:val="00830B94"/>
    <w:rsid w:val="00830BBE"/>
    <w:rsid w:val="00831726"/>
    <w:rsid w:val="00831E85"/>
    <w:rsid w:val="00831EDD"/>
    <w:rsid w:val="0083240D"/>
    <w:rsid w:val="00832455"/>
    <w:rsid w:val="008324C2"/>
    <w:rsid w:val="00833372"/>
    <w:rsid w:val="00833AF0"/>
    <w:rsid w:val="00833C45"/>
    <w:rsid w:val="00833C74"/>
    <w:rsid w:val="0083402F"/>
    <w:rsid w:val="0083473C"/>
    <w:rsid w:val="008357E1"/>
    <w:rsid w:val="0083585F"/>
    <w:rsid w:val="00835959"/>
    <w:rsid w:val="00835A5B"/>
    <w:rsid w:val="00835AEF"/>
    <w:rsid w:val="00835C9B"/>
    <w:rsid w:val="0083613E"/>
    <w:rsid w:val="0083648A"/>
    <w:rsid w:val="008365CB"/>
    <w:rsid w:val="008365F5"/>
    <w:rsid w:val="00836645"/>
    <w:rsid w:val="00836673"/>
    <w:rsid w:val="00836AFB"/>
    <w:rsid w:val="00836C99"/>
    <w:rsid w:val="00837031"/>
    <w:rsid w:val="00837A0E"/>
    <w:rsid w:val="00837AAE"/>
    <w:rsid w:val="00837DCE"/>
    <w:rsid w:val="00841292"/>
    <w:rsid w:val="00841927"/>
    <w:rsid w:val="00841DCC"/>
    <w:rsid w:val="008422EC"/>
    <w:rsid w:val="00842624"/>
    <w:rsid w:val="0084263C"/>
    <w:rsid w:val="008426E8"/>
    <w:rsid w:val="0084284A"/>
    <w:rsid w:val="00842AC1"/>
    <w:rsid w:val="00843466"/>
    <w:rsid w:val="00843688"/>
    <w:rsid w:val="008436C2"/>
    <w:rsid w:val="00844166"/>
    <w:rsid w:val="00844603"/>
    <w:rsid w:val="00844982"/>
    <w:rsid w:val="008451E1"/>
    <w:rsid w:val="00845206"/>
    <w:rsid w:val="008454FE"/>
    <w:rsid w:val="008455DA"/>
    <w:rsid w:val="00845603"/>
    <w:rsid w:val="00845E91"/>
    <w:rsid w:val="00846A03"/>
    <w:rsid w:val="00846C23"/>
    <w:rsid w:val="00846E03"/>
    <w:rsid w:val="00847290"/>
    <w:rsid w:val="0084749E"/>
    <w:rsid w:val="00847C0E"/>
    <w:rsid w:val="008502BF"/>
    <w:rsid w:val="00850397"/>
    <w:rsid w:val="008511F9"/>
    <w:rsid w:val="00851F1A"/>
    <w:rsid w:val="00852DC7"/>
    <w:rsid w:val="00852E49"/>
    <w:rsid w:val="00852E8B"/>
    <w:rsid w:val="0085320C"/>
    <w:rsid w:val="0085324A"/>
    <w:rsid w:val="00853399"/>
    <w:rsid w:val="0085362B"/>
    <w:rsid w:val="00853EFE"/>
    <w:rsid w:val="00854707"/>
    <w:rsid w:val="00854922"/>
    <w:rsid w:val="008549B7"/>
    <w:rsid w:val="00854B23"/>
    <w:rsid w:val="00854CDE"/>
    <w:rsid w:val="00854EE8"/>
    <w:rsid w:val="008554C1"/>
    <w:rsid w:val="00855519"/>
    <w:rsid w:val="00855793"/>
    <w:rsid w:val="008564AB"/>
    <w:rsid w:val="00857B52"/>
    <w:rsid w:val="0086031E"/>
    <w:rsid w:val="00860382"/>
    <w:rsid w:val="008607F5"/>
    <w:rsid w:val="00860B1B"/>
    <w:rsid w:val="00860C4A"/>
    <w:rsid w:val="00860FCA"/>
    <w:rsid w:val="0086183A"/>
    <w:rsid w:val="0086225D"/>
    <w:rsid w:val="008625DC"/>
    <w:rsid w:val="00863115"/>
    <w:rsid w:val="00863FF3"/>
    <w:rsid w:val="00864672"/>
    <w:rsid w:val="00865914"/>
    <w:rsid w:val="00865C83"/>
    <w:rsid w:val="00865D32"/>
    <w:rsid w:val="008661F0"/>
    <w:rsid w:val="00866414"/>
    <w:rsid w:val="008669CB"/>
    <w:rsid w:val="0086760C"/>
    <w:rsid w:val="008676BB"/>
    <w:rsid w:val="00867755"/>
    <w:rsid w:val="008678D2"/>
    <w:rsid w:val="00867A17"/>
    <w:rsid w:val="00867B5C"/>
    <w:rsid w:val="00867CB3"/>
    <w:rsid w:val="00870305"/>
    <w:rsid w:val="008705AF"/>
    <w:rsid w:val="00870E63"/>
    <w:rsid w:val="00871810"/>
    <w:rsid w:val="008718D6"/>
    <w:rsid w:val="00871BF6"/>
    <w:rsid w:val="00871DF4"/>
    <w:rsid w:val="0087291B"/>
    <w:rsid w:val="00873735"/>
    <w:rsid w:val="00874487"/>
    <w:rsid w:val="008744E1"/>
    <w:rsid w:val="0087462F"/>
    <w:rsid w:val="00874798"/>
    <w:rsid w:val="00874CAC"/>
    <w:rsid w:val="008753FE"/>
    <w:rsid w:val="008755BF"/>
    <w:rsid w:val="00876389"/>
    <w:rsid w:val="00876C3A"/>
    <w:rsid w:val="00876F93"/>
    <w:rsid w:val="0087757C"/>
    <w:rsid w:val="0088002D"/>
    <w:rsid w:val="00880165"/>
    <w:rsid w:val="008809E0"/>
    <w:rsid w:val="00880A2B"/>
    <w:rsid w:val="00880A8A"/>
    <w:rsid w:val="00880EBD"/>
    <w:rsid w:val="0088185F"/>
    <w:rsid w:val="00882638"/>
    <w:rsid w:val="008829A6"/>
    <w:rsid w:val="00883B38"/>
    <w:rsid w:val="00883C57"/>
    <w:rsid w:val="00883DB8"/>
    <w:rsid w:val="00883EEE"/>
    <w:rsid w:val="00883FD4"/>
    <w:rsid w:val="0088409C"/>
    <w:rsid w:val="008840E5"/>
    <w:rsid w:val="00884134"/>
    <w:rsid w:val="008846E5"/>
    <w:rsid w:val="00884DC8"/>
    <w:rsid w:val="00885897"/>
    <w:rsid w:val="00885F9A"/>
    <w:rsid w:val="008861F8"/>
    <w:rsid w:val="0088621B"/>
    <w:rsid w:val="008869DB"/>
    <w:rsid w:val="00886B58"/>
    <w:rsid w:val="00886DE8"/>
    <w:rsid w:val="00887095"/>
    <w:rsid w:val="00887151"/>
    <w:rsid w:val="008872EC"/>
    <w:rsid w:val="00887366"/>
    <w:rsid w:val="00887AEA"/>
    <w:rsid w:val="00887BF5"/>
    <w:rsid w:val="00887D0B"/>
    <w:rsid w:val="00887E30"/>
    <w:rsid w:val="00890FCC"/>
    <w:rsid w:val="00891F15"/>
    <w:rsid w:val="00892187"/>
    <w:rsid w:val="008922CD"/>
    <w:rsid w:val="008926E7"/>
    <w:rsid w:val="0089277D"/>
    <w:rsid w:val="008928D9"/>
    <w:rsid w:val="00892F1B"/>
    <w:rsid w:val="00893170"/>
    <w:rsid w:val="00893D4F"/>
    <w:rsid w:val="00893DF4"/>
    <w:rsid w:val="0089451F"/>
    <w:rsid w:val="00894782"/>
    <w:rsid w:val="00895092"/>
    <w:rsid w:val="00895AB3"/>
    <w:rsid w:val="0089655B"/>
    <w:rsid w:val="008966B0"/>
    <w:rsid w:val="00896A40"/>
    <w:rsid w:val="00897C94"/>
    <w:rsid w:val="00897D6C"/>
    <w:rsid w:val="008A0232"/>
    <w:rsid w:val="008A0619"/>
    <w:rsid w:val="008A0800"/>
    <w:rsid w:val="008A09C9"/>
    <w:rsid w:val="008A1680"/>
    <w:rsid w:val="008A2FCE"/>
    <w:rsid w:val="008A3B83"/>
    <w:rsid w:val="008A3CB3"/>
    <w:rsid w:val="008A4A79"/>
    <w:rsid w:val="008A53F8"/>
    <w:rsid w:val="008A53FF"/>
    <w:rsid w:val="008A5530"/>
    <w:rsid w:val="008A56DB"/>
    <w:rsid w:val="008A584D"/>
    <w:rsid w:val="008A5857"/>
    <w:rsid w:val="008A5C1E"/>
    <w:rsid w:val="008A5CEE"/>
    <w:rsid w:val="008A5E57"/>
    <w:rsid w:val="008A618D"/>
    <w:rsid w:val="008A6519"/>
    <w:rsid w:val="008A6F41"/>
    <w:rsid w:val="008A6F90"/>
    <w:rsid w:val="008A7CCA"/>
    <w:rsid w:val="008B00D1"/>
    <w:rsid w:val="008B0393"/>
    <w:rsid w:val="008B0528"/>
    <w:rsid w:val="008B06B5"/>
    <w:rsid w:val="008B07E6"/>
    <w:rsid w:val="008B1C77"/>
    <w:rsid w:val="008B2670"/>
    <w:rsid w:val="008B2BDA"/>
    <w:rsid w:val="008B2EBC"/>
    <w:rsid w:val="008B373B"/>
    <w:rsid w:val="008B382D"/>
    <w:rsid w:val="008B45AE"/>
    <w:rsid w:val="008B46E3"/>
    <w:rsid w:val="008B4A7F"/>
    <w:rsid w:val="008B4B62"/>
    <w:rsid w:val="008B57F6"/>
    <w:rsid w:val="008B5942"/>
    <w:rsid w:val="008B6080"/>
    <w:rsid w:val="008B60A1"/>
    <w:rsid w:val="008B691C"/>
    <w:rsid w:val="008C046F"/>
    <w:rsid w:val="008C05CF"/>
    <w:rsid w:val="008C0FE1"/>
    <w:rsid w:val="008C2317"/>
    <w:rsid w:val="008C2DF1"/>
    <w:rsid w:val="008C305E"/>
    <w:rsid w:val="008C3442"/>
    <w:rsid w:val="008C3740"/>
    <w:rsid w:val="008C3857"/>
    <w:rsid w:val="008C3E0F"/>
    <w:rsid w:val="008C42B1"/>
    <w:rsid w:val="008C4501"/>
    <w:rsid w:val="008C4EF6"/>
    <w:rsid w:val="008C4F29"/>
    <w:rsid w:val="008C60E9"/>
    <w:rsid w:val="008C64E5"/>
    <w:rsid w:val="008C652C"/>
    <w:rsid w:val="008C7670"/>
    <w:rsid w:val="008C7F17"/>
    <w:rsid w:val="008D02A0"/>
    <w:rsid w:val="008D0482"/>
    <w:rsid w:val="008D0738"/>
    <w:rsid w:val="008D0F58"/>
    <w:rsid w:val="008D1129"/>
    <w:rsid w:val="008D134C"/>
    <w:rsid w:val="008D251C"/>
    <w:rsid w:val="008D37E5"/>
    <w:rsid w:val="008D3EF2"/>
    <w:rsid w:val="008D3F4C"/>
    <w:rsid w:val="008D496E"/>
    <w:rsid w:val="008D50D7"/>
    <w:rsid w:val="008D50F6"/>
    <w:rsid w:val="008D53B0"/>
    <w:rsid w:val="008D5547"/>
    <w:rsid w:val="008D58E7"/>
    <w:rsid w:val="008D6272"/>
    <w:rsid w:val="008D6C08"/>
    <w:rsid w:val="008D721F"/>
    <w:rsid w:val="008D73ED"/>
    <w:rsid w:val="008D7B72"/>
    <w:rsid w:val="008E0766"/>
    <w:rsid w:val="008E07BA"/>
    <w:rsid w:val="008E092C"/>
    <w:rsid w:val="008E15A6"/>
    <w:rsid w:val="008E215F"/>
    <w:rsid w:val="008E268F"/>
    <w:rsid w:val="008E2699"/>
    <w:rsid w:val="008E2B52"/>
    <w:rsid w:val="008E34AB"/>
    <w:rsid w:val="008E43BB"/>
    <w:rsid w:val="008E4951"/>
    <w:rsid w:val="008E4D28"/>
    <w:rsid w:val="008E4ECC"/>
    <w:rsid w:val="008E50DF"/>
    <w:rsid w:val="008E58CC"/>
    <w:rsid w:val="008E641D"/>
    <w:rsid w:val="008E67A6"/>
    <w:rsid w:val="008E6C9C"/>
    <w:rsid w:val="008E6EED"/>
    <w:rsid w:val="008E6F17"/>
    <w:rsid w:val="008E7586"/>
    <w:rsid w:val="008E79E9"/>
    <w:rsid w:val="008E7C70"/>
    <w:rsid w:val="008F0622"/>
    <w:rsid w:val="008F0C10"/>
    <w:rsid w:val="008F15B0"/>
    <w:rsid w:val="008F16F7"/>
    <w:rsid w:val="008F1E6E"/>
    <w:rsid w:val="008F2E68"/>
    <w:rsid w:val="008F303F"/>
    <w:rsid w:val="008F3200"/>
    <w:rsid w:val="008F361C"/>
    <w:rsid w:val="008F3D49"/>
    <w:rsid w:val="008F4D17"/>
    <w:rsid w:val="008F4DD7"/>
    <w:rsid w:val="008F5916"/>
    <w:rsid w:val="008F5C51"/>
    <w:rsid w:val="008F6BC1"/>
    <w:rsid w:val="008F701C"/>
    <w:rsid w:val="008F7610"/>
    <w:rsid w:val="008F7889"/>
    <w:rsid w:val="009002C1"/>
    <w:rsid w:val="0090040A"/>
    <w:rsid w:val="00900524"/>
    <w:rsid w:val="00900F8E"/>
    <w:rsid w:val="00901327"/>
    <w:rsid w:val="0090133A"/>
    <w:rsid w:val="00901983"/>
    <w:rsid w:val="00902935"/>
    <w:rsid w:val="00902989"/>
    <w:rsid w:val="00902E62"/>
    <w:rsid w:val="0090310C"/>
    <w:rsid w:val="009033E3"/>
    <w:rsid w:val="0090345E"/>
    <w:rsid w:val="00903A90"/>
    <w:rsid w:val="00904188"/>
    <w:rsid w:val="009041D9"/>
    <w:rsid w:val="009045C9"/>
    <w:rsid w:val="0090475A"/>
    <w:rsid w:val="00905054"/>
    <w:rsid w:val="00905CD6"/>
    <w:rsid w:val="00906F0D"/>
    <w:rsid w:val="0090746E"/>
    <w:rsid w:val="0090751A"/>
    <w:rsid w:val="0091027F"/>
    <w:rsid w:val="00910C69"/>
    <w:rsid w:val="00910FD9"/>
    <w:rsid w:val="009112AB"/>
    <w:rsid w:val="009116CC"/>
    <w:rsid w:val="00912439"/>
    <w:rsid w:val="009125FB"/>
    <w:rsid w:val="00912885"/>
    <w:rsid w:val="00912A44"/>
    <w:rsid w:val="00912F40"/>
    <w:rsid w:val="00913079"/>
    <w:rsid w:val="009131D2"/>
    <w:rsid w:val="00913713"/>
    <w:rsid w:val="00913ECC"/>
    <w:rsid w:val="009140D0"/>
    <w:rsid w:val="0091424B"/>
    <w:rsid w:val="00914BE0"/>
    <w:rsid w:val="00914E16"/>
    <w:rsid w:val="00915865"/>
    <w:rsid w:val="00915896"/>
    <w:rsid w:val="00915FE9"/>
    <w:rsid w:val="009163C9"/>
    <w:rsid w:val="009166EB"/>
    <w:rsid w:val="009169E9"/>
    <w:rsid w:val="00916D69"/>
    <w:rsid w:val="00916DA0"/>
    <w:rsid w:val="00917279"/>
    <w:rsid w:val="0091759D"/>
    <w:rsid w:val="0091798C"/>
    <w:rsid w:val="00917DFE"/>
    <w:rsid w:val="00917E3C"/>
    <w:rsid w:val="009201B0"/>
    <w:rsid w:val="009202E6"/>
    <w:rsid w:val="009203DC"/>
    <w:rsid w:val="0092069E"/>
    <w:rsid w:val="00920D1A"/>
    <w:rsid w:val="009211E0"/>
    <w:rsid w:val="009211E7"/>
    <w:rsid w:val="00921949"/>
    <w:rsid w:val="00921B4A"/>
    <w:rsid w:val="00921D01"/>
    <w:rsid w:val="00921E94"/>
    <w:rsid w:val="00922226"/>
    <w:rsid w:val="00922FE8"/>
    <w:rsid w:val="00923A01"/>
    <w:rsid w:val="00923BA8"/>
    <w:rsid w:val="00923BC2"/>
    <w:rsid w:val="00924498"/>
    <w:rsid w:val="009247DA"/>
    <w:rsid w:val="009248B8"/>
    <w:rsid w:val="009250EB"/>
    <w:rsid w:val="0092517E"/>
    <w:rsid w:val="0092522E"/>
    <w:rsid w:val="009257FF"/>
    <w:rsid w:val="0092586C"/>
    <w:rsid w:val="0092591D"/>
    <w:rsid w:val="0092643B"/>
    <w:rsid w:val="00926EC7"/>
    <w:rsid w:val="00927CD1"/>
    <w:rsid w:val="00930751"/>
    <w:rsid w:val="00930A5B"/>
    <w:rsid w:val="00930B62"/>
    <w:rsid w:val="009313B1"/>
    <w:rsid w:val="00931694"/>
    <w:rsid w:val="0093197D"/>
    <w:rsid w:val="00932101"/>
    <w:rsid w:val="0093213A"/>
    <w:rsid w:val="009321F8"/>
    <w:rsid w:val="009338F5"/>
    <w:rsid w:val="00933FDE"/>
    <w:rsid w:val="009345E4"/>
    <w:rsid w:val="00934F79"/>
    <w:rsid w:val="0093527F"/>
    <w:rsid w:val="00935B8D"/>
    <w:rsid w:val="00935CD5"/>
    <w:rsid w:val="00935E37"/>
    <w:rsid w:val="00936088"/>
    <w:rsid w:val="009365B3"/>
    <w:rsid w:val="009366B9"/>
    <w:rsid w:val="0093670A"/>
    <w:rsid w:val="00936A39"/>
    <w:rsid w:val="0093767B"/>
    <w:rsid w:val="00937C4C"/>
    <w:rsid w:val="00937CC3"/>
    <w:rsid w:val="00941030"/>
    <w:rsid w:val="00941335"/>
    <w:rsid w:val="00941B65"/>
    <w:rsid w:val="009423C8"/>
    <w:rsid w:val="00942F48"/>
    <w:rsid w:val="00943961"/>
    <w:rsid w:val="00944068"/>
    <w:rsid w:val="00944B13"/>
    <w:rsid w:val="00945B5A"/>
    <w:rsid w:val="009460DE"/>
    <w:rsid w:val="00946A9F"/>
    <w:rsid w:val="0094744E"/>
    <w:rsid w:val="0094772B"/>
    <w:rsid w:val="00947EE3"/>
    <w:rsid w:val="00950725"/>
    <w:rsid w:val="00950738"/>
    <w:rsid w:val="00950746"/>
    <w:rsid w:val="00950A7F"/>
    <w:rsid w:val="0095193C"/>
    <w:rsid w:val="00951B5E"/>
    <w:rsid w:val="0095258F"/>
    <w:rsid w:val="00952E18"/>
    <w:rsid w:val="00952F56"/>
    <w:rsid w:val="00953AC5"/>
    <w:rsid w:val="0095490E"/>
    <w:rsid w:val="00954A0C"/>
    <w:rsid w:val="00954E0E"/>
    <w:rsid w:val="00954FE3"/>
    <w:rsid w:val="0095532F"/>
    <w:rsid w:val="00955417"/>
    <w:rsid w:val="009555F8"/>
    <w:rsid w:val="00955696"/>
    <w:rsid w:val="00955CF6"/>
    <w:rsid w:val="00955E3C"/>
    <w:rsid w:val="0095605D"/>
    <w:rsid w:val="009565EB"/>
    <w:rsid w:val="00957832"/>
    <w:rsid w:val="00957C7D"/>
    <w:rsid w:val="00957C87"/>
    <w:rsid w:val="00957CC7"/>
    <w:rsid w:val="00957FE7"/>
    <w:rsid w:val="00957FF2"/>
    <w:rsid w:val="0096025F"/>
    <w:rsid w:val="0096062B"/>
    <w:rsid w:val="00960C2F"/>
    <w:rsid w:val="00961061"/>
    <w:rsid w:val="00961448"/>
    <w:rsid w:val="00961552"/>
    <w:rsid w:val="00961AD1"/>
    <w:rsid w:val="00961BBF"/>
    <w:rsid w:val="00961F42"/>
    <w:rsid w:val="009623BF"/>
    <w:rsid w:val="009627D1"/>
    <w:rsid w:val="0096292F"/>
    <w:rsid w:val="009639F3"/>
    <w:rsid w:val="00963F61"/>
    <w:rsid w:val="00964DA5"/>
    <w:rsid w:val="009667A9"/>
    <w:rsid w:val="00966B9A"/>
    <w:rsid w:val="0096729C"/>
    <w:rsid w:val="009679D5"/>
    <w:rsid w:val="00970257"/>
    <w:rsid w:val="00971524"/>
    <w:rsid w:val="009717E5"/>
    <w:rsid w:val="00971B09"/>
    <w:rsid w:val="00971BCF"/>
    <w:rsid w:val="00972218"/>
    <w:rsid w:val="00972E44"/>
    <w:rsid w:val="00972E6A"/>
    <w:rsid w:val="00973F10"/>
    <w:rsid w:val="00973F18"/>
    <w:rsid w:val="00973F4C"/>
    <w:rsid w:val="00973FE4"/>
    <w:rsid w:val="009749EA"/>
    <w:rsid w:val="009749EF"/>
    <w:rsid w:val="00974C97"/>
    <w:rsid w:val="00974E26"/>
    <w:rsid w:val="00974F24"/>
    <w:rsid w:val="00974FE3"/>
    <w:rsid w:val="00975293"/>
    <w:rsid w:val="00975596"/>
    <w:rsid w:val="00975844"/>
    <w:rsid w:val="00976189"/>
    <w:rsid w:val="00976386"/>
    <w:rsid w:val="00976809"/>
    <w:rsid w:val="009773EF"/>
    <w:rsid w:val="00977717"/>
    <w:rsid w:val="00977C71"/>
    <w:rsid w:val="00977F0F"/>
    <w:rsid w:val="0098003D"/>
    <w:rsid w:val="0098053F"/>
    <w:rsid w:val="009806EC"/>
    <w:rsid w:val="009816CC"/>
    <w:rsid w:val="00981770"/>
    <w:rsid w:val="00981873"/>
    <w:rsid w:val="00981C9E"/>
    <w:rsid w:val="00982222"/>
    <w:rsid w:val="009825D8"/>
    <w:rsid w:val="00983910"/>
    <w:rsid w:val="00983AB1"/>
    <w:rsid w:val="0098443B"/>
    <w:rsid w:val="009848C6"/>
    <w:rsid w:val="009848F0"/>
    <w:rsid w:val="009849B6"/>
    <w:rsid w:val="00985515"/>
    <w:rsid w:val="009874BF"/>
    <w:rsid w:val="0098751A"/>
    <w:rsid w:val="0098770F"/>
    <w:rsid w:val="00987A22"/>
    <w:rsid w:val="00987AD7"/>
    <w:rsid w:val="00987D18"/>
    <w:rsid w:val="00990E51"/>
    <w:rsid w:val="009913F9"/>
    <w:rsid w:val="00991731"/>
    <w:rsid w:val="0099224C"/>
    <w:rsid w:val="00992ADE"/>
    <w:rsid w:val="00992B94"/>
    <w:rsid w:val="00992EC9"/>
    <w:rsid w:val="009935B1"/>
    <w:rsid w:val="009937A4"/>
    <w:rsid w:val="009937BC"/>
    <w:rsid w:val="00994A3B"/>
    <w:rsid w:val="00995666"/>
    <w:rsid w:val="009959AD"/>
    <w:rsid w:val="0099671A"/>
    <w:rsid w:val="0099677F"/>
    <w:rsid w:val="00996937"/>
    <w:rsid w:val="00996BD1"/>
    <w:rsid w:val="00996F49"/>
    <w:rsid w:val="00997DCC"/>
    <w:rsid w:val="009A019A"/>
    <w:rsid w:val="009A04ED"/>
    <w:rsid w:val="009A0648"/>
    <w:rsid w:val="009A1078"/>
    <w:rsid w:val="009A1431"/>
    <w:rsid w:val="009A15B1"/>
    <w:rsid w:val="009A1620"/>
    <w:rsid w:val="009A1D30"/>
    <w:rsid w:val="009A1E4B"/>
    <w:rsid w:val="009A284D"/>
    <w:rsid w:val="009A2AC4"/>
    <w:rsid w:val="009A2CB6"/>
    <w:rsid w:val="009A2E30"/>
    <w:rsid w:val="009A4161"/>
    <w:rsid w:val="009A4ECB"/>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07A"/>
    <w:rsid w:val="009B23B0"/>
    <w:rsid w:val="009B25B2"/>
    <w:rsid w:val="009B2643"/>
    <w:rsid w:val="009B286C"/>
    <w:rsid w:val="009B2E94"/>
    <w:rsid w:val="009B3432"/>
    <w:rsid w:val="009B3C3A"/>
    <w:rsid w:val="009B3D06"/>
    <w:rsid w:val="009B4310"/>
    <w:rsid w:val="009B45F6"/>
    <w:rsid w:val="009B461C"/>
    <w:rsid w:val="009B485D"/>
    <w:rsid w:val="009B5A8A"/>
    <w:rsid w:val="009B6B28"/>
    <w:rsid w:val="009B6EB9"/>
    <w:rsid w:val="009B7169"/>
    <w:rsid w:val="009C0351"/>
    <w:rsid w:val="009C0727"/>
    <w:rsid w:val="009C0823"/>
    <w:rsid w:val="009C1386"/>
    <w:rsid w:val="009C17FB"/>
    <w:rsid w:val="009C1825"/>
    <w:rsid w:val="009C1E96"/>
    <w:rsid w:val="009C1FB1"/>
    <w:rsid w:val="009C2D14"/>
    <w:rsid w:val="009C3145"/>
    <w:rsid w:val="009C4723"/>
    <w:rsid w:val="009C4E48"/>
    <w:rsid w:val="009C5487"/>
    <w:rsid w:val="009C65C6"/>
    <w:rsid w:val="009C686E"/>
    <w:rsid w:val="009C6976"/>
    <w:rsid w:val="009C6AC2"/>
    <w:rsid w:val="009C7B47"/>
    <w:rsid w:val="009C7FA4"/>
    <w:rsid w:val="009D0669"/>
    <w:rsid w:val="009D068E"/>
    <w:rsid w:val="009D0DC7"/>
    <w:rsid w:val="009D13F8"/>
    <w:rsid w:val="009D1DE4"/>
    <w:rsid w:val="009D1E93"/>
    <w:rsid w:val="009D2465"/>
    <w:rsid w:val="009D2E46"/>
    <w:rsid w:val="009D2EC4"/>
    <w:rsid w:val="009D3AF0"/>
    <w:rsid w:val="009D440F"/>
    <w:rsid w:val="009D46BE"/>
    <w:rsid w:val="009D51BB"/>
    <w:rsid w:val="009D6323"/>
    <w:rsid w:val="009D6605"/>
    <w:rsid w:val="009D6C8D"/>
    <w:rsid w:val="009D6CAC"/>
    <w:rsid w:val="009D70D7"/>
    <w:rsid w:val="009D788A"/>
    <w:rsid w:val="009D7BDC"/>
    <w:rsid w:val="009D7C35"/>
    <w:rsid w:val="009D7D4D"/>
    <w:rsid w:val="009E0138"/>
    <w:rsid w:val="009E03A1"/>
    <w:rsid w:val="009E113E"/>
    <w:rsid w:val="009E1E8A"/>
    <w:rsid w:val="009E20A7"/>
    <w:rsid w:val="009E2283"/>
    <w:rsid w:val="009E2A60"/>
    <w:rsid w:val="009E2C21"/>
    <w:rsid w:val="009E3B42"/>
    <w:rsid w:val="009E3EBE"/>
    <w:rsid w:val="009E3F44"/>
    <w:rsid w:val="009E4B7A"/>
    <w:rsid w:val="009E5818"/>
    <w:rsid w:val="009E5C56"/>
    <w:rsid w:val="009E5DCD"/>
    <w:rsid w:val="009E607B"/>
    <w:rsid w:val="009E644B"/>
    <w:rsid w:val="009E69B3"/>
    <w:rsid w:val="009E6A70"/>
    <w:rsid w:val="009E6C31"/>
    <w:rsid w:val="009E7093"/>
    <w:rsid w:val="009E72CE"/>
    <w:rsid w:val="009E7664"/>
    <w:rsid w:val="009F02A9"/>
    <w:rsid w:val="009F05C8"/>
    <w:rsid w:val="009F0658"/>
    <w:rsid w:val="009F0677"/>
    <w:rsid w:val="009F094C"/>
    <w:rsid w:val="009F0DF8"/>
    <w:rsid w:val="009F1213"/>
    <w:rsid w:val="009F1986"/>
    <w:rsid w:val="009F1F29"/>
    <w:rsid w:val="009F2AF2"/>
    <w:rsid w:val="009F2E88"/>
    <w:rsid w:val="009F31E7"/>
    <w:rsid w:val="009F3850"/>
    <w:rsid w:val="009F4122"/>
    <w:rsid w:val="009F41CD"/>
    <w:rsid w:val="009F42BA"/>
    <w:rsid w:val="009F43FC"/>
    <w:rsid w:val="009F4419"/>
    <w:rsid w:val="009F4900"/>
    <w:rsid w:val="009F4B0B"/>
    <w:rsid w:val="009F4E87"/>
    <w:rsid w:val="009F5F2B"/>
    <w:rsid w:val="009F61F5"/>
    <w:rsid w:val="009F626A"/>
    <w:rsid w:val="009F67AA"/>
    <w:rsid w:val="009F6B80"/>
    <w:rsid w:val="009F6C80"/>
    <w:rsid w:val="009F70A8"/>
    <w:rsid w:val="009F7DD8"/>
    <w:rsid w:val="009F7E9B"/>
    <w:rsid w:val="00A000B6"/>
    <w:rsid w:val="00A0033C"/>
    <w:rsid w:val="00A003C0"/>
    <w:rsid w:val="00A004BD"/>
    <w:rsid w:val="00A0063B"/>
    <w:rsid w:val="00A00FCC"/>
    <w:rsid w:val="00A01027"/>
    <w:rsid w:val="00A015B4"/>
    <w:rsid w:val="00A0181F"/>
    <w:rsid w:val="00A01BCB"/>
    <w:rsid w:val="00A024E2"/>
    <w:rsid w:val="00A02716"/>
    <w:rsid w:val="00A029D2"/>
    <w:rsid w:val="00A02F86"/>
    <w:rsid w:val="00A03456"/>
    <w:rsid w:val="00A03654"/>
    <w:rsid w:val="00A03F14"/>
    <w:rsid w:val="00A0424D"/>
    <w:rsid w:val="00A0491A"/>
    <w:rsid w:val="00A04AC9"/>
    <w:rsid w:val="00A04B48"/>
    <w:rsid w:val="00A05586"/>
    <w:rsid w:val="00A05639"/>
    <w:rsid w:val="00A059C4"/>
    <w:rsid w:val="00A05A27"/>
    <w:rsid w:val="00A05B88"/>
    <w:rsid w:val="00A05DEB"/>
    <w:rsid w:val="00A06301"/>
    <w:rsid w:val="00A06790"/>
    <w:rsid w:val="00A06C4A"/>
    <w:rsid w:val="00A06F1C"/>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83C"/>
    <w:rsid w:val="00A14B60"/>
    <w:rsid w:val="00A1524A"/>
    <w:rsid w:val="00A15614"/>
    <w:rsid w:val="00A15783"/>
    <w:rsid w:val="00A159D4"/>
    <w:rsid w:val="00A15E51"/>
    <w:rsid w:val="00A15F3B"/>
    <w:rsid w:val="00A169F7"/>
    <w:rsid w:val="00A16F7E"/>
    <w:rsid w:val="00A17331"/>
    <w:rsid w:val="00A1776A"/>
    <w:rsid w:val="00A208EA"/>
    <w:rsid w:val="00A21EB9"/>
    <w:rsid w:val="00A220AA"/>
    <w:rsid w:val="00A22CBF"/>
    <w:rsid w:val="00A22D02"/>
    <w:rsid w:val="00A2394A"/>
    <w:rsid w:val="00A2404E"/>
    <w:rsid w:val="00A246D9"/>
    <w:rsid w:val="00A249A9"/>
    <w:rsid w:val="00A24B76"/>
    <w:rsid w:val="00A24D8F"/>
    <w:rsid w:val="00A255A7"/>
    <w:rsid w:val="00A264BB"/>
    <w:rsid w:val="00A26858"/>
    <w:rsid w:val="00A26D0F"/>
    <w:rsid w:val="00A26E42"/>
    <w:rsid w:val="00A26EA3"/>
    <w:rsid w:val="00A26F41"/>
    <w:rsid w:val="00A2718D"/>
    <w:rsid w:val="00A27249"/>
    <w:rsid w:val="00A275EF"/>
    <w:rsid w:val="00A2774F"/>
    <w:rsid w:val="00A27BB0"/>
    <w:rsid w:val="00A3036D"/>
    <w:rsid w:val="00A318E0"/>
    <w:rsid w:val="00A31BCD"/>
    <w:rsid w:val="00A321BD"/>
    <w:rsid w:val="00A32276"/>
    <w:rsid w:val="00A32D60"/>
    <w:rsid w:val="00A3306F"/>
    <w:rsid w:val="00A330E5"/>
    <w:rsid w:val="00A332ED"/>
    <w:rsid w:val="00A332F0"/>
    <w:rsid w:val="00A33428"/>
    <w:rsid w:val="00A33D33"/>
    <w:rsid w:val="00A34138"/>
    <w:rsid w:val="00A34643"/>
    <w:rsid w:val="00A34B19"/>
    <w:rsid w:val="00A34F58"/>
    <w:rsid w:val="00A351C0"/>
    <w:rsid w:val="00A35749"/>
    <w:rsid w:val="00A35C04"/>
    <w:rsid w:val="00A36344"/>
    <w:rsid w:val="00A36354"/>
    <w:rsid w:val="00A36AA6"/>
    <w:rsid w:val="00A36BB9"/>
    <w:rsid w:val="00A406AC"/>
    <w:rsid w:val="00A407B9"/>
    <w:rsid w:val="00A40B96"/>
    <w:rsid w:val="00A40DD4"/>
    <w:rsid w:val="00A41D0B"/>
    <w:rsid w:val="00A41D7A"/>
    <w:rsid w:val="00A4315C"/>
    <w:rsid w:val="00A43216"/>
    <w:rsid w:val="00A43A27"/>
    <w:rsid w:val="00A448D2"/>
    <w:rsid w:val="00A44B78"/>
    <w:rsid w:val="00A45068"/>
    <w:rsid w:val="00A45566"/>
    <w:rsid w:val="00A45FEC"/>
    <w:rsid w:val="00A465E6"/>
    <w:rsid w:val="00A46B9F"/>
    <w:rsid w:val="00A47E1E"/>
    <w:rsid w:val="00A50639"/>
    <w:rsid w:val="00A50BBE"/>
    <w:rsid w:val="00A51154"/>
    <w:rsid w:val="00A51641"/>
    <w:rsid w:val="00A51BE7"/>
    <w:rsid w:val="00A51CCB"/>
    <w:rsid w:val="00A52351"/>
    <w:rsid w:val="00A523FE"/>
    <w:rsid w:val="00A5255F"/>
    <w:rsid w:val="00A5283B"/>
    <w:rsid w:val="00A535BE"/>
    <w:rsid w:val="00A53BF3"/>
    <w:rsid w:val="00A541FF"/>
    <w:rsid w:val="00A54DA3"/>
    <w:rsid w:val="00A54F76"/>
    <w:rsid w:val="00A553C3"/>
    <w:rsid w:val="00A554D9"/>
    <w:rsid w:val="00A55ADF"/>
    <w:rsid w:val="00A55C2F"/>
    <w:rsid w:val="00A55C45"/>
    <w:rsid w:val="00A56314"/>
    <w:rsid w:val="00A563A6"/>
    <w:rsid w:val="00A566E3"/>
    <w:rsid w:val="00A56A12"/>
    <w:rsid w:val="00A56A26"/>
    <w:rsid w:val="00A56C2F"/>
    <w:rsid w:val="00A56E39"/>
    <w:rsid w:val="00A574E8"/>
    <w:rsid w:val="00A5761A"/>
    <w:rsid w:val="00A5789F"/>
    <w:rsid w:val="00A57D08"/>
    <w:rsid w:val="00A57E2A"/>
    <w:rsid w:val="00A6026F"/>
    <w:rsid w:val="00A611AE"/>
    <w:rsid w:val="00A61636"/>
    <w:rsid w:val="00A6189F"/>
    <w:rsid w:val="00A6192D"/>
    <w:rsid w:val="00A61F99"/>
    <w:rsid w:val="00A620C3"/>
    <w:rsid w:val="00A6234E"/>
    <w:rsid w:val="00A62B59"/>
    <w:rsid w:val="00A63413"/>
    <w:rsid w:val="00A63705"/>
    <w:rsid w:val="00A6491B"/>
    <w:rsid w:val="00A64E33"/>
    <w:rsid w:val="00A65041"/>
    <w:rsid w:val="00A659F2"/>
    <w:rsid w:val="00A65B82"/>
    <w:rsid w:val="00A65D22"/>
    <w:rsid w:val="00A67359"/>
    <w:rsid w:val="00A6776D"/>
    <w:rsid w:val="00A677E7"/>
    <w:rsid w:val="00A6791F"/>
    <w:rsid w:val="00A7008F"/>
    <w:rsid w:val="00A703EF"/>
    <w:rsid w:val="00A7062F"/>
    <w:rsid w:val="00A70945"/>
    <w:rsid w:val="00A70DDC"/>
    <w:rsid w:val="00A7121A"/>
    <w:rsid w:val="00A71378"/>
    <w:rsid w:val="00A71A7C"/>
    <w:rsid w:val="00A71AE6"/>
    <w:rsid w:val="00A71C54"/>
    <w:rsid w:val="00A71DCD"/>
    <w:rsid w:val="00A71DE0"/>
    <w:rsid w:val="00A720F1"/>
    <w:rsid w:val="00A723C4"/>
    <w:rsid w:val="00A72F72"/>
    <w:rsid w:val="00A73A0F"/>
    <w:rsid w:val="00A7446B"/>
    <w:rsid w:val="00A7452A"/>
    <w:rsid w:val="00A748BF"/>
    <w:rsid w:val="00A7521F"/>
    <w:rsid w:val="00A763DD"/>
    <w:rsid w:val="00A76A39"/>
    <w:rsid w:val="00A76C85"/>
    <w:rsid w:val="00A7768F"/>
    <w:rsid w:val="00A77D5E"/>
    <w:rsid w:val="00A77F8E"/>
    <w:rsid w:val="00A80FDB"/>
    <w:rsid w:val="00A814C5"/>
    <w:rsid w:val="00A81B15"/>
    <w:rsid w:val="00A81E52"/>
    <w:rsid w:val="00A824AB"/>
    <w:rsid w:val="00A829DD"/>
    <w:rsid w:val="00A82AF3"/>
    <w:rsid w:val="00A82EB7"/>
    <w:rsid w:val="00A82F86"/>
    <w:rsid w:val="00A83274"/>
    <w:rsid w:val="00A839A2"/>
    <w:rsid w:val="00A84782"/>
    <w:rsid w:val="00A849C5"/>
    <w:rsid w:val="00A84E1D"/>
    <w:rsid w:val="00A84F36"/>
    <w:rsid w:val="00A852D8"/>
    <w:rsid w:val="00A85596"/>
    <w:rsid w:val="00A856BB"/>
    <w:rsid w:val="00A85DBC"/>
    <w:rsid w:val="00A868A5"/>
    <w:rsid w:val="00A86AA4"/>
    <w:rsid w:val="00A8709B"/>
    <w:rsid w:val="00A871EB"/>
    <w:rsid w:val="00A875A3"/>
    <w:rsid w:val="00A87757"/>
    <w:rsid w:val="00A90228"/>
    <w:rsid w:val="00A9034B"/>
    <w:rsid w:val="00A90B88"/>
    <w:rsid w:val="00A90D10"/>
    <w:rsid w:val="00A90FB7"/>
    <w:rsid w:val="00A910D5"/>
    <w:rsid w:val="00A91BF8"/>
    <w:rsid w:val="00A91C24"/>
    <w:rsid w:val="00A924D2"/>
    <w:rsid w:val="00A92763"/>
    <w:rsid w:val="00A92786"/>
    <w:rsid w:val="00A92E43"/>
    <w:rsid w:val="00A92EB8"/>
    <w:rsid w:val="00A9359A"/>
    <w:rsid w:val="00A93648"/>
    <w:rsid w:val="00A937E0"/>
    <w:rsid w:val="00A93E51"/>
    <w:rsid w:val="00A9444C"/>
    <w:rsid w:val="00A94919"/>
    <w:rsid w:val="00A94A3B"/>
    <w:rsid w:val="00A94BD6"/>
    <w:rsid w:val="00A94C17"/>
    <w:rsid w:val="00A9548D"/>
    <w:rsid w:val="00A95AD3"/>
    <w:rsid w:val="00A95D43"/>
    <w:rsid w:val="00A95F66"/>
    <w:rsid w:val="00A96754"/>
    <w:rsid w:val="00A96C01"/>
    <w:rsid w:val="00A97235"/>
    <w:rsid w:val="00A97373"/>
    <w:rsid w:val="00A97615"/>
    <w:rsid w:val="00A97642"/>
    <w:rsid w:val="00A9777A"/>
    <w:rsid w:val="00A97789"/>
    <w:rsid w:val="00A978DB"/>
    <w:rsid w:val="00A97D82"/>
    <w:rsid w:val="00AA0083"/>
    <w:rsid w:val="00AA0099"/>
    <w:rsid w:val="00AA0704"/>
    <w:rsid w:val="00AA076B"/>
    <w:rsid w:val="00AA0B1D"/>
    <w:rsid w:val="00AA127E"/>
    <w:rsid w:val="00AA1719"/>
    <w:rsid w:val="00AA17C5"/>
    <w:rsid w:val="00AA1829"/>
    <w:rsid w:val="00AA1C82"/>
    <w:rsid w:val="00AA31AB"/>
    <w:rsid w:val="00AA39A1"/>
    <w:rsid w:val="00AA3AB3"/>
    <w:rsid w:val="00AA4586"/>
    <w:rsid w:val="00AA45AB"/>
    <w:rsid w:val="00AA4736"/>
    <w:rsid w:val="00AA4998"/>
    <w:rsid w:val="00AA4E8E"/>
    <w:rsid w:val="00AA53E1"/>
    <w:rsid w:val="00AA5B11"/>
    <w:rsid w:val="00AA5C46"/>
    <w:rsid w:val="00AA5E2C"/>
    <w:rsid w:val="00AA5E7A"/>
    <w:rsid w:val="00AA5EFC"/>
    <w:rsid w:val="00AA61F0"/>
    <w:rsid w:val="00AA63BB"/>
    <w:rsid w:val="00AA6C04"/>
    <w:rsid w:val="00AA7285"/>
    <w:rsid w:val="00AA7551"/>
    <w:rsid w:val="00AA7D23"/>
    <w:rsid w:val="00AA7E8B"/>
    <w:rsid w:val="00AA7FBD"/>
    <w:rsid w:val="00AB06CC"/>
    <w:rsid w:val="00AB0DED"/>
    <w:rsid w:val="00AB1BA2"/>
    <w:rsid w:val="00AB2050"/>
    <w:rsid w:val="00AB20A5"/>
    <w:rsid w:val="00AB273C"/>
    <w:rsid w:val="00AB2778"/>
    <w:rsid w:val="00AB2838"/>
    <w:rsid w:val="00AB2B4E"/>
    <w:rsid w:val="00AB2C0A"/>
    <w:rsid w:val="00AB2D4F"/>
    <w:rsid w:val="00AB2DD8"/>
    <w:rsid w:val="00AB32DA"/>
    <w:rsid w:val="00AB3BDA"/>
    <w:rsid w:val="00AB3E3C"/>
    <w:rsid w:val="00AB4543"/>
    <w:rsid w:val="00AB4831"/>
    <w:rsid w:val="00AB4AF0"/>
    <w:rsid w:val="00AB4C27"/>
    <w:rsid w:val="00AB5393"/>
    <w:rsid w:val="00AB5999"/>
    <w:rsid w:val="00AB5AF4"/>
    <w:rsid w:val="00AB5B17"/>
    <w:rsid w:val="00AB60C0"/>
    <w:rsid w:val="00AB62FD"/>
    <w:rsid w:val="00AB62FF"/>
    <w:rsid w:val="00AB636B"/>
    <w:rsid w:val="00AB6913"/>
    <w:rsid w:val="00AB6B19"/>
    <w:rsid w:val="00AB6E69"/>
    <w:rsid w:val="00AB73B6"/>
    <w:rsid w:val="00AB73FC"/>
    <w:rsid w:val="00AC0B1D"/>
    <w:rsid w:val="00AC0D98"/>
    <w:rsid w:val="00AC101E"/>
    <w:rsid w:val="00AC1341"/>
    <w:rsid w:val="00AC1376"/>
    <w:rsid w:val="00AC1DE0"/>
    <w:rsid w:val="00AC1FE5"/>
    <w:rsid w:val="00AC256A"/>
    <w:rsid w:val="00AC2901"/>
    <w:rsid w:val="00AC2E02"/>
    <w:rsid w:val="00AC3291"/>
    <w:rsid w:val="00AC38EC"/>
    <w:rsid w:val="00AC3B37"/>
    <w:rsid w:val="00AC45D2"/>
    <w:rsid w:val="00AC4ACA"/>
    <w:rsid w:val="00AC4C0B"/>
    <w:rsid w:val="00AC4F92"/>
    <w:rsid w:val="00AC5B2C"/>
    <w:rsid w:val="00AC6511"/>
    <w:rsid w:val="00AC688A"/>
    <w:rsid w:val="00AC6E76"/>
    <w:rsid w:val="00AC731B"/>
    <w:rsid w:val="00AC7535"/>
    <w:rsid w:val="00AC7EEE"/>
    <w:rsid w:val="00AD01D8"/>
    <w:rsid w:val="00AD0B1A"/>
    <w:rsid w:val="00AD1DC7"/>
    <w:rsid w:val="00AD2171"/>
    <w:rsid w:val="00AD269C"/>
    <w:rsid w:val="00AD2C6F"/>
    <w:rsid w:val="00AD2F06"/>
    <w:rsid w:val="00AD3037"/>
    <w:rsid w:val="00AD384B"/>
    <w:rsid w:val="00AD3AF2"/>
    <w:rsid w:val="00AD3DAC"/>
    <w:rsid w:val="00AD3F13"/>
    <w:rsid w:val="00AD40A8"/>
    <w:rsid w:val="00AD411D"/>
    <w:rsid w:val="00AD48D2"/>
    <w:rsid w:val="00AD4FF4"/>
    <w:rsid w:val="00AD50AB"/>
    <w:rsid w:val="00AD586F"/>
    <w:rsid w:val="00AD742C"/>
    <w:rsid w:val="00AD750D"/>
    <w:rsid w:val="00AD7869"/>
    <w:rsid w:val="00AD7A5E"/>
    <w:rsid w:val="00AE073C"/>
    <w:rsid w:val="00AE07A6"/>
    <w:rsid w:val="00AE0F0A"/>
    <w:rsid w:val="00AE1D13"/>
    <w:rsid w:val="00AE20BE"/>
    <w:rsid w:val="00AE2112"/>
    <w:rsid w:val="00AE27D8"/>
    <w:rsid w:val="00AE2A09"/>
    <w:rsid w:val="00AE2CA3"/>
    <w:rsid w:val="00AE2DC7"/>
    <w:rsid w:val="00AE2F9C"/>
    <w:rsid w:val="00AE3632"/>
    <w:rsid w:val="00AE372D"/>
    <w:rsid w:val="00AE39C2"/>
    <w:rsid w:val="00AE4C09"/>
    <w:rsid w:val="00AE5499"/>
    <w:rsid w:val="00AE55BF"/>
    <w:rsid w:val="00AE5778"/>
    <w:rsid w:val="00AE60BF"/>
    <w:rsid w:val="00AE65CF"/>
    <w:rsid w:val="00AE674F"/>
    <w:rsid w:val="00AE74B6"/>
    <w:rsid w:val="00AE773D"/>
    <w:rsid w:val="00AE78E1"/>
    <w:rsid w:val="00AF0399"/>
    <w:rsid w:val="00AF043E"/>
    <w:rsid w:val="00AF04BE"/>
    <w:rsid w:val="00AF1F4E"/>
    <w:rsid w:val="00AF2290"/>
    <w:rsid w:val="00AF2DAC"/>
    <w:rsid w:val="00AF3366"/>
    <w:rsid w:val="00AF3C65"/>
    <w:rsid w:val="00AF4159"/>
    <w:rsid w:val="00AF41E9"/>
    <w:rsid w:val="00AF4483"/>
    <w:rsid w:val="00AF4E60"/>
    <w:rsid w:val="00AF5A64"/>
    <w:rsid w:val="00AF5BFA"/>
    <w:rsid w:val="00AF5CD1"/>
    <w:rsid w:val="00AF5DC6"/>
    <w:rsid w:val="00AF5EE3"/>
    <w:rsid w:val="00AF5F7B"/>
    <w:rsid w:val="00AF6545"/>
    <w:rsid w:val="00AF6871"/>
    <w:rsid w:val="00AF6C9C"/>
    <w:rsid w:val="00AF6F93"/>
    <w:rsid w:val="00AF7835"/>
    <w:rsid w:val="00AF7A7D"/>
    <w:rsid w:val="00B00D97"/>
    <w:rsid w:val="00B0108A"/>
    <w:rsid w:val="00B01598"/>
    <w:rsid w:val="00B01B30"/>
    <w:rsid w:val="00B021DA"/>
    <w:rsid w:val="00B02323"/>
    <w:rsid w:val="00B02D40"/>
    <w:rsid w:val="00B03077"/>
    <w:rsid w:val="00B03102"/>
    <w:rsid w:val="00B034E8"/>
    <w:rsid w:val="00B03CCA"/>
    <w:rsid w:val="00B0445D"/>
    <w:rsid w:val="00B045BD"/>
    <w:rsid w:val="00B04A28"/>
    <w:rsid w:val="00B04AFA"/>
    <w:rsid w:val="00B05225"/>
    <w:rsid w:val="00B06126"/>
    <w:rsid w:val="00B06432"/>
    <w:rsid w:val="00B065D0"/>
    <w:rsid w:val="00B06DE0"/>
    <w:rsid w:val="00B077BE"/>
    <w:rsid w:val="00B1027F"/>
    <w:rsid w:val="00B105FF"/>
    <w:rsid w:val="00B10771"/>
    <w:rsid w:val="00B10D78"/>
    <w:rsid w:val="00B10EB0"/>
    <w:rsid w:val="00B11125"/>
    <w:rsid w:val="00B111B8"/>
    <w:rsid w:val="00B118DA"/>
    <w:rsid w:val="00B11E21"/>
    <w:rsid w:val="00B11F53"/>
    <w:rsid w:val="00B123F0"/>
    <w:rsid w:val="00B124AE"/>
    <w:rsid w:val="00B1262E"/>
    <w:rsid w:val="00B12970"/>
    <w:rsid w:val="00B12A9D"/>
    <w:rsid w:val="00B12F05"/>
    <w:rsid w:val="00B1314B"/>
    <w:rsid w:val="00B1426D"/>
    <w:rsid w:val="00B142FF"/>
    <w:rsid w:val="00B151B2"/>
    <w:rsid w:val="00B1532A"/>
    <w:rsid w:val="00B154D9"/>
    <w:rsid w:val="00B16613"/>
    <w:rsid w:val="00B16AC9"/>
    <w:rsid w:val="00B16EF9"/>
    <w:rsid w:val="00B170FA"/>
    <w:rsid w:val="00B174D3"/>
    <w:rsid w:val="00B1773B"/>
    <w:rsid w:val="00B177E5"/>
    <w:rsid w:val="00B17AEC"/>
    <w:rsid w:val="00B17C02"/>
    <w:rsid w:val="00B17DAA"/>
    <w:rsid w:val="00B17EEC"/>
    <w:rsid w:val="00B2000A"/>
    <w:rsid w:val="00B20319"/>
    <w:rsid w:val="00B206C2"/>
    <w:rsid w:val="00B207DB"/>
    <w:rsid w:val="00B20897"/>
    <w:rsid w:val="00B20C97"/>
    <w:rsid w:val="00B20E7E"/>
    <w:rsid w:val="00B21085"/>
    <w:rsid w:val="00B2156A"/>
    <w:rsid w:val="00B21744"/>
    <w:rsid w:val="00B21A10"/>
    <w:rsid w:val="00B21FA9"/>
    <w:rsid w:val="00B22268"/>
    <w:rsid w:val="00B222B7"/>
    <w:rsid w:val="00B233D2"/>
    <w:rsid w:val="00B23B29"/>
    <w:rsid w:val="00B24094"/>
    <w:rsid w:val="00B24669"/>
    <w:rsid w:val="00B24699"/>
    <w:rsid w:val="00B24981"/>
    <w:rsid w:val="00B24F08"/>
    <w:rsid w:val="00B25146"/>
    <w:rsid w:val="00B255BC"/>
    <w:rsid w:val="00B256FD"/>
    <w:rsid w:val="00B25D21"/>
    <w:rsid w:val="00B260DE"/>
    <w:rsid w:val="00B2626E"/>
    <w:rsid w:val="00B265FB"/>
    <w:rsid w:val="00B26A9C"/>
    <w:rsid w:val="00B26ADC"/>
    <w:rsid w:val="00B271CF"/>
    <w:rsid w:val="00B273A0"/>
    <w:rsid w:val="00B273B1"/>
    <w:rsid w:val="00B2753B"/>
    <w:rsid w:val="00B2759C"/>
    <w:rsid w:val="00B276F2"/>
    <w:rsid w:val="00B27708"/>
    <w:rsid w:val="00B2788C"/>
    <w:rsid w:val="00B27F9F"/>
    <w:rsid w:val="00B300C3"/>
    <w:rsid w:val="00B3043B"/>
    <w:rsid w:val="00B30A1B"/>
    <w:rsid w:val="00B313C1"/>
    <w:rsid w:val="00B319BC"/>
    <w:rsid w:val="00B31A79"/>
    <w:rsid w:val="00B32151"/>
    <w:rsid w:val="00B3269E"/>
    <w:rsid w:val="00B326E5"/>
    <w:rsid w:val="00B32896"/>
    <w:rsid w:val="00B339C2"/>
    <w:rsid w:val="00B33CBD"/>
    <w:rsid w:val="00B3429B"/>
    <w:rsid w:val="00B347D4"/>
    <w:rsid w:val="00B34E41"/>
    <w:rsid w:val="00B3501C"/>
    <w:rsid w:val="00B35290"/>
    <w:rsid w:val="00B35836"/>
    <w:rsid w:val="00B35B3D"/>
    <w:rsid w:val="00B35DC7"/>
    <w:rsid w:val="00B35EC1"/>
    <w:rsid w:val="00B36D12"/>
    <w:rsid w:val="00B36F83"/>
    <w:rsid w:val="00B3704A"/>
    <w:rsid w:val="00B37331"/>
    <w:rsid w:val="00B379D8"/>
    <w:rsid w:val="00B37D91"/>
    <w:rsid w:val="00B40136"/>
    <w:rsid w:val="00B42368"/>
    <w:rsid w:val="00B42419"/>
    <w:rsid w:val="00B42694"/>
    <w:rsid w:val="00B426DD"/>
    <w:rsid w:val="00B42A2B"/>
    <w:rsid w:val="00B42EB9"/>
    <w:rsid w:val="00B43488"/>
    <w:rsid w:val="00B43D95"/>
    <w:rsid w:val="00B440A8"/>
    <w:rsid w:val="00B4489D"/>
    <w:rsid w:val="00B44DB4"/>
    <w:rsid w:val="00B46F93"/>
    <w:rsid w:val="00B4719B"/>
    <w:rsid w:val="00B47B0D"/>
    <w:rsid w:val="00B47B4C"/>
    <w:rsid w:val="00B47D02"/>
    <w:rsid w:val="00B50115"/>
    <w:rsid w:val="00B507FC"/>
    <w:rsid w:val="00B50812"/>
    <w:rsid w:val="00B51401"/>
    <w:rsid w:val="00B51542"/>
    <w:rsid w:val="00B518B8"/>
    <w:rsid w:val="00B51A82"/>
    <w:rsid w:val="00B51B03"/>
    <w:rsid w:val="00B51C14"/>
    <w:rsid w:val="00B51E46"/>
    <w:rsid w:val="00B51F83"/>
    <w:rsid w:val="00B51F8A"/>
    <w:rsid w:val="00B52434"/>
    <w:rsid w:val="00B52871"/>
    <w:rsid w:val="00B52CAA"/>
    <w:rsid w:val="00B5308E"/>
    <w:rsid w:val="00B54092"/>
    <w:rsid w:val="00B54524"/>
    <w:rsid w:val="00B54A3C"/>
    <w:rsid w:val="00B54E0E"/>
    <w:rsid w:val="00B54E46"/>
    <w:rsid w:val="00B553A1"/>
    <w:rsid w:val="00B5562F"/>
    <w:rsid w:val="00B5571C"/>
    <w:rsid w:val="00B55747"/>
    <w:rsid w:val="00B55767"/>
    <w:rsid w:val="00B5631C"/>
    <w:rsid w:val="00B566AB"/>
    <w:rsid w:val="00B5678E"/>
    <w:rsid w:val="00B56F1B"/>
    <w:rsid w:val="00B5735D"/>
    <w:rsid w:val="00B575CC"/>
    <w:rsid w:val="00B57CB2"/>
    <w:rsid w:val="00B57F95"/>
    <w:rsid w:val="00B608EC"/>
    <w:rsid w:val="00B60F44"/>
    <w:rsid w:val="00B610EB"/>
    <w:rsid w:val="00B61138"/>
    <w:rsid w:val="00B61D99"/>
    <w:rsid w:val="00B628C7"/>
    <w:rsid w:val="00B62CD7"/>
    <w:rsid w:val="00B63025"/>
    <w:rsid w:val="00B636EE"/>
    <w:rsid w:val="00B64385"/>
    <w:rsid w:val="00B64B6B"/>
    <w:rsid w:val="00B65134"/>
    <w:rsid w:val="00B6567D"/>
    <w:rsid w:val="00B65D63"/>
    <w:rsid w:val="00B65D89"/>
    <w:rsid w:val="00B65E1B"/>
    <w:rsid w:val="00B663F7"/>
    <w:rsid w:val="00B664FC"/>
    <w:rsid w:val="00B67FB3"/>
    <w:rsid w:val="00B71040"/>
    <w:rsid w:val="00B712D7"/>
    <w:rsid w:val="00B71B2E"/>
    <w:rsid w:val="00B71D3A"/>
    <w:rsid w:val="00B7246B"/>
    <w:rsid w:val="00B72948"/>
    <w:rsid w:val="00B73609"/>
    <w:rsid w:val="00B73E03"/>
    <w:rsid w:val="00B73EDC"/>
    <w:rsid w:val="00B74F38"/>
    <w:rsid w:val="00B757F6"/>
    <w:rsid w:val="00B759A6"/>
    <w:rsid w:val="00B7676D"/>
    <w:rsid w:val="00B7682C"/>
    <w:rsid w:val="00B76F40"/>
    <w:rsid w:val="00B76F97"/>
    <w:rsid w:val="00B77716"/>
    <w:rsid w:val="00B77C7F"/>
    <w:rsid w:val="00B80259"/>
    <w:rsid w:val="00B80878"/>
    <w:rsid w:val="00B808C6"/>
    <w:rsid w:val="00B80B3E"/>
    <w:rsid w:val="00B80F90"/>
    <w:rsid w:val="00B81934"/>
    <w:rsid w:val="00B81956"/>
    <w:rsid w:val="00B82065"/>
    <w:rsid w:val="00B8225E"/>
    <w:rsid w:val="00B82CA1"/>
    <w:rsid w:val="00B83AEF"/>
    <w:rsid w:val="00B83D4C"/>
    <w:rsid w:val="00B8423E"/>
    <w:rsid w:val="00B842AD"/>
    <w:rsid w:val="00B842FB"/>
    <w:rsid w:val="00B8446C"/>
    <w:rsid w:val="00B8459F"/>
    <w:rsid w:val="00B8467F"/>
    <w:rsid w:val="00B84A94"/>
    <w:rsid w:val="00B85EF6"/>
    <w:rsid w:val="00B85F5D"/>
    <w:rsid w:val="00B863CD"/>
    <w:rsid w:val="00B86A76"/>
    <w:rsid w:val="00B877CD"/>
    <w:rsid w:val="00B879C9"/>
    <w:rsid w:val="00B90419"/>
    <w:rsid w:val="00B90BD1"/>
    <w:rsid w:val="00B90CCE"/>
    <w:rsid w:val="00B90F8B"/>
    <w:rsid w:val="00B91168"/>
    <w:rsid w:val="00B924E8"/>
    <w:rsid w:val="00B92509"/>
    <w:rsid w:val="00B92922"/>
    <w:rsid w:val="00B929B1"/>
    <w:rsid w:val="00B92A52"/>
    <w:rsid w:val="00B92CBC"/>
    <w:rsid w:val="00B92FC3"/>
    <w:rsid w:val="00B93282"/>
    <w:rsid w:val="00B93544"/>
    <w:rsid w:val="00B93B20"/>
    <w:rsid w:val="00B9409B"/>
    <w:rsid w:val="00B94B93"/>
    <w:rsid w:val="00B951C8"/>
    <w:rsid w:val="00B952DB"/>
    <w:rsid w:val="00B953E9"/>
    <w:rsid w:val="00B95C86"/>
    <w:rsid w:val="00B95E84"/>
    <w:rsid w:val="00B961DB"/>
    <w:rsid w:val="00B96C51"/>
    <w:rsid w:val="00B97B89"/>
    <w:rsid w:val="00BA0377"/>
    <w:rsid w:val="00BA06CB"/>
    <w:rsid w:val="00BA1226"/>
    <w:rsid w:val="00BA188E"/>
    <w:rsid w:val="00BA1C90"/>
    <w:rsid w:val="00BA1E35"/>
    <w:rsid w:val="00BA23F8"/>
    <w:rsid w:val="00BA2837"/>
    <w:rsid w:val="00BA373D"/>
    <w:rsid w:val="00BA39EF"/>
    <w:rsid w:val="00BA3F33"/>
    <w:rsid w:val="00BA4285"/>
    <w:rsid w:val="00BA48A6"/>
    <w:rsid w:val="00BA4E25"/>
    <w:rsid w:val="00BA540E"/>
    <w:rsid w:val="00BA564B"/>
    <w:rsid w:val="00BA5FC5"/>
    <w:rsid w:val="00BA6511"/>
    <w:rsid w:val="00BA68D1"/>
    <w:rsid w:val="00BA738C"/>
    <w:rsid w:val="00BA76A1"/>
    <w:rsid w:val="00BA7B16"/>
    <w:rsid w:val="00BA7BEB"/>
    <w:rsid w:val="00BB0183"/>
    <w:rsid w:val="00BB0360"/>
    <w:rsid w:val="00BB0A10"/>
    <w:rsid w:val="00BB0C4C"/>
    <w:rsid w:val="00BB12CB"/>
    <w:rsid w:val="00BB13EE"/>
    <w:rsid w:val="00BB145D"/>
    <w:rsid w:val="00BB151B"/>
    <w:rsid w:val="00BB192B"/>
    <w:rsid w:val="00BB20B4"/>
    <w:rsid w:val="00BB2B52"/>
    <w:rsid w:val="00BB2F88"/>
    <w:rsid w:val="00BB30C5"/>
    <w:rsid w:val="00BB37CF"/>
    <w:rsid w:val="00BB3804"/>
    <w:rsid w:val="00BB3C0C"/>
    <w:rsid w:val="00BB3DBB"/>
    <w:rsid w:val="00BB4110"/>
    <w:rsid w:val="00BB4467"/>
    <w:rsid w:val="00BB47AD"/>
    <w:rsid w:val="00BB4892"/>
    <w:rsid w:val="00BB4A90"/>
    <w:rsid w:val="00BB4E3E"/>
    <w:rsid w:val="00BB4F1F"/>
    <w:rsid w:val="00BB5041"/>
    <w:rsid w:val="00BB5107"/>
    <w:rsid w:val="00BB5681"/>
    <w:rsid w:val="00BB5762"/>
    <w:rsid w:val="00BB5825"/>
    <w:rsid w:val="00BB5ABD"/>
    <w:rsid w:val="00BB7888"/>
    <w:rsid w:val="00BC0E00"/>
    <w:rsid w:val="00BC0EDD"/>
    <w:rsid w:val="00BC161A"/>
    <w:rsid w:val="00BC2087"/>
    <w:rsid w:val="00BC21EB"/>
    <w:rsid w:val="00BC2A3D"/>
    <w:rsid w:val="00BC2C31"/>
    <w:rsid w:val="00BC2DD1"/>
    <w:rsid w:val="00BC2FBD"/>
    <w:rsid w:val="00BC33AF"/>
    <w:rsid w:val="00BC352B"/>
    <w:rsid w:val="00BC3E0F"/>
    <w:rsid w:val="00BC3FD5"/>
    <w:rsid w:val="00BC4199"/>
    <w:rsid w:val="00BC4AC9"/>
    <w:rsid w:val="00BC4E55"/>
    <w:rsid w:val="00BC4F97"/>
    <w:rsid w:val="00BC51CA"/>
    <w:rsid w:val="00BC6523"/>
    <w:rsid w:val="00BC6CA4"/>
    <w:rsid w:val="00BD03E6"/>
    <w:rsid w:val="00BD1B91"/>
    <w:rsid w:val="00BD1F80"/>
    <w:rsid w:val="00BD22D2"/>
    <w:rsid w:val="00BD23CE"/>
    <w:rsid w:val="00BD2716"/>
    <w:rsid w:val="00BD2A6B"/>
    <w:rsid w:val="00BD2DA2"/>
    <w:rsid w:val="00BD3398"/>
    <w:rsid w:val="00BD3ABD"/>
    <w:rsid w:val="00BD3DE1"/>
    <w:rsid w:val="00BD4824"/>
    <w:rsid w:val="00BD4E78"/>
    <w:rsid w:val="00BD53B9"/>
    <w:rsid w:val="00BD5AD7"/>
    <w:rsid w:val="00BD6056"/>
    <w:rsid w:val="00BD6284"/>
    <w:rsid w:val="00BD6500"/>
    <w:rsid w:val="00BD6750"/>
    <w:rsid w:val="00BD699E"/>
    <w:rsid w:val="00BD6B5E"/>
    <w:rsid w:val="00BD6E13"/>
    <w:rsid w:val="00BD6F62"/>
    <w:rsid w:val="00BD78A8"/>
    <w:rsid w:val="00BD791E"/>
    <w:rsid w:val="00BD7D5E"/>
    <w:rsid w:val="00BE0579"/>
    <w:rsid w:val="00BE076D"/>
    <w:rsid w:val="00BE2623"/>
    <w:rsid w:val="00BE2867"/>
    <w:rsid w:val="00BE2D2E"/>
    <w:rsid w:val="00BE3231"/>
    <w:rsid w:val="00BE3815"/>
    <w:rsid w:val="00BE3B06"/>
    <w:rsid w:val="00BE3E9E"/>
    <w:rsid w:val="00BE6256"/>
    <w:rsid w:val="00BE6441"/>
    <w:rsid w:val="00BE65F8"/>
    <w:rsid w:val="00BE66AA"/>
    <w:rsid w:val="00BE6ED7"/>
    <w:rsid w:val="00BE7263"/>
    <w:rsid w:val="00BE7998"/>
    <w:rsid w:val="00BE7DB4"/>
    <w:rsid w:val="00BF0073"/>
    <w:rsid w:val="00BF1050"/>
    <w:rsid w:val="00BF107C"/>
    <w:rsid w:val="00BF1A48"/>
    <w:rsid w:val="00BF1F30"/>
    <w:rsid w:val="00BF2A63"/>
    <w:rsid w:val="00BF3420"/>
    <w:rsid w:val="00BF3AE7"/>
    <w:rsid w:val="00BF3B18"/>
    <w:rsid w:val="00BF3B3C"/>
    <w:rsid w:val="00BF3C84"/>
    <w:rsid w:val="00BF3E3B"/>
    <w:rsid w:val="00BF47B0"/>
    <w:rsid w:val="00BF4C26"/>
    <w:rsid w:val="00BF4CD2"/>
    <w:rsid w:val="00BF500F"/>
    <w:rsid w:val="00BF5746"/>
    <w:rsid w:val="00BF5D11"/>
    <w:rsid w:val="00BF66AA"/>
    <w:rsid w:val="00BF6735"/>
    <w:rsid w:val="00BF68DB"/>
    <w:rsid w:val="00BF6B88"/>
    <w:rsid w:val="00BF6F01"/>
    <w:rsid w:val="00BF7503"/>
    <w:rsid w:val="00BF75C0"/>
    <w:rsid w:val="00BF77C1"/>
    <w:rsid w:val="00BF7854"/>
    <w:rsid w:val="00BF7A51"/>
    <w:rsid w:val="00C002BC"/>
    <w:rsid w:val="00C005F1"/>
    <w:rsid w:val="00C0086D"/>
    <w:rsid w:val="00C00B28"/>
    <w:rsid w:val="00C00C4E"/>
    <w:rsid w:val="00C01A99"/>
    <w:rsid w:val="00C02377"/>
    <w:rsid w:val="00C02444"/>
    <w:rsid w:val="00C03504"/>
    <w:rsid w:val="00C03E35"/>
    <w:rsid w:val="00C054AE"/>
    <w:rsid w:val="00C057E1"/>
    <w:rsid w:val="00C05AEF"/>
    <w:rsid w:val="00C05B13"/>
    <w:rsid w:val="00C06063"/>
    <w:rsid w:val="00C06A37"/>
    <w:rsid w:val="00C07209"/>
    <w:rsid w:val="00C075E5"/>
    <w:rsid w:val="00C07F01"/>
    <w:rsid w:val="00C106A7"/>
    <w:rsid w:val="00C10793"/>
    <w:rsid w:val="00C11370"/>
    <w:rsid w:val="00C11D7F"/>
    <w:rsid w:val="00C11FD2"/>
    <w:rsid w:val="00C1218D"/>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6E4D"/>
    <w:rsid w:val="00C179AB"/>
    <w:rsid w:val="00C17D43"/>
    <w:rsid w:val="00C21198"/>
    <w:rsid w:val="00C2153C"/>
    <w:rsid w:val="00C219E5"/>
    <w:rsid w:val="00C21BF9"/>
    <w:rsid w:val="00C2221B"/>
    <w:rsid w:val="00C224E1"/>
    <w:rsid w:val="00C22EF4"/>
    <w:rsid w:val="00C230C6"/>
    <w:rsid w:val="00C23328"/>
    <w:rsid w:val="00C2430E"/>
    <w:rsid w:val="00C2539F"/>
    <w:rsid w:val="00C25727"/>
    <w:rsid w:val="00C25E66"/>
    <w:rsid w:val="00C25F18"/>
    <w:rsid w:val="00C26B3B"/>
    <w:rsid w:val="00C26B82"/>
    <w:rsid w:val="00C26E91"/>
    <w:rsid w:val="00C275CC"/>
    <w:rsid w:val="00C276C6"/>
    <w:rsid w:val="00C27DC6"/>
    <w:rsid w:val="00C30821"/>
    <w:rsid w:val="00C31179"/>
    <w:rsid w:val="00C31D72"/>
    <w:rsid w:val="00C32BBF"/>
    <w:rsid w:val="00C330F1"/>
    <w:rsid w:val="00C333C0"/>
    <w:rsid w:val="00C3349C"/>
    <w:rsid w:val="00C33729"/>
    <w:rsid w:val="00C33E0E"/>
    <w:rsid w:val="00C33F66"/>
    <w:rsid w:val="00C33F6C"/>
    <w:rsid w:val="00C342AD"/>
    <w:rsid w:val="00C3555A"/>
    <w:rsid w:val="00C359F8"/>
    <w:rsid w:val="00C36C67"/>
    <w:rsid w:val="00C370FB"/>
    <w:rsid w:val="00C371D2"/>
    <w:rsid w:val="00C37480"/>
    <w:rsid w:val="00C375D6"/>
    <w:rsid w:val="00C37CD2"/>
    <w:rsid w:val="00C41EBF"/>
    <w:rsid w:val="00C42414"/>
    <w:rsid w:val="00C438C1"/>
    <w:rsid w:val="00C444D0"/>
    <w:rsid w:val="00C44788"/>
    <w:rsid w:val="00C44D68"/>
    <w:rsid w:val="00C44FF3"/>
    <w:rsid w:val="00C45983"/>
    <w:rsid w:val="00C45A70"/>
    <w:rsid w:val="00C46B4D"/>
    <w:rsid w:val="00C47165"/>
    <w:rsid w:val="00C47FB1"/>
    <w:rsid w:val="00C5033F"/>
    <w:rsid w:val="00C50585"/>
    <w:rsid w:val="00C50DB1"/>
    <w:rsid w:val="00C51BB8"/>
    <w:rsid w:val="00C52924"/>
    <w:rsid w:val="00C52ED1"/>
    <w:rsid w:val="00C52FF2"/>
    <w:rsid w:val="00C535AE"/>
    <w:rsid w:val="00C54B94"/>
    <w:rsid w:val="00C55284"/>
    <w:rsid w:val="00C55523"/>
    <w:rsid w:val="00C559A6"/>
    <w:rsid w:val="00C55A94"/>
    <w:rsid w:val="00C55E7D"/>
    <w:rsid w:val="00C56426"/>
    <w:rsid w:val="00C57CE7"/>
    <w:rsid w:val="00C60D76"/>
    <w:rsid w:val="00C61555"/>
    <w:rsid w:val="00C6174E"/>
    <w:rsid w:val="00C61846"/>
    <w:rsid w:val="00C61849"/>
    <w:rsid w:val="00C61DDC"/>
    <w:rsid w:val="00C622A9"/>
    <w:rsid w:val="00C63145"/>
    <w:rsid w:val="00C63566"/>
    <w:rsid w:val="00C643AB"/>
    <w:rsid w:val="00C64DA2"/>
    <w:rsid w:val="00C65181"/>
    <w:rsid w:val="00C65594"/>
    <w:rsid w:val="00C65833"/>
    <w:rsid w:val="00C65A5C"/>
    <w:rsid w:val="00C65A81"/>
    <w:rsid w:val="00C664A8"/>
    <w:rsid w:val="00C664F9"/>
    <w:rsid w:val="00C66C0A"/>
    <w:rsid w:val="00C670BE"/>
    <w:rsid w:val="00C67418"/>
    <w:rsid w:val="00C71FA4"/>
    <w:rsid w:val="00C72458"/>
    <w:rsid w:val="00C7254C"/>
    <w:rsid w:val="00C72939"/>
    <w:rsid w:val="00C73C41"/>
    <w:rsid w:val="00C73F55"/>
    <w:rsid w:val="00C73F79"/>
    <w:rsid w:val="00C7438C"/>
    <w:rsid w:val="00C74726"/>
    <w:rsid w:val="00C747C0"/>
    <w:rsid w:val="00C74B8E"/>
    <w:rsid w:val="00C74CD2"/>
    <w:rsid w:val="00C74DAD"/>
    <w:rsid w:val="00C75B3C"/>
    <w:rsid w:val="00C75D9B"/>
    <w:rsid w:val="00C75DC6"/>
    <w:rsid w:val="00C75EBA"/>
    <w:rsid w:val="00C766D6"/>
    <w:rsid w:val="00C76766"/>
    <w:rsid w:val="00C76C1C"/>
    <w:rsid w:val="00C77155"/>
    <w:rsid w:val="00C772B6"/>
    <w:rsid w:val="00C773D8"/>
    <w:rsid w:val="00C773F0"/>
    <w:rsid w:val="00C774AB"/>
    <w:rsid w:val="00C7757D"/>
    <w:rsid w:val="00C77642"/>
    <w:rsid w:val="00C7798F"/>
    <w:rsid w:val="00C779AE"/>
    <w:rsid w:val="00C77AF6"/>
    <w:rsid w:val="00C77C0E"/>
    <w:rsid w:val="00C80052"/>
    <w:rsid w:val="00C8036C"/>
    <w:rsid w:val="00C804F6"/>
    <w:rsid w:val="00C80C7E"/>
    <w:rsid w:val="00C81175"/>
    <w:rsid w:val="00C817AD"/>
    <w:rsid w:val="00C818AE"/>
    <w:rsid w:val="00C81936"/>
    <w:rsid w:val="00C81DF2"/>
    <w:rsid w:val="00C82145"/>
    <w:rsid w:val="00C82707"/>
    <w:rsid w:val="00C828DA"/>
    <w:rsid w:val="00C8366E"/>
    <w:rsid w:val="00C8384A"/>
    <w:rsid w:val="00C83C97"/>
    <w:rsid w:val="00C83D22"/>
    <w:rsid w:val="00C845C8"/>
    <w:rsid w:val="00C8492D"/>
    <w:rsid w:val="00C85560"/>
    <w:rsid w:val="00C857A5"/>
    <w:rsid w:val="00C859EE"/>
    <w:rsid w:val="00C8623B"/>
    <w:rsid w:val="00C862D3"/>
    <w:rsid w:val="00C86A9F"/>
    <w:rsid w:val="00C87261"/>
    <w:rsid w:val="00C8744B"/>
    <w:rsid w:val="00C9049A"/>
    <w:rsid w:val="00C904B4"/>
    <w:rsid w:val="00C90B87"/>
    <w:rsid w:val="00C9112C"/>
    <w:rsid w:val="00C91602"/>
    <w:rsid w:val="00C928DF"/>
    <w:rsid w:val="00C92C04"/>
    <w:rsid w:val="00C92C74"/>
    <w:rsid w:val="00C92E43"/>
    <w:rsid w:val="00C932B4"/>
    <w:rsid w:val="00C933E6"/>
    <w:rsid w:val="00C93412"/>
    <w:rsid w:val="00C93549"/>
    <w:rsid w:val="00C93BB1"/>
    <w:rsid w:val="00C93DA2"/>
    <w:rsid w:val="00C95371"/>
    <w:rsid w:val="00C95797"/>
    <w:rsid w:val="00C95FDE"/>
    <w:rsid w:val="00C960B4"/>
    <w:rsid w:val="00C962BA"/>
    <w:rsid w:val="00C964E1"/>
    <w:rsid w:val="00C9652B"/>
    <w:rsid w:val="00C96695"/>
    <w:rsid w:val="00C96B43"/>
    <w:rsid w:val="00C97EDF"/>
    <w:rsid w:val="00CA01F2"/>
    <w:rsid w:val="00CA050F"/>
    <w:rsid w:val="00CA07FA"/>
    <w:rsid w:val="00CA20D3"/>
    <w:rsid w:val="00CA236F"/>
    <w:rsid w:val="00CA2420"/>
    <w:rsid w:val="00CA28D5"/>
    <w:rsid w:val="00CA2978"/>
    <w:rsid w:val="00CA297B"/>
    <w:rsid w:val="00CA29FF"/>
    <w:rsid w:val="00CA2F98"/>
    <w:rsid w:val="00CA35D8"/>
    <w:rsid w:val="00CA36D0"/>
    <w:rsid w:val="00CA43B9"/>
    <w:rsid w:val="00CA4434"/>
    <w:rsid w:val="00CA44DF"/>
    <w:rsid w:val="00CA4548"/>
    <w:rsid w:val="00CA4D58"/>
    <w:rsid w:val="00CA50B7"/>
    <w:rsid w:val="00CA556B"/>
    <w:rsid w:val="00CA570D"/>
    <w:rsid w:val="00CA5C91"/>
    <w:rsid w:val="00CA5FFD"/>
    <w:rsid w:val="00CA69BA"/>
    <w:rsid w:val="00CA6D6A"/>
    <w:rsid w:val="00CA70C9"/>
    <w:rsid w:val="00CA72EF"/>
    <w:rsid w:val="00CA7D43"/>
    <w:rsid w:val="00CB0276"/>
    <w:rsid w:val="00CB0504"/>
    <w:rsid w:val="00CB095F"/>
    <w:rsid w:val="00CB0C9A"/>
    <w:rsid w:val="00CB0CCC"/>
    <w:rsid w:val="00CB1461"/>
    <w:rsid w:val="00CB1674"/>
    <w:rsid w:val="00CB1BC0"/>
    <w:rsid w:val="00CB1CF6"/>
    <w:rsid w:val="00CB227A"/>
    <w:rsid w:val="00CB389F"/>
    <w:rsid w:val="00CB39F4"/>
    <w:rsid w:val="00CB3B70"/>
    <w:rsid w:val="00CB4954"/>
    <w:rsid w:val="00CB5A7C"/>
    <w:rsid w:val="00CB62C1"/>
    <w:rsid w:val="00CB655B"/>
    <w:rsid w:val="00CB6EC9"/>
    <w:rsid w:val="00CB789D"/>
    <w:rsid w:val="00CC028B"/>
    <w:rsid w:val="00CC0509"/>
    <w:rsid w:val="00CC0B74"/>
    <w:rsid w:val="00CC13F8"/>
    <w:rsid w:val="00CC1624"/>
    <w:rsid w:val="00CC1D72"/>
    <w:rsid w:val="00CC27DC"/>
    <w:rsid w:val="00CC2882"/>
    <w:rsid w:val="00CC3BFC"/>
    <w:rsid w:val="00CC42CE"/>
    <w:rsid w:val="00CC4413"/>
    <w:rsid w:val="00CC4A4E"/>
    <w:rsid w:val="00CC4DE8"/>
    <w:rsid w:val="00CC599C"/>
    <w:rsid w:val="00CC5B01"/>
    <w:rsid w:val="00CC5FF1"/>
    <w:rsid w:val="00CC7091"/>
    <w:rsid w:val="00CC7AC6"/>
    <w:rsid w:val="00CC7AEB"/>
    <w:rsid w:val="00CC7B68"/>
    <w:rsid w:val="00CC7DAD"/>
    <w:rsid w:val="00CD05D2"/>
    <w:rsid w:val="00CD093D"/>
    <w:rsid w:val="00CD09AD"/>
    <w:rsid w:val="00CD0B27"/>
    <w:rsid w:val="00CD0D67"/>
    <w:rsid w:val="00CD174E"/>
    <w:rsid w:val="00CD19AE"/>
    <w:rsid w:val="00CD1B2B"/>
    <w:rsid w:val="00CD1CF5"/>
    <w:rsid w:val="00CD26E8"/>
    <w:rsid w:val="00CD2853"/>
    <w:rsid w:val="00CD2B41"/>
    <w:rsid w:val="00CD2DCC"/>
    <w:rsid w:val="00CD2E36"/>
    <w:rsid w:val="00CD3D7F"/>
    <w:rsid w:val="00CD458F"/>
    <w:rsid w:val="00CD4624"/>
    <w:rsid w:val="00CD48E8"/>
    <w:rsid w:val="00CD4B72"/>
    <w:rsid w:val="00CD4E31"/>
    <w:rsid w:val="00CD54DD"/>
    <w:rsid w:val="00CD5585"/>
    <w:rsid w:val="00CD5CCA"/>
    <w:rsid w:val="00CD61C6"/>
    <w:rsid w:val="00CD6646"/>
    <w:rsid w:val="00CD718D"/>
    <w:rsid w:val="00CD753E"/>
    <w:rsid w:val="00CE01E5"/>
    <w:rsid w:val="00CE0335"/>
    <w:rsid w:val="00CE083C"/>
    <w:rsid w:val="00CE0927"/>
    <w:rsid w:val="00CE09A3"/>
    <w:rsid w:val="00CE09E9"/>
    <w:rsid w:val="00CE0EBB"/>
    <w:rsid w:val="00CE108D"/>
    <w:rsid w:val="00CE150D"/>
    <w:rsid w:val="00CE155E"/>
    <w:rsid w:val="00CE19C4"/>
    <w:rsid w:val="00CE25FB"/>
    <w:rsid w:val="00CE34C4"/>
    <w:rsid w:val="00CE3E2D"/>
    <w:rsid w:val="00CE4329"/>
    <w:rsid w:val="00CE530F"/>
    <w:rsid w:val="00CE58A2"/>
    <w:rsid w:val="00CE62CB"/>
    <w:rsid w:val="00CE6A65"/>
    <w:rsid w:val="00CE6AE3"/>
    <w:rsid w:val="00CE6AE7"/>
    <w:rsid w:val="00CE6FD1"/>
    <w:rsid w:val="00CE766C"/>
    <w:rsid w:val="00CE7A4F"/>
    <w:rsid w:val="00CE7B9B"/>
    <w:rsid w:val="00CE7D10"/>
    <w:rsid w:val="00CE7D80"/>
    <w:rsid w:val="00CF1075"/>
    <w:rsid w:val="00CF1248"/>
    <w:rsid w:val="00CF148B"/>
    <w:rsid w:val="00CF2A91"/>
    <w:rsid w:val="00CF2B97"/>
    <w:rsid w:val="00CF3325"/>
    <w:rsid w:val="00CF4881"/>
    <w:rsid w:val="00CF4A73"/>
    <w:rsid w:val="00CF4A8F"/>
    <w:rsid w:val="00CF5071"/>
    <w:rsid w:val="00CF528F"/>
    <w:rsid w:val="00CF60A5"/>
    <w:rsid w:val="00CF675E"/>
    <w:rsid w:val="00CF6DE9"/>
    <w:rsid w:val="00CF70F6"/>
    <w:rsid w:val="00CF73CA"/>
    <w:rsid w:val="00CF78A7"/>
    <w:rsid w:val="00CF7A00"/>
    <w:rsid w:val="00D00029"/>
    <w:rsid w:val="00D0046E"/>
    <w:rsid w:val="00D005C0"/>
    <w:rsid w:val="00D00D9F"/>
    <w:rsid w:val="00D00EB6"/>
    <w:rsid w:val="00D02072"/>
    <w:rsid w:val="00D0255A"/>
    <w:rsid w:val="00D02C0B"/>
    <w:rsid w:val="00D02C9A"/>
    <w:rsid w:val="00D033E5"/>
    <w:rsid w:val="00D03572"/>
    <w:rsid w:val="00D03A56"/>
    <w:rsid w:val="00D03F4E"/>
    <w:rsid w:val="00D0474D"/>
    <w:rsid w:val="00D04866"/>
    <w:rsid w:val="00D049DE"/>
    <w:rsid w:val="00D04B9A"/>
    <w:rsid w:val="00D04FF9"/>
    <w:rsid w:val="00D05161"/>
    <w:rsid w:val="00D05547"/>
    <w:rsid w:val="00D05AA5"/>
    <w:rsid w:val="00D070E3"/>
    <w:rsid w:val="00D07A5A"/>
    <w:rsid w:val="00D07DCF"/>
    <w:rsid w:val="00D10591"/>
    <w:rsid w:val="00D10B52"/>
    <w:rsid w:val="00D10D66"/>
    <w:rsid w:val="00D11196"/>
    <w:rsid w:val="00D116C2"/>
    <w:rsid w:val="00D11765"/>
    <w:rsid w:val="00D11A5A"/>
    <w:rsid w:val="00D124BB"/>
    <w:rsid w:val="00D12541"/>
    <w:rsid w:val="00D13498"/>
    <w:rsid w:val="00D1364F"/>
    <w:rsid w:val="00D141B7"/>
    <w:rsid w:val="00D1452C"/>
    <w:rsid w:val="00D14855"/>
    <w:rsid w:val="00D14902"/>
    <w:rsid w:val="00D14D00"/>
    <w:rsid w:val="00D15400"/>
    <w:rsid w:val="00D1595F"/>
    <w:rsid w:val="00D15EC6"/>
    <w:rsid w:val="00D1768A"/>
    <w:rsid w:val="00D176E4"/>
    <w:rsid w:val="00D177F3"/>
    <w:rsid w:val="00D17BD5"/>
    <w:rsid w:val="00D2060F"/>
    <w:rsid w:val="00D207F3"/>
    <w:rsid w:val="00D20B50"/>
    <w:rsid w:val="00D20D7E"/>
    <w:rsid w:val="00D20DB1"/>
    <w:rsid w:val="00D20F17"/>
    <w:rsid w:val="00D211B8"/>
    <w:rsid w:val="00D211E7"/>
    <w:rsid w:val="00D2139F"/>
    <w:rsid w:val="00D21CE0"/>
    <w:rsid w:val="00D229EE"/>
    <w:rsid w:val="00D232EB"/>
    <w:rsid w:val="00D24191"/>
    <w:rsid w:val="00D24B9A"/>
    <w:rsid w:val="00D24D0D"/>
    <w:rsid w:val="00D25C7D"/>
    <w:rsid w:val="00D26A62"/>
    <w:rsid w:val="00D26F59"/>
    <w:rsid w:val="00D27362"/>
    <w:rsid w:val="00D27665"/>
    <w:rsid w:val="00D3004D"/>
    <w:rsid w:val="00D3093A"/>
    <w:rsid w:val="00D31086"/>
    <w:rsid w:val="00D31AEE"/>
    <w:rsid w:val="00D31C65"/>
    <w:rsid w:val="00D33D20"/>
    <w:rsid w:val="00D33E2D"/>
    <w:rsid w:val="00D35A00"/>
    <w:rsid w:val="00D37505"/>
    <w:rsid w:val="00D3791E"/>
    <w:rsid w:val="00D40618"/>
    <w:rsid w:val="00D40C70"/>
    <w:rsid w:val="00D411A8"/>
    <w:rsid w:val="00D41526"/>
    <w:rsid w:val="00D41BE8"/>
    <w:rsid w:val="00D42129"/>
    <w:rsid w:val="00D42858"/>
    <w:rsid w:val="00D42AAA"/>
    <w:rsid w:val="00D42F6A"/>
    <w:rsid w:val="00D4313E"/>
    <w:rsid w:val="00D4324D"/>
    <w:rsid w:val="00D43292"/>
    <w:rsid w:val="00D434E8"/>
    <w:rsid w:val="00D43E37"/>
    <w:rsid w:val="00D43FF6"/>
    <w:rsid w:val="00D44C3D"/>
    <w:rsid w:val="00D44D18"/>
    <w:rsid w:val="00D45129"/>
    <w:rsid w:val="00D455CE"/>
    <w:rsid w:val="00D456DF"/>
    <w:rsid w:val="00D45875"/>
    <w:rsid w:val="00D45A05"/>
    <w:rsid w:val="00D45B5D"/>
    <w:rsid w:val="00D45C6E"/>
    <w:rsid w:val="00D45FD5"/>
    <w:rsid w:val="00D47347"/>
    <w:rsid w:val="00D4766B"/>
    <w:rsid w:val="00D4787E"/>
    <w:rsid w:val="00D5024C"/>
    <w:rsid w:val="00D50306"/>
    <w:rsid w:val="00D504B3"/>
    <w:rsid w:val="00D504FA"/>
    <w:rsid w:val="00D50545"/>
    <w:rsid w:val="00D50759"/>
    <w:rsid w:val="00D50DE6"/>
    <w:rsid w:val="00D510AF"/>
    <w:rsid w:val="00D520E4"/>
    <w:rsid w:val="00D525E6"/>
    <w:rsid w:val="00D5274C"/>
    <w:rsid w:val="00D52A8E"/>
    <w:rsid w:val="00D52C45"/>
    <w:rsid w:val="00D532AA"/>
    <w:rsid w:val="00D5528C"/>
    <w:rsid w:val="00D553EE"/>
    <w:rsid w:val="00D55896"/>
    <w:rsid w:val="00D55DF8"/>
    <w:rsid w:val="00D5628C"/>
    <w:rsid w:val="00D56839"/>
    <w:rsid w:val="00D56E27"/>
    <w:rsid w:val="00D56F65"/>
    <w:rsid w:val="00D57631"/>
    <w:rsid w:val="00D57767"/>
    <w:rsid w:val="00D57D2E"/>
    <w:rsid w:val="00D57DFA"/>
    <w:rsid w:val="00D609EB"/>
    <w:rsid w:val="00D61796"/>
    <w:rsid w:val="00D61AF7"/>
    <w:rsid w:val="00D61B3C"/>
    <w:rsid w:val="00D61C95"/>
    <w:rsid w:val="00D61CAE"/>
    <w:rsid w:val="00D61CD0"/>
    <w:rsid w:val="00D61EFE"/>
    <w:rsid w:val="00D62A55"/>
    <w:rsid w:val="00D62E03"/>
    <w:rsid w:val="00D654AC"/>
    <w:rsid w:val="00D65DF1"/>
    <w:rsid w:val="00D65E10"/>
    <w:rsid w:val="00D65E17"/>
    <w:rsid w:val="00D66298"/>
    <w:rsid w:val="00D674BD"/>
    <w:rsid w:val="00D67810"/>
    <w:rsid w:val="00D70843"/>
    <w:rsid w:val="00D709BE"/>
    <w:rsid w:val="00D70EE0"/>
    <w:rsid w:val="00D7114E"/>
    <w:rsid w:val="00D713B8"/>
    <w:rsid w:val="00D716B4"/>
    <w:rsid w:val="00D71CD6"/>
    <w:rsid w:val="00D72624"/>
    <w:rsid w:val="00D7343D"/>
    <w:rsid w:val="00D735D0"/>
    <w:rsid w:val="00D736BF"/>
    <w:rsid w:val="00D73C8F"/>
    <w:rsid w:val="00D740AB"/>
    <w:rsid w:val="00D74440"/>
    <w:rsid w:val="00D74885"/>
    <w:rsid w:val="00D74AD9"/>
    <w:rsid w:val="00D75225"/>
    <w:rsid w:val="00D752BE"/>
    <w:rsid w:val="00D75901"/>
    <w:rsid w:val="00D759F9"/>
    <w:rsid w:val="00D75EA2"/>
    <w:rsid w:val="00D763F6"/>
    <w:rsid w:val="00D76750"/>
    <w:rsid w:val="00D76976"/>
    <w:rsid w:val="00D76C59"/>
    <w:rsid w:val="00D76FC9"/>
    <w:rsid w:val="00D76FFC"/>
    <w:rsid w:val="00D7706F"/>
    <w:rsid w:val="00D7736B"/>
    <w:rsid w:val="00D77C3E"/>
    <w:rsid w:val="00D77F7A"/>
    <w:rsid w:val="00D8012B"/>
    <w:rsid w:val="00D803C1"/>
    <w:rsid w:val="00D81137"/>
    <w:rsid w:val="00D81703"/>
    <w:rsid w:val="00D82109"/>
    <w:rsid w:val="00D821DB"/>
    <w:rsid w:val="00D82F07"/>
    <w:rsid w:val="00D83E27"/>
    <w:rsid w:val="00D83EC7"/>
    <w:rsid w:val="00D8413F"/>
    <w:rsid w:val="00D842C9"/>
    <w:rsid w:val="00D846DB"/>
    <w:rsid w:val="00D85D59"/>
    <w:rsid w:val="00D86FF5"/>
    <w:rsid w:val="00D871B7"/>
    <w:rsid w:val="00D900BF"/>
    <w:rsid w:val="00D907EF"/>
    <w:rsid w:val="00D9089A"/>
    <w:rsid w:val="00D908EF"/>
    <w:rsid w:val="00D914EC"/>
    <w:rsid w:val="00D915D7"/>
    <w:rsid w:val="00D915EA"/>
    <w:rsid w:val="00D918BB"/>
    <w:rsid w:val="00D91C67"/>
    <w:rsid w:val="00D920B0"/>
    <w:rsid w:val="00D92461"/>
    <w:rsid w:val="00D9255B"/>
    <w:rsid w:val="00D92E7D"/>
    <w:rsid w:val="00D92F91"/>
    <w:rsid w:val="00D93253"/>
    <w:rsid w:val="00D9388B"/>
    <w:rsid w:val="00D94967"/>
    <w:rsid w:val="00D94B48"/>
    <w:rsid w:val="00D950AF"/>
    <w:rsid w:val="00D954A7"/>
    <w:rsid w:val="00D9611D"/>
    <w:rsid w:val="00D96736"/>
    <w:rsid w:val="00D9687D"/>
    <w:rsid w:val="00D96FB7"/>
    <w:rsid w:val="00D9754B"/>
    <w:rsid w:val="00D975C8"/>
    <w:rsid w:val="00D97839"/>
    <w:rsid w:val="00D97A63"/>
    <w:rsid w:val="00D97DAC"/>
    <w:rsid w:val="00DA0385"/>
    <w:rsid w:val="00DA0C5C"/>
    <w:rsid w:val="00DA1099"/>
    <w:rsid w:val="00DA136F"/>
    <w:rsid w:val="00DA14FA"/>
    <w:rsid w:val="00DA17C8"/>
    <w:rsid w:val="00DA2310"/>
    <w:rsid w:val="00DA2808"/>
    <w:rsid w:val="00DA2C11"/>
    <w:rsid w:val="00DA30A4"/>
    <w:rsid w:val="00DA4957"/>
    <w:rsid w:val="00DA4D34"/>
    <w:rsid w:val="00DA5FA3"/>
    <w:rsid w:val="00DA6B4A"/>
    <w:rsid w:val="00DA6E5C"/>
    <w:rsid w:val="00DA71D7"/>
    <w:rsid w:val="00DA71E4"/>
    <w:rsid w:val="00DA7D75"/>
    <w:rsid w:val="00DA7D98"/>
    <w:rsid w:val="00DB11EA"/>
    <w:rsid w:val="00DB1301"/>
    <w:rsid w:val="00DB1929"/>
    <w:rsid w:val="00DB1B93"/>
    <w:rsid w:val="00DB1CC4"/>
    <w:rsid w:val="00DB213E"/>
    <w:rsid w:val="00DB2246"/>
    <w:rsid w:val="00DB229F"/>
    <w:rsid w:val="00DB22E5"/>
    <w:rsid w:val="00DB2CE7"/>
    <w:rsid w:val="00DB2CFD"/>
    <w:rsid w:val="00DB2F96"/>
    <w:rsid w:val="00DB30B9"/>
    <w:rsid w:val="00DB402B"/>
    <w:rsid w:val="00DB44A0"/>
    <w:rsid w:val="00DB46E9"/>
    <w:rsid w:val="00DB4824"/>
    <w:rsid w:val="00DB4B1F"/>
    <w:rsid w:val="00DB596D"/>
    <w:rsid w:val="00DB657B"/>
    <w:rsid w:val="00DB6732"/>
    <w:rsid w:val="00DB67A1"/>
    <w:rsid w:val="00DB6D1D"/>
    <w:rsid w:val="00DB6FA4"/>
    <w:rsid w:val="00DB71FF"/>
    <w:rsid w:val="00DB7333"/>
    <w:rsid w:val="00DB767A"/>
    <w:rsid w:val="00DB7C82"/>
    <w:rsid w:val="00DB7D42"/>
    <w:rsid w:val="00DB7E10"/>
    <w:rsid w:val="00DC02ED"/>
    <w:rsid w:val="00DC0B35"/>
    <w:rsid w:val="00DC11B4"/>
    <w:rsid w:val="00DC13A8"/>
    <w:rsid w:val="00DC1874"/>
    <w:rsid w:val="00DC1D83"/>
    <w:rsid w:val="00DC1E8B"/>
    <w:rsid w:val="00DC2313"/>
    <w:rsid w:val="00DC270E"/>
    <w:rsid w:val="00DC4668"/>
    <w:rsid w:val="00DC4735"/>
    <w:rsid w:val="00DC4860"/>
    <w:rsid w:val="00DC5853"/>
    <w:rsid w:val="00DC5AB1"/>
    <w:rsid w:val="00DC6138"/>
    <w:rsid w:val="00DC690E"/>
    <w:rsid w:val="00DC6E9B"/>
    <w:rsid w:val="00DC6F4A"/>
    <w:rsid w:val="00DC74A5"/>
    <w:rsid w:val="00DC7743"/>
    <w:rsid w:val="00DC78E0"/>
    <w:rsid w:val="00DC7B40"/>
    <w:rsid w:val="00DD00FC"/>
    <w:rsid w:val="00DD0527"/>
    <w:rsid w:val="00DD076F"/>
    <w:rsid w:val="00DD0C2C"/>
    <w:rsid w:val="00DD0F53"/>
    <w:rsid w:val="00DD12C5"/>
    <w:rsid w:val="00DD155C"/>
    <w:rsid w:val="00DD16D5"/>
    <w:rsid w:val="00DD1AA4"/>
    <w:rsid w:val="00DD20CD"/>
    <w:rsid w:val="00DD2BD0"/>
    <w:rsid w:val="00DD339D"/>
    <w:rsid w:val="00DD35C0"/>
    <w:rsid w:val="00DD380D"/>
    <w:rsid w:val="00DD4023"/>
    <w:rsid w:val="00DD4194"/>
    <w:rsid w:val="00DD41ED"/>
    <w:rsid w:val="00DD4D37"/>
    <w:rsid w:val="00DD4F55"/>
    <w:rsid w:val="00DD5024"/>
    <w:rsid w:val="00DD5129"/>
    <w:rsid w:val="00DD51C0"/>
    <w:rsid w:val="00DD55A4"/>
    <w:rsid w:val="00DD64E7"/>
    <w:rsid w:val="00DD6C37"/>
    <w:rsid w:val="00DD7964"/>
    <w:rsid w:val="00DD7F72"/>
    <w:rsid w:val="00DE011E"/>
    <w:rsid w:val="00DE075A"/>
    <w:rsid w:val="00DE077C"/>
    <w:rsid w:val="00DE08A6"/>
    <w:rsid w:val="00DE0903"/>
    <w:rsid w:val="00DE0E0E"/>
    <w:rsid w:val="00DE18C8"/>
    <w:rsid w:val="00DE1A76"/>
    <w:rsid w:val="00DE1A93"/>
    <w:rsid w:val="00DE1E86"/>
    <w:rsid w:val="00DE241E"/>
    <w:rsid w:val="00DE259B"/>
    <w:rsid w:val="00DE2BA0"/>
    <w:rsid w:val="00DE3129"/>
    <w:rsid w:val="00DE32EC"/>
    <w:rsid w:val="00DE33B3"/>
    <w:rsid w:val="00DE34B6"/>
    <w:rsid w:val="00DE36FA"/>
    <w:rsid w:val="00DE3AEE"/>
    <w:rsid w:val="00DE3E5A"/>
    <w:rsid w:val="00DE5008"/>
    <w:rsid w:val="00DE58E6"/>
    <w:rsid w:val="00DE6138"/>
    <w:rsid w:val="00DE622B"/>
    <w:rsid w:val="00DE6378"/>
    <w:rsid w:val="00DE6537"/>
    <w:rsid w:val="00DE6576"/>
    <w:rsid w:val="00DE6610"/>
    <w:rsid w:val="00DE691D"/>
    <w:rsid w:val="00DE72BD"/>
    <w:rsid w:val="00DE7D97"/>
    <w:rsid w:val="00DE7F39"/>
    <w:rsid w:val="00DF1843"/>
    <w:rsid w:val="00DF1E5C"/>
    <w:rsid w:val="00DF22DD"/>
    <w:rsid w:val="00DF2619"/>
    <w:rsid w:val="00DF3346"/>
    <w:rsid w:val="00DF39EE"/>
    <w:rsid w:val="00DF4108"/>
    <w:rsid w:val="00DF4378"/>
    <w:rsid w:val="00DF4FAE"/>
    <w:rsid w:val="00DF568A"/>
    <w:rsid w:val="00DF58AC"/>
    <w:rsid w:val="00DF5B61"/>
    <w:rsid w:val="00DF5B9F"/>
    <w:rsid w:val="00DF6957"/>
    <w:rsid w:val="00DF6BE6"/>
    <w:rsid w:val="00DF71C5"/>
    <w:rsid w:val="00DF75BF"/>
    <w:rsid w:val="00DF7673"/>
    <w:rsid w:val="00DF7EE6"/>
    <w:rsid w:val="00E0016C"/>
    <w:rsid w:val="00E028B3"/>
    <w:rsid w:val="00E02F8A"/>
    <w:rsid w:val="00E03029"/>
    <w:rsid w:val="00E0379C"/>
    <w:rsid w:val="00E03C0A"/>
    <w:rsid w:val="00E03C92"/>
    <w:rsid w:val="00E03D92"/>
    <w:rsid w:val="00E03E0D"/>
    <w:rsid w:val="00E044FF"/>
    <w:rsid w:val="00E046ED"/>
    <w:rsid w:val="00E04CC4"/>
    <w:rsid w:val="00E054ED"/>
    <w:rsid w:val="00E05719"/>
    <w:rsid w:val="00E05E8F"/>
    <w:rsid w:val="00E068DB"/>
    <w:rsid w:val="00E07645"/>
    <w:rsid w:val="00E07F1A"/>
    <w:rsid w:val="00E1045E"/>
    <w:rsid w:val="00E10DC6"/>
    <w:rsid w:val="00E112F2"/>
    <w:rsid w:val="00E1182F"/>
    <w:rsid w:val="00E11D42"/>
    <w:rsid w:val="00E12049"/>
    <w:rsid w:val="00E12829"/>
    <w:rsid w:val="00E1299C"/>
    <w:rsid w:val="00E137FA"/>
    <w:rsid w:val="00E149BB"/>
    <w:rsid w:val="00E14A8C"/>
    <w:rsid w:val="00E159D7"/>
    <w:rsid w:val="00E16A2C"/>
    <w:rsid w:val="00E16FC8"/>
    <w:rsid w:val="00E1792D"/>
    <w:rsid w:val="00E2042A"/>
    <w:rsid w:val="00E206DB"/>
    <w:rsid w:val="00E208F6"/>
    <w:rsid w:val="00E20FB0"/>
    <w:rsid w:val="00E21132"/>
    <w:rsid w:val="00E212AE"/>
    <w:rsid w:val="00E212BD"/>
    <w:rsid w:val="00E21410"/>
    <w:rsid w:val="00E22337"/>
    <w:rsid w:val="00E227B0"/>
    <w:rsid w:val="00E22AB6"/>
    <w:rsid w:val="00E22C74"/>
    <w:rsid w:val="00E22E35"/>
    <w:rsid w:val="00E23BE1"/>
    <w:rsid w:val="00E23F43"/>
    <w:rsid w:val="00E240D2"/>
    <w:rsid w:val="00E243C3"/>
    <w:rsid w:val="00E24452"/>
    <w:rsid w:val="00E24503"/>
    <w:rsid w:val="00E24FDB"/>
    <w:rsid w:val="00E2530B"/>
    <w:rsid w:val="00E254D1"/>
    <w:rsid w:val="00E25DBF"/>
    <w:rsid w:val="00E2681D"/>
    <w:rsid w:val="00E27DBC"/>
    <w:rsid w:val="00E302BE"/>
    <w:rsid w:val="00E304B5"/>
    <w:rsid w:val="00E30504"/>
    <w:rsid w:val="00E30592"/>
    <w:rsid w:val="00E30FFB"/>
    <w:rsid w:val="00E3126E"/>
    <w:rsid w:val="00E314C3"/>
    <w:rsid w:val="00E321BC"/>
    <w:rsid w:val="00E33AB7"/>
    <w:rsid w:val="00E33E4D"/>
    <w:rsid w:val="00E34685"/>
    <w:rsid w:val="00E34AA6"/>
    <w:rsid w:val="00E34CA3"/>
    <w:rsid w:val="00E34CCF"/>
    <w:rsid w:val="00E3555C"/>
    <w:rsid w:val="00E3576F"/>
    <w:rsid w:val="00E35C2D"/>
    <w:rsid w:val="00E35E1B"/>
    <w:rsid w:val="00E35E6E"/>
    <w:rsid w:val="00E362A8"/>
    <w:rsid w:val="00E36385"/>
    <w:rsid w:val="00E37401"/>
    <w:rsid w:val="00E37FF8"/>
    <w:rsid w:val="00E4010E"/>
    <w:rsid w:val="00E4070B"/>
    <w:rsid w:val="00E40B9F"/>
    <w:rsid w:val="00E41020"/>
    <w:rsid w:val="00E41089"/>
    <w:rsid w:val="00E411B3"/>
    <w:rsid w:val="00E41386"/>
    <w:rsid w:val="00E41559"/>
    <w:rsid w:val="00E4164E"/>
    <w:rsid w:val="00E416AD"/>
    <w:rsid w:val="00E41BBF"/>
    <w:rsid w:val="00E42176"/>
    <w:rsid w:val="00E421D7"/>
    <w:rsid w:val="00E42C68"/>
    <w:rsid w:val="00E43518"/>
    <w:rsid w:val="00E43ECC"/>
    <w:rsid w:val="00E44FDD"/>
    <w:rsid w:val="00E451E1"/>
    <w:rsid w:val="00E4525E"/>
    <w:rsid w:val="00E454F8"/>
    <w:rsid w:val="00E455E7"/>
    <w:rsid w:val="00E45811"/>
    <w:rsid w:val="00E462E5"/>
    <w:rsid w:val="00E46F41"/>
    <w:rsid w:val="00E4780E"/>
    <w:rsid w:val="00E47D3D"/>
    <w:rsid w:val="00E51090"/>
    <w:rsid w:val="00E51485"/>
    <w:rsid w:val="00E51644"/>
    <w:rsid w:val="00E5175D"/>
    <w:rsid w:val="00E51781"/>
    <w:rsid w:val="00E52118"/>
    <w:rsid w:val="00E525FF"/>
    <w:rsid w:val="00E52975"/>
    <w:rsid w:val="00E5347F"/>
    <w:rsid w:val="00E53BBF"/>
    <w:rsid w:val="00E53F2A"/>
    <w:rsid w:val="00E541B9"/>
    <w:rsid w:val="00E5493A"/>
    <w:rsid w:val="00E54A32"/>
    <w:rsid w:val="00E5570C"/>
    <w:rsid w:val="00E55944"/>
    <w:rsid w:val="00E55ABC"/>
    <w:rsid w:val="00E55CD1"/>
    <w:rsid w:val="00E56162"/>
    <w:rsid w:val="00E56C11"/>
    <w:rsid w:val="00E56CAF"/>
    <w:rsid w:val="00E56D92"/>
    <w:rsid w:val="00E579FD"/>
    <w:rsid w:val="00E57B74"/>
    <w:rsid w:val="00E57EBE"/>
    <w:rsid w:val="00E603CE"/>
    <w:rsid w:val="00E6079B"/>
    <w:rsid w:val="00E60A07"/>
    <w:rsid w:val="00E60D51"/>
    <w:rsid w:val="00E61A44"/>
    <w:rsid w:val="00E61C1A"/>
    <w:rsid w:val="00E6288B"/>
    <w:rsid w:val="00E629EF"/>
    <w:rsid w:val="00E62A7C"/>
    <w:rsid w:val="00E62D35"/>
    <w:rsid w:val="00E62D7D"/>
    <w:rsid w:val="00E63340"/>
    <w:rsid w:val="00E64100"/>
    <w:rsid w:val="00E642CF"/>
    <w:rsid w:val="00E6446E"/>
    <w:rsid w:val="00E644A1"/>
    <w:rsid w:val="00E6456C"/>
    <w:rsid w:val="00E64A42"/>
    <w:rsid w:val="00E64B31"/>
    <w:rsid w:val="00E6515F"/>
    <w:rsid w:val="00E6638D"/>
    <w:rsid w:val="00E66EE8"/>
    <w:rsid w:val="00E676C1"/>
    <w:rsid w:val="00E67867"/>
    <w:rsid w:val="00E70978"/>
    <w:rsid w:val="00E70DF8"/>
    <w:rsid w:val="00E71411"/>
    <w:rsid w:val="00E714EE"/>
    <w:rsid w:val="00E71C8A"/>
    <w:rsid w:val="00E71D4E"/>
    <w:rsid w:val="00E71FD9"/>
    <w:rsid w:val="00E7233B"/>
    <w:rsid w:val="00E72B02"/>
    <w:rsid w:val="00E73EE9"/>
    <w:rsid w:val="00E744CF"/>
    <w:rsid w:val="00E74F5B"/>
    <w:rsid w:val="00E75D7D"/>
    <w:rsid w:val="00E760A9"/>
    <w:rsid w:val="00E761C1"/>
    <w:rsid w:val="00E7653F"/>
    <w:rsid w:val="00E7660F"/>
    <w:rsid w:val="00E76868"/>
    <w:rsid w:val="00E76BC3"/>
    <w:rsid w:val="00E76D46"/>
    <w:rsid w:val="00E77131"/>
    <w:rsid w:val="00E7716A"/>
    <w:rsid w:val="00E7755F"/>
    <w:rsid w:val="00E77D28"/>
    <w:rsid w:val="00E77FD6"/>
    <w:rsid w:val="00E80C32"/>
    <w:rsid w:val="00E816A4"/>
    <w:rsid w:val="00E81767"/>
    <w:rsid w:val="00E8321F"/>
    <w:rsid w:val="00E83B7A"/>
    <w:rsid w:val="00E83D8E"/>
    <w:rsid w:val="00E842A9"/>
    <w:rsid w:val="00E847D7"/>
    <w:rsid w:val="00E848C4"/>
    <w:rsid w:val="00E849E4"/>
    <w:rsid w:val="00E850FE"/>
    <w:rsid w:val="00E851F5"/>
    <w:rsid w:val="00E85450"/>
    <w:rsid w:val="00E855A9"/>
    <w:rsid w:val="00E855BC"/>
    <w:rsid w:val="00E85C28"/>
    <w:rsid w:val="00E85F31"/>
    <w:rsid w:val="00E8629F"/>
    <w:rsid w:val="00E86557"/>
    <w:rsid w:val="00E86C96"/>
    <w:rsid w:val="00E86D85"/>
    <w:rsid w:val="00E8779C"/>
    <w:rsid w:val="00E87BAC"/>
    <w:rsid w:val="00E87CEB"/>
    <w:rsid w:val="00E87DE0"/>
    <w:rsid w:val="00E90883"/>
    <w:rsid w:val="00E910DB"/>
    <w:rsid w:val="00E912FB"/>
    <w:rsid w:val="00E91847"/>
    <w:rsid w:val="00E91F4E"/>
    <w:rsid w:val="00E92C2B"/>
    <w:rsid w:val="00E92DF5"/>
    <w:rsid w:val="00E92EA8"/>
    <w:rsid w:val="00E93697"/>
    <w:rsid w:val="00E937D7"/>
    <w:rsid w:val="00E938D0"/>
    <w:rsid w:val="00E95071"/>
    <w:rsid w:val="00E95999"/>
    <w:rsid w:val="00E9668E"/>
    <w:rsid w:val="00E973BB"/>
    <w:rsid w:val="00E97E70"/>
    <w:rsid w:val="00E97EF1"/>
    <w:rsid w:val="00EA003B"/>
    <w:rsid w:val="00EA0A4A"/>
    <w:rsid w:val="00EA0AAB"/>
    <w:rsid w:val="00EA11D1"/>
    <w:rsid w:val="00EA120C"/>
    <w:rsid w:val="00EA158B"/>
    <w:rsid w:val="00EA1BDF"/>
    <w:rsid w:val="00EA1DC5"/>
    <w:rsid w:val="00EA1E1D"/>
    <w:rsid w:val="00EA1FAC"/>
    <w:rsid w:val="00EA2493"/>
    <w:rsid w:val="00EA2994"/>
    <w:rsid w:val="00EA2AC6"/>
    <w:rsid w:val="00EA336E"/>
    <w:rsid w:val="00EA39B9"/>
    <w:rsid w:val="00EA3B1A"/>
    <w:rsid w:val="00EA3C24"/>
    <w:rsid w:val="00EA497A"/>
    <w:rsid w:val="00EA4B7B"/>
    <w:rsid w:val="00EA4D9F"/>
    <w:rsid w:val="00EA532D"/>
    <w:rsid w:val="00EA5997"/>
    <w:rsid w:val="00EA5E24"/>
    <w:rsid w:val="00EA60AA"/>
    <w:rsid w:val="00EA7731"/>
    <w:rsid w:val="00EA79D7"/>
    <w:rsid w:val="00EB040C"/>
    <w:rsid w:val="00EB0778"/>
    <w:rsid w:val="00EB07A4"/>
    <w:rsid w:val="00EB0F07"/>
    <w:rsid w:val="00EB1749"/>
    <w:rsid w:val="00EB17FD"/>
    <w:rsid w:val="00EB274C"/>
    <w:rsid w:val="00EB29D4"/>
    <w:rsid w:val="00EB2D6B"/>
    <w:rsid w:val="00EB2F89"/>
    <w:rsid w:val="00EB30EA"/>
    <w:rsid w:val="00EB420F"/>
    <w:rsid w:val="00EB48CC"/>
    <w:rsid w:val="00EB4AE6"/>
    <w:rsid w:val="00EB4FA6"/>
    <w:rsid w:val="00EB5479"/>
    <w:rsid w:val="00EB5500"/>
    <w:rsid w:val="00EB5CB0"/>
    <w:rsid w:val="00EB5E44"/>
    <w:rsid w:val="00EB6167"/>
    <w:rsid w:val="00EB65EF"/>
    <w:rsid w:val="00EB682F"/>
    <w:rsid w:val="00EB711A"/>
    <w:rsid w:val="00EB764D"/>
    <w:rsid w:val="00EB77FD"/>
    <w:rsid w:val="00EB7D78"/>
    <w:rsid w:val="00EB7F95"/>
    <w:rsid w:val="00EC032B"/>
    <w:rsid w:val="00EC0CD2"/>
    <w:rsid w:val="00EC1152"/>
    <w:rsid w:val="00EC11F1"/>
    <w:rsid w:val="00EC1543"/>
    <w:rsid w:val="00EC1625"/>
    <w:rsid w:val="00EC213F"/>
    <w:rsid w:val="00EC21A2"/>
    <w:rsid w:val="00EC27FF"/>
    <w:rsid w:val="00EC2E67"/>
    <w:rsid w:val="00EC3268"/>
    <w:rsid w:val="00EC349D"/>
    <w:rsid w:val="00EC355E"/>
    <w:rsid w:val="00EC3604"/>
    <w:rsid w:val="00EC432E"/>
    <w:rsid w:val="00EC4D10"/>
    <w:rsid w:val="00EC4F41"/>
    <w:rsid w:val="00EC4FE4"/>
    <w:rsid w:val="00EC5003"/>
    <w:rsid w:val="00EC5733"/>
    <w:rsid w:val="00EC585B"/>
    <w:rsid w:val="00EC5D7A"/>
    <w:rsid w:val="00EC64C7"/>
    <w:rsid w:val="00EC6AB9"/>
    <w:rsid w:val="00ED030F"/>
    <w:rsid w:val="00ED04A3"/>
    <w:rsid w:val="00ED1F29"/>
    <w:rsid w:val="00ED21BA"/>
    <w:rsid w:val="00ED2E30"/>
    <w:rsid w:val="00ED3173"/>
    <w:rsid w:val="00ED464E"/>
    <w:rsid w:val="00ED4BD1"/>
    <w:rsid w:val="00ED5276"/>
    <w:rsid w:val="00ED5E86"/>
    <w:rsid w:val="00ED5FF6"/>
    <w:rsid w:val="00ED6D21"/>
    <w:rsid w:val="00ED739E"/>
    <w:rsid w:val="00ED7594"/>
    <w:rsid w:val="00ED7C4D"/>
    <w:rsid w:val="00EE0292"/>
    <w:rsid w:val="00EE0A65"/>
    <w:rsid w:val="00EE1159"/>
    <w:rsid w:val="00EE12B3"/>
    <w:rsid w:val="00EE2BDD"/>
    <w:rsid w:val="00EE309E"/>
    <w:rsid w:val="00EE30E2"/>
    <w:rsid w:val="00EE31F0"/>
    <w:rsid w:val="00EE3C3B"/>
    <w:rsid w:val="00EE412A"/>
    <w:rsid w:val="00EE5127"/>
    <w:rsid w:val="00EE5531"/>
    <w:rsid w:val="00EE55FE"/>
    <w:rsid w:val="00EE56F6"/>
    <w:rsid w:val="00EE5988"/>
    <w:rsid w:val="00EE59F5"/>
    <w:rsid w:val="00EE5DF6"/>
    <w:rsid w:val="00EE7010"/>
    <w:rsid w:val="00EE763E"/>
    <w:rsid w:val="00EE76F4"/>
    <w:rsid w:val="00EE77A5"/>
    <w:rsid w:val="00EE78ED"/>
    <w:rsid w:val="00EF0F41"/>
    <w:rsid w:val="00EF1294"/>
    <w:rsid w:val="00EF2678"/>
    <w:rsid w:val="00EF27B8"/>
    <w:rsid w:val="00EF2946"/>
    <w:rsid w:val="00EF2AD4"/>
    <w:rsid w:val="00EF2BD2"/>
    <w:rsid w:val="00EF3A5D"/>
    <w:rsid w:val="00EF3EE1"/>
    <w:rsid w:val="00EF3FF1"/>
    <w:rsid w:val="00EF448F"/>
    <w:rsid w:val="00EF4681"/>
    <w:rsid w:val="00EF5242"/>
    <w:rsid w:val="00EF5506"/>
    <w:rsid w:val="00EF58B8"/>
    <w:rsid w:val="00EF5976"/>
    <w:rsid w:val="00EF60C6"/>
    <w:rsid w:val="00EF65B3"/>
    <w:rsid w:val="00EF67C3"/>
    <w:rsid w:val="00EF6EA2"/>
    <w:rsid w:val="00EF7A9B"/>
    <w:rsid w:val="00EF7B1C"/>
    <w:rsid w:val="00EF7B20"/>
    <w:rsid w:val="00EF7D73"/>
    <w:rsid w:val="00F0008F"/>
    <w:rsid w:val="00F00419"/>
    <w:rsid w:val="00F00B23"/>
    <w:rsid w:val="00F01CB7"/>
    <w:rsid w:val="00F026DA"/>
    <w:rsid w:val="00F02B54"/>
    <w:rsid w:val="00F02B98"/>
    <w:rsid w:val="00F033FD"/>
    <w:rsid w:val="00F035EB"/>
    <w:rsid w:val="00F0403C"/>
    <w:rsid w:val="00F0405B"/>
    <w:rsid w:val="00F04129"/>
    <w:rsid w:val="00F041C3"/>
    <w:rsid w:val="00F04366"/>
    <w:rsid w:val="00F04493"/>
    <w:rsid w:val="00F045A9"/>
    <w:rsid w:val="00F049AE"/>
    <w:rsid w:val="00F0530A"/>
    <w:rsid w:val="00F05D56"/>
    <w:rsid w:val="00F06936"/>
    <w:rsid w:val="00F069DA"/>
    <w:rsid w:val="00F07009"/>
    <w:rsid w:val="00F0708F"/>
    <w:rsid w:val="00F072D8"/>
    <w:rsid w:val="00F07A63"/>
    <w:rsid w:val="00F07D14"/>
    <w:rsid w:val="00F07E4E"/>
    <w:rsid w:val="00F07F0E"/>
    <w:rsid w:val="00F1023C"/>
    <w:rsid w:val="00F10658"/>
    <w:rsid w:val="00F10671"/>
    <w:rsid w:val="00F1090C"/>
    <w:rsid w:val="00F10DF7"/>
    <w:rsid w:val="00F10E97"/>
    <w:rsid w:val="00F10FE2"/>
    <w:rsid w:val="00F1108A"/>
    <w:rsid w:val="00F12B48"/>
    <w:rsid w:val="00F12D01"/>
    <w:rsid w:val="00F12DE0"/>
    <w:rsid w:val="00F1315F"/>
    <w:rsid w:val="00F13BB0"/>
    <w:rsid w:val="00F1477C"/>
    <w:rsid w:val="00F14793"/>
    <w:rsid w:val="00F14B41"/>
    <w:rsid w:val="00F14DCA"/>
    <w:rsid w:val="00F156AF"/>
    <w:rsid w:val="00F15871"/>
    <w:rsid w:val="00F15F64"/>
    <w:rsid w:val="00F15FFD"/>
    <w:rsid w:val="00F16F49"/>
    <w:rsid w:val="00F17737"/>
    <w:rsid w:val="00F17B41"/>
    <w:rsid w:val="00F20154"/>
    <w:rsid w:val="00F201D9"/>
    <w:rsid w:val="00F2072E"/>
    <w:rsid w:val="00F215BF"/>
    <w:rsid w:val="00F218F2"/>
    <w:rsid w:val="00F22073"/>
    <w:rsid w:val="00F226FD"/>
    <w:rsid w:val="00F227E4"/>
    <w:rsid w:val="00F22897"/>
    <w:rsid w:val="00F22E28"/>
    <w:rsid w:val="00F232B0"/>
    <w:rsid w:val="00F238EA"/>
    <w:rsid w:val="00F23AE0"/>
    <w:rsid w:val="00F23B27"/>
    <w:rsid w:val="00F23FF1"/>
    <w:rsid w:val="00F24B62"/>
    <w:rsid w:val="00F24CC7"/>
    <w:rsid w:val="00F25074"/>
    <w:rsid w:val="00F256EA"/>
    <w:rsid w:val="00F27041"/>
    <w:rsid w:val="00F27796"/>
    <w:rsid w:val="00F277F9"/>
    <w:rsid w:val="00F27B32"/>
    <w:rsid w:val="00F27B35"/>
    <w:rsid w:val="00F27F9C"/>
    <w:rsid w:val="00F3038C"/>
    <w:rsid w:val="00F30505"/>
    <w:rsid w:val="00F30A03"/>
    <w:rsid w:val="00F31793"/>
    <w:rsid w:val="00F3253C"/>
    <w:rsid w:val="00F326BE"/>
    <w:rsid w:val="00F3343D"/>
    <w:rsid w:val="00F334AD"/>
    <w:rsid w:val="00F3423B"/>
    <w:rsid w:val="00F34514"/>
    <w:rsid w:val="00F345DF"/>
    <w:rsid w:val="00F348C4"/>
    <w:rsid w:val="00F34B5F"/>
    <w:rsid w:val="00F35278"/>
    <w:rsid w:val="00F35650"/>
    <w:rsid w:val="00F35911"/>
    <w:rsid w:val="00F35B54"/>
    <w:rsid w:val="00F36049"/>
    <w:rsid w:val="00F362B2"/>
    <w:rsid w:val="00F3688D"/>
    <w:rsid w:val="00F36961"/>
    <w:rsid w:val="00F36AE7"/>
    <w:rsid w:val="00F36EAB"/>
    <w:rsid w:val="00F36EC6"/>
    <w:rsid w:val="00F37358"/>
    <w:rsid w:val="00F3781A"/>
    <w:rsid w:val="00F37BB9"/>
    <w:rsid w:val="00F37CBA"/>
    <w:rsid w:val="00F4072E"/>
    <w:rsid w:val="00F41045"/>
    <w:rsid w:val="00F417F8"/>
    <w:rsid w:val="00F42996"/>
    <w:rsid w:val="00F42BD7"/>
    <w:rsid w:val="00F43627"/>
    <w:rsid w:val="00F43834"/>
    <w:rsid w:val="00F43AE4"/>
    <w:rsid w:val="00F43C50"/>
    <w:rsid w:val="00F4521A"/>
    <w:rsid w:val="00F45D78"/>
    <w:rsid w:val="00F45E42"/>
    <w:rsid w:val="00F462A7"/>
    <w:rsid w:val="00F464F4"/>
    <w:rsid w:val="00F465AD"/>
    <w:rsid w:val="00F465FA"/>
    <w:rsid w:val="00F47598"/>
    <w:rsid w:val="00F47904"/>
    <w:rsid w:val="00F47C3E"/>
    <w:rsid w:val="00F5007A"/>
    <w:rsid w:val="00F50634"/>
    <w:rsid w:val="00F50643"/>
    <w:rsid w:val="00F5097D"/>
    <w:rsid w:val="00F50B2B"/>
    <w:rsid w:val="00F50C36"/>
    <w:rsid w:val="00F50DCC"/>
    <w:rsid w:val="00F51A5B"/>
    <w:rsid w:val="00F51E4E"/>
    <w:rsid w:val="00F526AF"/>
    <w:rsid w:val="00F52C99"/>
    <w:rsid w:val="00F5328F"/>
    <w:rsid w:val="00F532A1"/>
    <w:rsid w:val="00F539D6"/>
    <w:rsid w:val="00F53B4F"/>
    <w:rsid w:val="00F54D91"/>
    <w:rsid w:val="00F54E53"/>
    <w:rsid w:val="00F55170"/>
    <w:rsid w:val="00F55304"/>
    <w:rsid w:val="00F55571"/>
    <w:rsid w:val="00F56473"/>
    <w:rsid w:val="00F572E1"/>
    <w:rsid w:val="00F57598"/>
    <w:rsid w:val="00F57D00"/>
    <w:rsid w:val="00F604D2"/>
    <w:rsid w:val="00F60557"/>
    <w:rsid w:val="00F60735"/>
    <w:rsid w:val="00F608D4"/>
    <w:rsid w:val="00F613C0"/>
    <w:rsid w:val="00F61BA2"/>
    <w:rsid w:val="00F61CA7"/>
    <w:rsid w:val="00F6278F"/>
    <w:rsid w:val="00F62B43"/>
    <w:rsid w:val="00F631D3"/>
    <w:rsid w:val="00F638C4"/>
    <w:rsid w:val="00F63976"/>
    <w:rsid w:val="00F6397F"/>
    <w:rsid w:val="00F63DA0"/>
    <w:rsid w:val="00F641AE"/>
    <w:rsid w:val="00F647B8"/>
    <w:rsid w:val="00F6496A"/>
    <w:rsid w:val="00F64B3E"/>
    <w:rsid w:val="00F65259"/>
    <w:rsid w:val="00F653CE"/>
    <w:rsid w:val="00F6548D"/>
    <w:rsid w:val="00F65E56"/>
    <w:rsid w:val="00F6634D"/>
    <w:rsid w:val="00F66C37"/>
    <w:rsid w:val="00F66D30"/>
    <w:rsid w:val="00F67783"/>
    <w:rsid w:val="00F67BE3"/>
    <w:rsid w:val="00F67CD0"/>
    <w:rsid w:val="00F67D0C"/>
    <w:rsid w:val="00F70F25"/>
    <w:rsid w:val="00F711FD"/>
    <w:rsid w:val="00F72A7A"/>
    <w:rsid w:val="00F737B8"/>
    <w:rsid w:val="00F73E7F"/>
    <w:rsid w:val="00F73EC6"/>
    <w:rsid w:val="00F740E1"/>
    <w:rsid w:val="00F74299"/>
    <w:rsid w:val="00F746F0"/>
    <w:rsid w:val="00F755A5"/>
    <w:rsid w:val="00F75A2B"/>
    <w:rsid w:val="00F75A4C"/>
    <w:rsid w:val="00F75A4F"/>
    <w:rsid w:val="00F76978"/>
    <w:rsid w:val="00F76B78"/>
    <w:rsid w:val="00F77209"/>
    <w:rsid w:val="00F803EF"/>
    <w:rsid w:val="00F8043A"/>
    <w:rsid w:val="00F8045F"/>
    <w:rsid w:val="00F809EF"/>
    <w:rsid w:val="00F80B51"/>
    <w:rsid w:val="00F80DAA"/>
    <w:rsid w:val="00F80E68"/>
    <w:rsid w:val="00F8109A"/>
    <w:rsid w:val="00F81396"/>
    <w:rsid w:val="00F8150B"/>
    <w:rsid w:val="00F81861"/>
    <w:rsid w:val="00F8260C"/>
    <w:rsid w:val="00F82A2B"/>
    <w:rsid w:val="00F82AAB"/>
    <w:rsid w:val="00F82D95"/>
    <w:rsid w:val="00F8381E"/>
    <w:rsid w:val="00F8382B"/>
    <w:rsid w:val="00F838CD"/>
    <w:rsid w:val="00F848BA"/>
    <w:rsid w:val="00F8498B"/>
    <w:rsid w:val="00F84C6D"/>
    <w:rsid w:val="00F84CD5"/>
    <w:rsid w:val="00F84D33"/>
    <w:rsid w:val="00F85726"/>
    <w:rsid w:val="00F86202"/>
    <w:rsid w:val="00F8648E"/>
    <w:rsid w:val="00F86A93"/>
    <w:rsid w:val="00F86CF8"/>
    <w:rsid w:val="00F87C62"/>
    <w:rsid w:val="00F902C3"/>
    <w:rsid w:val="00F90C5C"/>
    <w:rsid w:val="00F90D35"/>
    <w:rsid w:val="00F917C7"/>
    <w:rsid w:val="00F9263D"/>
    <w:rsid w:val="00F92C85"/>
    <w:rsid w:val="00F9359F"/>
    <w:rsid w:val="00F94025"/>
    <w:rsid w:val="00F94869"/>
    <w:rsid w:val="00F94ABD"/>
    <w:rsid w:val="00F94E46"/>
    <w:rsid w:val="00F959E8"/>
    <w:rsid w:val="00F95BC3"/>
    <w:rsid w:val="00F95EC0"/>
    <w:rsid w:val="00F96401"/>
    <w:rsid w:val="00F9767B"/>
    <w:rsid w:val="00FA04C8"/>
    <w:rsid w:val="00FA094F"/>
    <w:rsid w:val="00FA149C"/>
    <w:rsid w:val="00FA1AAA"/>
    <w:rsid w:val="00FA1FB1"/>
    <w:rsid w:val="00FA231E"/>
    <w:rsid w:val="00FA24CA"/>
    <w:rsid w:val="00FA2E4F"/>
    <w:rsid w:val="00FA3174"/>
    <w:rsid w:val="00FA3E04"/>
    <w:rsid w:val="00FA3F7D"/>
    <w:rsid w:val="00FA4088"/>
    <w:rsid w:val="00FA412A"/>
    <w:rsid w:val="00FA4A92"/>
    <w:rsid w:val="00FA4C9E"/>
    <w:rsid w:val="00FA4CDF"/>
    <w:rsid w:val="00FA52A3"/>
    <w:rsid w:val="00FA55D0"/>
    <w:rsid w:val="00FA56B8"/>
    <w:rsid w:val="00FA5832"/>
    <w:rsid w:val="00FA5AC1"/>
    <w:rsid w:val="00FA5AE6"/>
    <w:rsid w:val="00FA5C95"/>
    <w:rsid w:val="00FA6076"/>
    <w:rsid w:val="00FA718B"/>
    <w:rsid w:val="00FA7519"/>
    <w:rsid w:val="00FA7E25"/>
    <w:rsid w:val="00FB00A2"/>
    <w:rsid w:val="00FB013A"/>
    <w:rsid w:val="00FB0ABE"/>
    <w:rsid w:val="00FB1079"/>
    <w:rsid w:val="00FB1AAE"/>
    <w:rsid w:val="00FB1F97"/>
    <w:rsid w:val="00FB2B57"/>
    <w:rsid w:val="00FB355D"/>
    <w:rsid w:val="00FB3578"/>
    <w:rsid w:val="00FB3ACD"/>
    <w:rsid w:val="00FB3E77"/>
    <w:rsid w:val="00FB4035"/>
    <w:rsid w:val="00FB413F"/>
    <w:rsid w:val="00FB4407"/>
    <w:rsid w:val="00FB49E9"/>
    <w:rsid w:val="00FB50BF"/>
    <w:rsid w:val="00FB51D2"/>
    <w:rsid w:val="00FB5DE6"/>
    <w:rsid w:val="00FB5E31"/>
    <w:rsid w:val="00FB5F74"/>
    <w:rsid w:val="00FB6273"/>
    <w:rsid w:val="00FB637D"/>
    <w:rsid w:val="00FB6729"/>
    <w:rsid w:val="00FB6A6B"/>
    <w:rsid w:val="00FB72E6"/>
    <w:rsid w:val="00FB7A36"/>
    <w:rsid w:val="00FB7BF1"/>
    <w:rsid w:val="00FC0046"/>
    <w:rsid w:val="00FC009D"/>
    <w:rsid w:val="00FC051F"/>
    <w:rsid w:val="00FC0584"/>
    <w:rsid w:val="00FC065E"/>
    <w:rsid w:val="00FC077B"/>
    <w:rsid w:val="00FC0F68"/>
    <w:rsid w:val="00FC1144"/>
    <w:rsid w:val="00FC1445"/>
    <w:rsid w:val="00FC19F0"/>
    <w:rsid w:val="00FC1B45"/>
    <w:rsid w:val="00FC1B7D"/>
    <w:rsid w:val="00FC1D8E"/>
    <w:rsid w:val="00FC2284"/>
    <w:rsid w:val="00FC2E47"/>
    <w:rsid w:val="00FC3754"/>
    <w:rsid w:val="00FC3E7A"/>
    <w:rsid w:val="00FC3EDA"/>
    <w:rsid w:val="00FC3EF3"/>
    <w:rsid w:val="00FC4132"/>
    <w:rsid w:val="00FC462A"/>
    <w:rsid w:val="00FC46BC"/>
    <w:rsid w:val="00FC4975"/>
    <w:rsid w:val="00FC4997"/>
    <w:rsid w:val="00FC4D37"/>
    <w:rsid w:val="00FC53C6"/>
    <w:rsid w:val="00FC5872"/>
    <w:rsid w:val="00FC5893"/>
    <w:rsid w:val="00FC5ADB"/>
    <w:rsid w:val="00FC5D0E"/>
    <w:rsid w:val="00FC6275"/>
    <w:rsid w:val="00FC6847"/>
    <w:rsid w:val="00FC69F5"/>
    <w:rsid w:val="00FC6AE2"/>
    <w:rsid w:val="00FC6E4F"/>
    <w:rsid w:val="00FC6F0F"/>
    <w:rsid w:val="00FC7C0C"/>
    <w:rsid w:val="00FD02C9"/>
    <w:rsid w:val="00FD030E"/>
    <w:rsid w:val="00FD0B18"/>
    <w:rsid w:val="00FD1407"/>
    <w:rsid w:val="00FD2082"/>
    <w:rsid w:val="00FD2517"/>
    <w:rsid w:val="00FD2F78"/>
    <w:rsid w:val="00FD375B"/>
    <w:rsid w:val="00FD3818"/>
    <w:rsid w:val="00FD3915"/>
    <w:rsid w:val="00FD428E"/>
    <w:rsid w:val="00FD49AF"/>
    <w:rsid w:val="00FD4AB4"/>
    <w:rsid w:val="00FD4D48"/>
    <w:rsid w:val="00FD4DF8"/>
    <w:rsid w:val="00FD54CB"/>
    <w:rsid w:val="00FD5D12"/>
    <w:rsid w:val="00FD6178"/>
    <w:rsid w:val="00FD6180"/>
    <w:rsid w:val="00FD6393"/>
    <w:rsid w:val="00FD679E"/>
    <w:rsid w:val="00FD70A7"/>
    <w:rsid w:val="00FD76DC"/>
    <w:rsid w:val="00FD7A60"/>
    <w:rsid w:val="00FE09F6"/>
    <w:rsid w:val="00FE0BCC"/>
    <w:rsid w:val="00FE0CA2"/>
    <w:rsid w:val="00FE19DF"/>
    <w:rsid w:val="00FE1F43"/>
    <w:rsid w:val="00FE291E"/>
    <w:rsid w:val="00FE2D5A"/>
    <w:rsid w:val="00FE387D"/>
    <w:rsid w:val="00FE3893"/>
    <w:rsid w:val="00FE38D2"/>
    <w:rsid w:val="00FE3C4C"/>
    <w:rsid w:val="00FE3F7E"/>
    <w:rsid w:val="00FE447C"/>
    <w:rsid w:val="00FE453B"/>
    <w:rsid w:val="00FE502E"/>
    <w:rsid w:val="00FE510B"/>
    <w:rsid w:val="00FE6820"/>
    <w:rsid w:val="00FE709C"/>
    <w:rsid w:val="00FE73BB"/>
    <w:rsid w:val="00FE768E"/>
    <w:rsid w:val="00FE7925"/>
    <w:rsid w:val="00FE7CE7"/>
    <w:rsid w:val="00FE7CF7"/>
    <w:rsid w:val="00FE7E67"/>
    <w:rsid w:val="00FF0419"/>
    <w:rsid w:val="00FF1968"/>
    <w:rsid w:val="00FF2158"/>
    <w:rsid w:val="00FF225F"/>
    <w:rsid w:val="00FF2640"/>
    <w:rsid w:val="00FF32BA"/>
    <w:rsid w:val="00FF380C"/>
    <w:rsid w:val="00FF4498"/>
    <w:rsid w:val="00FF46A7"/>
    <w:rsid w:val="00FF4854"/>
    <w:rsid w:val="00FF48EE"/>
    <w:rsid w:val="00FF4951"/>
    <w:rsid w:val="00FF5C05"/>
    <w:rsid w:val="00FF640A"/>
    <w:rsid w:val="00FF7096"/>
    <w:rsid w:val="00FF714B"/>
    <w:rsid w:val="00FF7E8E"/>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398"/>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5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qFormat/>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 w:type="character" w:customStyle="1" w:styleId="BodyTextChar">
    <w:name w:val="Body Text Char"/>
    <w:basedOn w:val="DefaultParagraphFont"/>
    <w:link w:val="BodyText"/>
    <w:rsid w:val="003B32BF"/>
    <w:rPr>
      <w:sz w:val="22"/>
      <w:lang w:eastAsia="en-US"/>
    </w:rPr>
  </w:style>
  <w:style w:type="character" w:customStyle="1" w:styleId="ui-provider">
    <w:name w:val="ui-provider"/>
    <w:basedOn w:val="DefaultParagraphFont"/>
    <w:rsid w:val="00924498"/>
  </w:style>
  <w:style w:type="character" w:customStyle="1" w:styleId="TALCar">
    <w:name w:val="TAL Car"/>
    <w:qFormat/>
    <w:locked/>
    <w:rsid w:val="008B2670"/>
    <w:rPr>
      <w:rFonts w:ascii="Arial" w:hAnsi="Arial" w:cs="Arial"/>
      <w:sz w:val="18"/>
      <w:lang w:val="en-GB" w:eastAsia="en-US"/>
    </w:rPr>
  </w:style>
  <w:style w:type="character" w:customStyle="1" w:styleId="00TextChar">
    <w:name w:val="00_Text Char"/>
    <w:link w:val="00Text"/>
    <w:qFormat/>
    <w:locked/>
    <w:rsid w:val="00D44C3D"/>
    <w:rPr>
      <w:rFonts w:ascii="SimSun" w:eastAsia="SimSun" w:hAnsi="SimSun"/>
      <w:szCs w:val="24"/>
    </w:rPr>
  </w:style>
  <w:style w:type="paragraph" w:customStyle="1" w:styleId="00Text">
    <w:name w:val="00_Text"/>
    <w:basedOn w:val="Normal"/>
    <w:link w:val="00TextChar"/>
    <w:qFormat/>
    <w:rsid w:val="00D44C3D"/>
    <w:pPr>
      <w:spacing w:before="120" w:after="120" w:line="264" w:lineRule="auto"/>
      <w:jc w:val="both"/>
    </w:pPr>
    <w:rPr>
      <w:rFonts w:ascii="SimSun" w:eastAsia="SimSun" w:hAnsi="SimSun"/>
      <w:sz w:val="20"/>
      <w:szCs w:val="24"/>
      <w:lang w:eastAsia="zh-TW"/>
    </w:rPr>
  </w:style>
  <w:style w:type="paragraph" w:customStyle="1" w:styleId="Default">
    <w:name w:val="Default"/>
    <w:uiPriority w:val="99"/>
    <w:qFormat/>
    <w:rsid w:val="005A7250"/>
    <w:pPr>
      <w:autoSpaceDE w:val="0"/>
      <w:autoSpaceDN w:val="0"/>
      <w:adjustRightInd w:val="0"/>
      <w:spacing w:after="160" w:line="276" w:lineRule="auto"/>
    </w:pPr>
    <w:rPr>
      <w:rFonts w:ascii="Arial" w:eastAsia="Batang" w:hAnsi="Arial" w:cs="Arial"/>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797">
      <w:bodyDiv w:val="1"/>
      <w:marLeft w:val="0"/>
      <w:marRight w:val="0"/>
      <w:marTop w:val="0"/>
      <w:marBottom w:val="0"/>
      <w:divBdr>
        <w:top w:val="none" w:sz="0" w:space="0" w:color="auto"/>
        <w:left w:val="none" w:sz="0" w:space="0" w:color="auto"/>
        <w:bottom w:val="none" w:sz="0" w:space="0" w:color="auto"/>
        <w:right w:val="none" w:sz="0" w:space="0" w:color="auto"/>
      </w:divBdr>
    </w:div>
    <w:div w:id="3093853">
      <w:bodyDiv w:val="1"/>
      <w:marLeft w:val="0"/>
      <w:marRight w:val="0"/>
      <w:marTop w:val="0"/>
      <w:marBottom w:val="0"/>
      <w:divBdr>
        <w:top w:val="none" w:sz="0" w:space="0" w:color="auto"/>
        <w:left w:val="none" w:sz="0" w:space="0" w:color="auto"/>
        <w:bottom w:val="none" w:sz="0" w:space="0" w:color="auto"/>
        <w:right w:val="none" w:sz="0" w:space="0" w:color="auto"/>
      </w:divBdr>
    </w:div>
    <w:div w:id="9534239">
      <w:bodyDiv w:val="1"/>
      <w:marLeft w:val="0"/>
      <w:marRight w:val="0"/>
      <w:marTop w:val="0"/>
      <w:marBottom w:val="0"/>
      <w:divBdr>
        <w:top w:val="none" w:sz="0" w:space="0" w:color="auto"/>
        <w:left w:val="none" w:sz="0" w:space="0" w:color="auto"/>
        <w:bottom w:val="none" w:sz="0" w:space="0" w:color="auto"/>
        <w:right w:val="none" w:sz="0" w:space="0" w:color="auto"/>
      </w:divBdr>
    </w:div>
    <w:div w:id="11499423">
      <w:bodyDiv w:val="1"/>
      <w:marLeft w:val="0"/>
      <w:marRight w:val="0"/>
      <w:marTop w:val="0"/>
      <w:marBottom w:val="0"/>
      <w:divBdr>
        <w:top w:val="none" w:sz="0" w:space="0" w:color="auto"/>
        <w:left w:val="none" w:sz="0" w:space="0" w:color="auto"/>
        <w:bottom w:val="none" w:sz="0" w:space="0" w:color="auto"/>
        <w:right w:val="none" w:sz="0" w:space="0" w:color="auto"/>
      </w:divBdr>
    </w:div>
    <w:div w:id="15086844">
      <w:bodyDiv w:val="1"/>
      <w:marLeft w:val="0"/>
      <w:marRight w:val="0"/>
      <w:marTop w:val="0"/>
      <w:marBottom w:val="0"/>
      <w:divBdr>
        <w:top w:val="none" w:sz="0" w:space="0" w:color="auto"/>
        <w:left w:val="none" w:sz="0" w:space="0" w:color="auto"/>
        <w:bottom w:val="none" w:sz="0" w:space="0" w:color="auto"/>
        <w:right w:val="none" w:sz="0" w:space="0" w:color="auto"/>
      </w:divBdr>
    </w:div>
    <w:div w:id="17436986">
      <w:bodyDiv w:val="1"/>
      <w:marLeft w:val="0"/>
      <w:marRight w:val="0"/>
      <w:marTop w:val="0"/>
      <w:marBottom w:val="0"/>
      <w:divBdr>
        <w:top w:val="none" w:sz="0" w:space="0" w:color="auto"/>
        <w:left w:val="none" w:sz="0" w:space="0" w:color="auto"/>
        <w:bottom w:val="none" w:sz="0" w:space="0" w:color="auto"/>
        <w:right w:val="none" w:sz="0" w:space="0" w:color="auto"/>
      </w:divBdr>
    </w:div>
    <w:div w:id="18509945">
      <w:bodyDiv w:val="1"/>
      <w:marLeft w:val="0"/>
      <w:marRight w:val="0"/>
      <w:marTop w:val="0"/>
      <w:marBottom w:val="0"/>
      <w:divBdr>
        <w:top w:val="none" w:sz="0" w:space="0" w:color="auto"/>
        <w:left w:val="none" w:sz="0" w:space="0" w:color="auto"/>
        <w:bottom w:val="none" w:sz="0" w:space="0" w:color="auto"/>
        <w:right w:val="none" w:sz="0" w:space="0" w:color="auto"/>
      </w:divBdr>
    </w:div>
    <w:div w:id="20397446">
      <w:bodyDiv w:val="1"/>
      <w:marLeft w:val="0"/>
      <w:marRight w:val="0"/>
      <w:marTop w:val="0"/>
      <w:marBottom w:val="0"/>
      <w:divBdr>
        <w:top w:val="none" w:sz="0" w:space="0" w:color="auto"/>
        <w:left w:val="none" w:sz="0" w:space="0" w:color="auto"/>
        <w:bottom w:val="none" w:sz="0" w:space="0" w:color="auto"/>
        <w:right w:val="none" w:sz="0" w:space="0" w:color="auto"/>
      </w:divBdr>
    </w:div>
    <w:div w:id="25299879">
      <w:bodyDiv w:val="1"/>
      <w:marLeft w:val="0"/>
      <w:marRight w:val="0"/>
      <w:marTop w:val="0"/>
      <w:marBottom w:val="0"/>
      <w:divBdr>
        <w:top w:val="none" w:sz="0" w:space="0" w:color="auto"/>
        <w:left w:val="none" w:sz="0" w:space="0" w:color="auto"/>
        <w:bottom w:val="none" w:sz="0" w:space="0" w:color="auto"/>
        <w:right w:val="none" w:sz="0" w:space="0" w:color="auto"/>
      </w:divBdr>
    </w:div>
    <w:div w:id="27337857">
      <w:bodyDiv w:val="1"/>
      <w:marLeft w:val="0"/>
      <w:marRight w:val="0"/>
      <w:marTop w:val="0"/>
      <w:marBottom w:val="0"/>
      <w:divBdr>
        <w:top w:val="none" w:sz="0" w:space="0" w:color="auto"/>
        <w:left w:val="none" w:sz="0" w:space="0" w:color="auto"/>
        <w:bottom w:val="none" w:sz="0" w:space="0" w:color="auto"/>
        <w:right w:val="none" w:sz="0" w:space="0" w:color="auto"/>
      </w:divBdr>
    </w:div>
    <w:div w:id="29763811">
      <w:bodyDiv w:val="1"/>
      <w:marLeft w:val="0"/>
      <w:marRight w:val="0"/>
      <w:marTop w:val="0"/>
      <w:marBottom w:val="0"/>
      <w:divBdr>
        <w:top w:val="none" w:sz="0" w:space="0" w:color="auto"/>
        <w:left w:val="none" w:sz="0" w:space="0" w:color="auto"/>
        <w:bottom w:val="none" w:sz="0" w:space="0" w:color="auto"/>
        <w:right w:val="none" w:sz="0" w:space="0" w:color="auto"/>
      </w:divBdr>
    </w:div>
    <w:div w:id="30035478">
      <w:bodyDiv w:val="1"/>
      <w:marLeft w:val="0"/>
      <w:marRight w:val="0"/>
      <w:marTop w:val="0"/>
      <w:marBottom w:val="0"/>
      <w:divBdr>
        <w:top w:val="none" w:sz="0" w:space="0" w:color="auto"/>
        <w:left w:val="none" w:sz="0" w:space="0" w:color="auto"/>
        <w:bottom w:val="none" w:sz="0" w:space="0" w:color="auto"/>
        <w:right w:val="none" w:sz="0" w:space="0" w:color="auto"/>
      </w:divBdr>
    </w:div>
    <w:div w:id="32005783">
      <w:bodyDiv w:val="1"/>
      <w:marLeft w:val="0"/>
      <w:marRight w:val="0"/>
      <w:marTop w:val="0"/>
      <w:marBottom w:val="0"/>
      <w:divBdr>
        <w:top w:val="none" w:sz="0" w:space="0" w:color="auto"/>
        <w:left w:val="none" w:sz="0" w:space="0" w:color="auto"/>
        <w:bottom w:val="none" w:sz="0" w:space="0" w:color="auto"/>
        <w:right w:val="none" w:sz="0" w:space="0" w:color="auto"/>
      </w:divBdr>
    </w:div>
    <w:div w:id="33971054">
      <w:bodyDiv w:val="1"/>
      <w:marLeft w:val="0"/>
      <w:marRight w:val="0"/>
      <w:marTop w:val="0"/>
      <w:marBottom w:val="0"/>
      <w:divBdr>
        <w:top w:val="none" w:sz="0" w:space="0" w:color="auto"/>
        <w:left w:val="none" w:sz="0" w:space="0" w:color="auto"/>
        <w:bottom w:val="none" w:sz="0" w:space="0" w:color="auto"/>
        <w:right w:val="none" w:sz="0" w:space="0" w:color="auto"/>
      </w:divBdr>
    </w:div>
    <w:div w:id="35085384">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213343">
      <w:bodyDiv w:val="1"/>
      <w:marLeft w:val="0"/>
      <w:marRight w:val="0"/>
      <w:marTop w:val="0"/>
      <w:marBottom w:val="0"/>
      <w:divBdr>
        <w:top w:val="none" w:sz="0" w:space="0" w:color="auto"/>
        <w:left w:val="none" w:sz="0" w:space="0" w:color="auto"/>
        <w:bottom w:val="none" w:sz="0" w:space="0" w:color="auto"/>
        <w:right w:val="none" w:sz="0" w:space="0" w:color="auto"/>
      </w:divBdr>
    </w:div>
    <w:div w:id="42408975">
      <w:bodyDiv w:val="1"/>
      <w:marLeft w:val="0"/>
      <w:marRight w:val="0"/>
      <w:marTop w:val="0"/>
      <w:marBottom w:val="0"/>
      <w:divBdr>
        <w:top w:val="none" w:sz="0" w:space="0" w:color="auto"/>
        <w:left w:val="none" w:sz="0" w:space="0" w:color="auto"/>
        <w:bottom w:val="none" w:sz="0" w:space="0" w:color="auto"/>
        <w:right w:val="none" w:sz="0" w:space="0" w:color="auto"/>
      </w:divBdr>
    </w:div>
    <w:div w:id="43799646">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96280">
      <w:bodyDiv w:val="1"/>
      <w:marLeft w:val="0"/>
      <w:marRight w:val="0"/>
      <w:marTop w:val="0"/>
      <w:marBottom w:val="0"/>
      <w:divBdr>
        <w:top w:val="none" w:sz="0" w:space="0" w:color="auto"/>
        <w:left w:val="none" w:sz="0" w:space="0" w:color="auto"/>
        <w:bottom w:val="none" w:sz="0" w:space="0" w:color="auto"/>
        <w:right w:val="none" w:sz="0" w:space="0" w:color="auto"/>
      </w:divBdr>
    </w:div>
    <w:div w:id="52429110">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67777512">
      <w:bodyDiv w:val="1"/>
      <w:marLeft w:val="0"/>
      <w:marRight w:val="0"/>
      <w:marTop w:val="0"/>
      <w:marBottom w:val="0"/>
      <w:divBdr>
        <w:top w:val="none" w:sz="0" w:space="0" w:color="auto"/>
        <w:left w:val="none" w:sz="0" w:space="0" w:color="auto"/>
        <w:bottom w:val="none" w:sz="0" w:space="0" w:color="auto"/>
        <w:right w:val="none" w:sz="0" w:space="0" w:color="auto"/>
      </w:divBdr>
    </w:div>
    <w:div w:id="7047055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75254040">
      <w:bodyDiv w:val="1"/>
      <w:marLeft w:val="0"/>
      <w:marRight w:val="0"/>
      <w:marTop w:val="0"/>
      <w:marBottom w:val="0"/>
      <w:divBdr>
        <w:top w:val="none" w:sz="0" w:space="0" w:color="auto"/>
        <w:left w:val="none" w:sz="0" w:space="0" w:color="auto"/>
        <w:bottom w:val="none" w:sz="0" w:space="0" w:color="auto"/>
        <w:right w:val="none" w:sz="0" w:space="0" w:color="auto"/>
      </w:divBdr>
    </w:div>
    <w:div w:id="80224945">
      <w:bodyDiv w:val="1"/>
      <w:marLeft w:val="0"/>
      <w:marRight w:val="0"/>
      <w:marTop w:val="0"/>
      <w:marBottom w:val="0"/>
      <w:divBdr>
        <w:top w:val="none" w:sz="0" w:space="0" w:color="auto"/>
        <w:left w:val="none" w:sz="0" w:space="0" w:color="auto"/>
        <w:bottom w:val="none" w:sz="0" w:space="0" w:color="auto"/>
        <w:right w:val="none" w:sz="0" w:space="0" w:color="auto"/>
      </w:divBdr>
    </w:div>
    <w:div w:id="89857992">
      <w:bodyDiv w:val="1"/>
      <w:marLeft w:val="0"/>
      <w:marRight w:val="0"/>
      <w:marTop w:val="0"/>
      <w:marBottom w:val="0"/>
      <w:divBdr>
        <w:top w:val="none" w:sz="0" w:space="0" w:color="auto"/>
        <w:left w:val="none" w:sz="0" w:space="0" w:color="auto"/>
        <w:bottom w:val="none" w:sz="0" w:space="0" w:color="auto"/>
        <w:right w:val="none" w:sz="0" w:space="0" w:color="auto"/>
      </w:divBdr>
    </w:div>
    <w:div w:id="103237007">
      <w:bodyDiv w:val="1"/>
      <w:marLeft w:val="0"/>
      <w:marRight w:val="0"/>
      <w:marTop w:val="0"/>
      <w:marBottom w:val="0"/>
      <w:divBdr>
        <w:top w:val="none" w:sz="0" w:space="0" w:color="auto"/>
        <w:left w:val="none" w:sz="0" w:space="0" w:color="auto"/>
        <w:bottom w:val="none" w:sz="0" w:space="0" w:color="auto"/>
        <w:right w:val="none" w:sz="0" w:space="0" w:color="auto"/>
      </w:divBdr>
    </w:div>
    <w:div w:id="110562738">
      <w:bodyDiv w:val="1"/>
      <w:marLeft w:val="0"/>
      <w:marRight w:val="0"/>
      <w:marTop w:val="0"/>
      <w:marBottom w:val="0"/>
      <w:divBdr>
        <w:top w:val="none" w:sz="0" w:space="0" w:color="auto"/>
        <w:left w:val="none" w:sz="0" w:space="0" w:color="auto"/>
        <w:bottom w:val="none" w:sz="0" w:space="0" w:color="auto"/>
        <w:right w:val="none" w:sz="0" w:space="0" w:color="auto"/>
      </w:divBdr>
    </w:div>
    <w:div w:id="112333346">
      <w:bodyDiv w:val="1"/>
      <w:marLeft w:val="0"/>
      <w:marRight w:val="0"/>
      <w:marTop w:val="0"/>
      <w:marBottom w:val="0"/>
      <w:divBdr>
        <w:top w:val="none" w:sz="0" w:space="0" w:color="auto"/>
        <w:left w:val="none" w:sz="0" w:space="0" w:color="auto"/>
        <w:bottom w:val="none" w:sz="0" w:space="0" w:color="auto"/>
        <w:right w:val="none" w:sz="0" w:space="0" w:color="auto"/>
      </w:divBdr>
    </w:div>
    <w:div w:id="112528547">
      <w:bodyDiv w:val="1"/>
      <w:marLeft w:val="0"/>
      <w:marRight w:val="0"/>
      <w:marTop w:val="0"/>
      <w:marBottom w:val="0"/>
      <w:divBdr>
        <w:top w:val="none" w:sz="0" w:space="0" w:color="auto"/>
        <w:left w:val="none" w:sz="0" w:space="0" w:color="auto"/>
        <w:bottom w:val="none" w:sz="0" w:space="0" w:color="auto"/>
        <w:right w:val="none" w:sz="0" w:space="0" w:color="auto"/>
      </w:divBdr>
    </w:div>
    <w:div w:id="112748511">
      <w:bodyDiv w:val="1"/>
      <w:marLeft w:val="0"/>
      <w:marRight w:val="0"/>
      <w:marTop w:val="0"/>
      <w:marBottom w:val="0"/>
      <w:divBdr>
        <w:top w:val="none" w:sz="0" w:space="0" w:color="auto"/>
        <w:left w:val="none" w:sz="0" w:space="0" w:color="auto"/>
        <w:bottom w:val="none" w:sz="0" w:space="0" w:color="auto"/>
        <w:right w:val="none" w:sz="0" w:space="0" w:color="auto"/>
      </w:divBdr>
    </w:div>
    <w:div w:id="116799222">
      <w:bodyDiv w:val="1"/>
      <w:marLeft w:val="0"/>
      <w:marRight w:val="0"/>
      <w:marTop w:val="0"/>
      <w:marBottom w:val="0"/>
      <w:divBdr>
        <w:top w:val="none" w:sz="0" w:space="0" w:color="auto"/>
        <w:left w:val="none" w:sz="0" w:space="0" w:color="auto"/>
        <w:bottom w:val="none" w:sz="0" w:space="0" w:color="auto"/>
        <w:right w:val="none" w:sz="0" w:space="0" w:color="auto"/>
      </w:divBdr>
    </w:div>
    <w:div w:id="119303493">
      <w:bodyDiv w:val="1"/>
      <w:marLeft w:val="0"/>
      <w:marRight w:val="0"/>
      <w:marTop w:val="0"/>
      <w:marBottom w:val="0"/>
      <w:divBdr>
        <w:top w:val="none" w:sz="0" w:space="0" w:color="auto"/>
        <w:left w:val="none" w:sz="0" w:space="0" w:color="auto"/>
        <w:bottom w:val="none" w:sz="0" w:space="0" w:color="auto"/>
        <w:right w:val="none" w:sz="0" w:space="0" w:color="auto"/>
      </w:divBdr>
    </w:div>
    <w:div w:id="125705840">
      <w:bodyDiv w:val="1"/>
      <w:marLeft w:val="0"/>
      <w:marRight w:val="0"/>
      <w:marTop w:val="0"/>
      <w:marBottom w:val="0"/>
      <w:divBdr>
        <w:top w:val="none" w:sz="0" w:space="0" w:color="auto"/>
        <w:left w:val="none" w:sz="0" w:space="0" w:color="auto"/>
        <w:bottom w:val="none" w:sz="0" w:space="0" w:color="auto"/>
        <w:right w:val="none" w:sz="0" w:space="0" w:color="auto"/>
      </w:divBdr>
    </w:div>
    <w:div w:id="132602124">
      <w:bodyDiv w:val="1"/>
      <w:marLeft w:val="0"/>
      <w:marRight w:val="0"/>
      <w:marTop w:val="0"/>
      <w:marBottom w:val="0"/>
      <w:divBdr>
        <w:top w:val="none" w:sz="0" w:space="0" w:color="auto"/>
        <w:left w:val="none" w:sz="0" w:space="0" w:color="auto"/>
        <w:bottom w:val="none" w:sz="0" w:space="0" w:color="auto"/>
        <w:right w:val="none" w:sz="0" w:space="0" w:color="auto"/>
      </w:divBdr>
    </w:div>
    <w:div w:id="135487551">
      <w:bodyDiv w:val="1"/>
      <w:marLeft w:val="0"/>
      <w:marRight w:val="0"/>
      <w:marTop w:val="0"/>
      <w:marBottom w:val="0"/>
      <w:divBdr>
        <w:top w:val="none" w:sz="0" w:space="0" w:color="auto"/>
        <w:left w:val="none" w:sz="0" w:space="0" w:color="auto"/>
        <w:bottom w:val="none" w:sz="0" w:space="0" w:color="auto"/>
        <w:right w:val="none" w:sz="0" w:space="0" w:color="auto"/>
      </w:divBdr>
    </w:div>
    <w:div w:id="137041190">
      <w:bodyDiv w:val="1"/>
      <w:marLeft w:val="0"/>
      <w:marRight w:val="0"/>
      <w:marTop w:val="0"/>
      <w:marBottom w:val="0"/>
      <w:divBdr>
        <w:top w:val="none" w:sz="0" w:space="0" w:color="auto"/>
        <w:left w:val="none" w:sz="0" w:space="0" w:color="auto"/>
        <w:bottom w:val="none" w:sz="0" w:space="0" w:color="auto"/>
        <w:right w:val="none" w:sz="0" w:space="0" w:color="auto"/>
      </w:divBdr>
    </w:div>
    <w:div w:id="146632815">
      <w:bodyDiv w:val="1"/>
      <w:marLeft w:val="0"/>
      <w:marRight w:val="0"/>
      <w:marTop w:val="0"/>
      <w:marBottom w:val="0"/>
      <w:divBdr>
        <w:top w:val="none" w:sz="0" w:space="0" w:color="auto"/>
        <w:left w:val="none" w:sz="0" w:space="0" w:color="auto"/>
        <w:bottom w:val="none" w:sz="0" w:space="0" w:color="auto"/>
        <w:right w:val="none" w:sz="0" w:space="0" w:color="auto"/>
      </w:divBdr>
    </w:div>
    <w:div w:id="147208657">
      <w:bodyDiv w:val="1"/>
      <w:marLeft w:val="0"/>
      <w:marRight w:val="0"/>
      <w:marTop w:val="0"/>
      <w:marBottom w:val="0"/>
      <w:divBdr>
        <w:top w:val="none" w:sz="0" w:space="0" w:color="auto"/>
        <w:left w:val="none" w:sz="0" w:space="0" w:color="auto"/>
        <w:bottom w:val="none" w:sz="0" w:space="0" w:color="auto"/>
        <w:right w:val="none" w:sz="0" w:space="0" w:color="auto"/>
      </w:divBdr>
    </w:div>
    <w:div w:id="147864649">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53617684">
      <w:bodyDiv w:val="1"/>
      <w:marLeft w:val="0"/>
      <w:marRight w:val="0"/>
      <w:marTop w:val="0"/>
      <w:marBottom w:val="0"/>
      <w:divBdr>
        <w:top w:val="none" w:sz="0" w:space="0" w:color="auto"/>
        <w:left w:val="none" w:sz="0" w:space="0" w:color="auto"/>
        <w:bottom w:val="none" w:sz="0" w:space="0" w:color="auto"/>
        <w:right w:val="none" w:sz="0" w:space="0" w:color="auto"/>
      </w:divBdr>
    </w:div>
    <w:div w:id="157313491">
      <w:bodyDiv w:val="1"/>
      <w:marLeft w:val="0"/>
      <w:marRight w:val="0"/>
      <w:marTop w:val="0"/>
      <w:marBottom w:val="0"/>
      <w:divBdr>
        <w:top w:val="none" w:sz="0" w:space="0" w:color="auto"/>
        <w:left w:val="none" w:sz="0" w:space="0" w:color="auto"/>
        <w:bottom w:val="none" w:sz="0" w:space="0" w:color="auto"/>
        <w:right w:val="none" w:sz="0" w:space="0" w:color="auto"/>
      </w:divBdr>
    </w:div>
    <w:div w:id="159005967">
      <w:bodyDiv w:val="1"/>
      <w:marLeft w:val="0"/>
      <w:marRight w:val="0"/>
      <w:marTop w:val="0"/>
      <w:marBottom w:val="0"/>
      <w:divBdr>
        <w:top w:val="none" w:sz="0" w:space="0" w:color="auto"/>
        <w:left w:val="none" w:sz="0" w:space="0" w:color="auto"/>
        <w:bottom w:val="none" w:sz="0" w:space="0" w:color="auto"/>
        <w:right w:val="none" w:sz="0" w:space="0" w:color="auto"/>
      </w:divBdr>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017855721">
          <w:marLeft w:val="547"/>
          <w:marRight w:val="0"/>
          <w:marTop w:val="0"/>
          <w:marBottom w:val="120"/>
          <w:divBdr>
            <w:top w:val="none" w:sz="0" w:space="0" w:color="auto"/>
            <w:left w:val="none" w:sz="0" w:space="0" w:color="auto"/>
            <w:bottom w:val="none" w:sz="0" w:space="0" w:color="auto"/>
            <w:right w:val="none" w:sz="0" w:space="0" w:color="auto"/>
          </w:divBdr>
        </w:div>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69608680">
      <w:bodyDiv w:val="1"/>
      <w:marLeft w:val="0"/>
      <w:marRight w:val="0"/>
      <w:marTop w:val="0"/>
      <w:marBottom w:val="0"/>
      <w:divBdr>
        <w:top w:val="none" w:sz="0" w:space="0" w:color="auto"/>
        <w:left w:val="none" w:sz="0" w:space="0" w:color="auto"/>
        <w:bottom w:val="none" w:sz="0" w:space="0" w:color="auto"/>
        <w:right w:val="none" w:sz="0" w:space="0" w:color="auto"/>
      </w:divBdr>
    </w:div>
    <w:div w:id="173107528">
      <w:bodyDiv w:val="1"/>
      <w:marLeft w:val="0"/>
      <w:marRight w:val="0"/>
      <w:marTop w:val="0"/>
      <w:marBottom w:val="0"/>
      <w:divBdr>
        <w:top w:val="none" w:sz="0" w:space="0" w:color="auto"/>
        <w:left w:val="none" w:sz="0" w:space="0" w:color="auto"/>
        <w:bottom w:val="none" w:sz="0" w:space="0" w:color="auto"/>
        <w:right w:val="none" w:sz="0" w:space="0" w:color="auto"/>
      </w:divBdr>
    </w:div>
    <w:div w:id="178274428">
      <w:bodyDiv w:val="1"/>
      <w:marLeft w:val="0"/>
      <w:marRight w:val="0"/>
      <w:marTop w:val="0"/>
      <w:marBottom w:val="0"/>
      <w:divBdr>
        <w:top w:val="none" w:sz="0" w:space="0" w:color="auto"/>
        <w:left w:val="none" w:sz="0" w:space="0" w:color="auto"/>
        <w:bottom w:val="none" w:sz="0" w:space="0" w:color="auto"/>
        <w:right w:val="none" w:sz="0" w:space="0" w:color="auto"/>
      </w:divBdr>
    </w:div>
    <w:div w:id="178546475">
      <w:bodyDiv w:val="1"/>
      <w:marLeft w:val="0"/>
      <w:marRight w:val="0"/>
      <w:marTop w:val="0"/>
      <w:marBottom w:val="0"/>
      <w:divBdr>
        <w:top w:val="none" w:sz="0" w:space="0" w:color="auto"/>
        <w:left w:val="none" w:sz="0" w:space="0" w:color="auto"/>
        <w:bottom w:val="none" w:sz="0" w:space="0" w:color="auto"/>
        <w:right w:val="none" w:sz="0" w:space="0" w:color="auto"/>
      </w:divBdr>
    </w:div>
    <w:div w:id="183176843">
      <w:bodyDiv w:val="1"/>
      <w:marLeft w:val="0"/>
      <w:marRight w:val="0"/>
      <w:marTop w:val="0"/>
      <w:marBottom w:val="0"/>
      <w:divBdr>
        <w:top w:val="none" w:sz="0" w:space="0" w:color="auto"/>
        <w:left w:val="none" w:sz="0" w:space="0" w:color="auto"/>
        <w:bottom w:val="none" w:sz="0" w:space="0" w:color="auto"/>
        <w:right w:val="none" w:sz="0" w:space="0" w:color="auto"/>
      </w:divBdr>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184905432">
      <w:bodyDiv w:val="1"/>
      <w:marLeft w:val="0"/>
      <w:marRight w:val="0"/>
      <w:marTop w:val="0"/>
      <w:marBottom w:val="0"/>
      <w:divBdr>
        <w:top w:val="none" w:sz="0" w:space="0" w:color="auto"/>
        <w:left w:val="none" w:sz="0" w:space="0" w:color="auto"/>
        <w:bottom w:val="none" w:sz="0" w:space="0" w:color="auto"/>
        <w:right w:val="none" w:sz="0" w:space="0" w:color="auto"/>
      </w:divBdr>
    </w:div>
    <w:div w:id="185291441">
      <w:bodyDiv w:val="1"/>
      <w:marLeft w:val="0"/>
      <w:marRight w:val="0"/>
      <w:marTop w:val="0"/>
      <w:marBottom w:val="0"/>
      <w:divBdr>
        <w:top w:val="none" w:sz="0" w:space="0" w:color="auto"/>
        <w:left w:val="none" w:sz="0" w:space="0" w:color="auto"/>
        <w:bottom w:val="none" w:sz="0" w:space="0" w:color="auto"/>
        <w:right w:val="none" w:sz="0" w:space="0" w:color="auto"/>
      </w:divBdr>
    </w:div>
    <w:div w:id="190654925">
      <w:bodyDiv w:val="1"/>
      <w:marLeft w:val="0"/>
      <w:marRight w:val="0"/>
      <w:marTop w:val="0"/>
      <w:marBottom w:val="0"/>
      <w:divBdr>
        <w:top w:val="none" w:sz="0" w:space="0" w:color="auto"/>
        <w:left w:val="none" w:sz="0" w:space="0" w:color="auto"/>
        <w:bottom w:val="none" w:sz="0" w:space="0" w:color="auto"/>
        <w:right w:val="none" w:sz="0" w:space="0" w:color="auto"/>
      </w:divBdr>
    </w:div>
    <w:div w:id="193468932">
      <w:bodyDiv w:val="1"/>
      <w:marLeft w:val="0"/>
      <w:marRight w:val="0"/>
      <w:marTop w:val="0"/>
      <w:marBottom w:val="0"/>
      <w:divBdr>
        <w:top w:val="none" w:sz="0" w:space="0" w:color="auto"/>
        <w:left w:val="none" w:sz="0" w:space="0" w:color="auto"/>
        <w:bottom w:val="none" w:sz="0" w:space="0" w:color="auto"/>
        <w:right w:val="none" w:sz="0" w:space="0" w:color="auto"/>
      </w:divBdr>
    </w:div>
    <w:div w:id="205532066">
      <w:bodyDiv w:val="1"/>
      <w:marLeft w:val="0"/>
      <w:marRight w:val="0"/>
      <w:marTop w:val="0"/>
      <w:marBottom w:val="0"/>
      <w:divBdr>
        <w:top w:val="none" w:sz="0" w:space="0" w:color="auto"/>
        <w:left w:val="none" w:sz="0" w:space="0" w:color="auto"/>
        <w:bottom w:val="none" w:sz="0" w:space="0" w:color="auto"/>
        <w:right w:val="none" w:sz="0" w:space="0" w:color="auto"/>
      </w:divBdr>
    </w:div>
    <w:div w:id="207031243">
      <w:bodyDiv w:val="1"/>
      <w:marLeft w:val="0"/>
      <w:marRight w:val="0"/>
      <w:marTop w:val="0"/>
      <w:marBottom w:val="0"/>
      <w:divBdr>
        <w:top w:val="none" w:sz="0" w:space="0" w:color="auto"/>
        <w:left w:val="none" w:sz="0" w:space="0" w:color="auto"/>
        <w:bottom w:val="none" w:sz="0" w:space="0" w:color="auto"/>
        <w:right w:val="none" w:sz="0" w:space="0" w:color="auto"/>
      </w:divBdr>
    </w:div>
    <w:div w:id="208883685">
      <w:bodyDiv w:val="1"/>
      <w:marLeft w:val="0"/>
      <w:marRight w:val="0"/>
      <w:marTop w:val="0"/>
      <w:marBottom w:val="0"/>
      <w:divBdr>
        <w:top w:val="none" w:sz="0" w:space="0" w:color="auto"/>
        <w:left w:val="none" w:sz="0" w:space="0" w:color="auto"/>
        <w:bottom w:val="none" w:sz="0" w:space="0" w:color="auto"/>
        <w:right w:val="none" w:sz="0" w:space="0" w:color="auto"/>
      </w:divBdr>
    </w:div>
    <w:div w:id="210000203">
      <w:bodyDiv w:val="1"/>
      <w:marLeft w:val="0"/>
      <w:marRight w:val="0"/>
      <w:marTop w:val="0"/>
      <w:marBottom w:val="0"/>
      <w:divBdr>
        <w:top w:val="none" w:sz="0" w:space="0" w:color="auto"/>
        <w:left w:val="none" w:sz="0" w:space="0" w:color="auto"/>
        <w:bottom w:val="none" w:sz="0" w:space="0" w:color="auto"/>
        <w:right w:val="none" w:sz="0" w:space="0" w:color="auto"/>
      </w:divBdr>
    </w:div>
    <w:div w:id="210459949">
      <w:bodyDiv w:val="1"/>
      <w:marLeft w:val="0"/>
      <w:marRight w:val="0"/>
      <w:marTop w:val="0"/>
      <w:marBottom w:val="0"/>
      <w:divBdr>
        <w:top w:val="none" w:sz="0" w:space="0" w:color="auto"/>
        <w:left w:val="none" w:sz="0" w:space="0" w:color="auto"/>
        <w:bottom w:val="none" w:sz="0" w:space="0" w:color="auto"/>
        <w:right w:val="none" w:sz="0" w:space="0" w:color="auto"/>
      </w:divBdr>
    </w:div>
    <w:div w:id="213539570">
      <w:bodyDiv w:val="1"/>
      <w:marLeft w:val="0"/>
      <w:marRight w:val="0"/>
      <w:marTop w:val="0"/>
      <w:marBottom w:val="0"/>
      <w:divBdr>
        <w:top w:val="none" w:sz="0" w:space="0" w:color="auto"/>
        <w:left w:val="none" w:sz="0" w:space="0" w:color="auto"/>
        <w:bottom w:val="none" w:sz="0" w:space="0" w:color="auto"/>
        <w:right w:val="none" w:sz="0" w:space="0" w:color="auto"/>
      </w:divBdr>
    </w:div>
    <w:div w:id="213662690">
      <w:bodyDiv w:val="1"/>
      <w:marLeft w:val="0"/>
      <w:marRight w:val="0"/>
      <w:marTop w:val="0"/>
      <w:marBottom w:val="0"/>
      <w:divBdr>
        <w:top w:val="none" w:sz="0" w:space="0" w:color="auto"/>
        <w:left w:val="none" w:sz="0" w:space="0" w:color="auto"/>
        <w:bottom w:val="none" w:sz="0" w:space="0" w:color="auto"/>
        <w:right w:val="none" w:sz="0" w:space="0" w:color="auto"/>
      </w:divBdr>
      <w:divsChild>
        <w:div w:id="950624480">
          <w:marLeft w:val="446"/>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16165609">
      <w:bodyDiv w:val="1"/>
      <w:marLeft w:val="0"/>
      <w:marRight w:val="0"/>
      <w:marTop w:val="0"/>
      <w:marBottom w:val="0"/>
      <w:divBdr>
        <w:top w:val="none" w:sz="0" w:space="0" w:color="auto"/>
        <w:left w:val="none" w:sz="0" w:space="0" w:color="auto"/>
        <w:bottom w:val="none" w:sz="0" w:space="0" w:color="auto"/>
        <w:right w:val="none" w:sz="0" w:space="0" w:color="auto"/>
      </w:divBdr>
    </w:div>
    <w:div w:id="217134379">
      <w:bodyDiv w:val="1"/>
      <w:marLeft w:val="0"/>
      <w:marRight w:val="0"/>
      <w:marTop w:val="0"/>
      <w:marBottom w:val="0"/>
      <w:divBdr>
        <w:top w:val="none" w:sz="0" w:space="0" w:color="auto"/>
        <w:left w:val="none" w:sz="0" w:space="0" w:color="auto"/>
        <w:bottom w:val="none" w:sz="0" w:space="0" w:color="auto"/>
        <w:right w:val="none" w:sz="0" w:space="0" w:color="auto"/>
      </w:divBdr>
    </w:div>
    <w:div w:id="222444904">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0164987">
      <w:bodyDiv w:val="1"/>
      <w:marLeft w:val="0"/>
      <w:marRight w:val="0"/>
      <w:marTop w:val="0"/>
      <w:marBottom w:val="0"/>
      <w:divBdr>
        <w:top w:val="none" w:sz="0" w:space="0" w:color="auto"/>
        <w:left w:val="none" w:sz="0" w:space="0" w:color="auto"/>
        <w:bottom w:val="none" w:sz="0" w:space="0" w:color="auto"/>
        <w:right w:val="none" w:sz="0" w:space="0" w:color="auto"/>
      </w:divBdr>
    </w:div>
    <w:div w:id="231427853">
      <w:bodyDiv w:val="1"/>
      <w:marLeft w:val="0"/>
      <w:marRight w:val="0"/>
      <w:marTop w:val="0"/>
      <w:marBottom w:val="0"/>
      <w:divBdr>
        <w:top w:val="none" w:sz="0" w:space="0" w:color="auto"/>
        <w:left w:val="none" w:sz="0" w:space="0" w:color="auto"/>
        <w:bottom w:val="none" w:sz="0" w:space="0" w:color="auto"/>
        <w:right w:val="none" w:sz="0" w:space="0" w:color="auto"/>
      </w:divBdr>
    </w:div>
    <w:div w:id="233862229">
      <w:bodyDiv w:val="1"/>
      <w:marLeft w:val="0"/>
      <w:marRight w:val="0"/>
      <w:marTop w:val="0"/>
      <w:marBottom w:val="0"/>
      <w:divBdr>
        <w:top w:val="none" w:sz="0" w:space="0" w:color="auto"/>
        <w:left w:val="none" w:sz="0" w:space="0" w:color="auto"/>
        <w:bottom w:val="none" w:sz="0" w:space="0" w:color="auto"/>
        <w:right w:val="none" w:sz="0" w:space="0" w:color="auto"/>
      </w:divBdr>
      <w:divsChild>
        <w:div w:id="360210077">
          <w:marLeft w:val="547"/>
          <w:marRight w:val="0"/>
          <w:marTop w:val="0"/>
          <w:marBottom w:val="0"/>
          <w:divBdr>
            <w:top w:val="none" w:sz="0" w:space="0" w:color="auto"/>
            <w:left w:val="none" w:sz="0" w:space="0" w:color="auto"/>
            <w:bottom w:val="none" w:sz="0" w:space="0" w:color="auto"/>
            <w:right w:val="none" w:sz="0" w:space="0" w:color="auto"/>
          </w:divBdr>
        </w:div>
        <w:div w:id="1683967891">
          <w:marLeft w:val="547"/>
          <w:marRight w:val="0"/>
          <w:marTop w:val="0"/>
          <w:marBottom w:val="0"/>
          <w:divBdr>
            <w:top w:val="none" w:sz="0" w:space="0" w:color="auto"/>
            <w:left w:val="none" w:sz="0" w:space="0" w:color="auto"/>
            <w:bottom w:val="none" w:sz="0" w:space="0" w:color="auto"/>
            <w:right w:val="none" w:sz="0" w:space="0" w:color="auto"/>
          </w:divBdr>
        </w:div>
        <w:div w:id="1341545152">
          <w:marLeft w:val="547"/>
          <w:marRight w:val="0"/>
          <w:marTop w:val="0"/>
          <w:marBottom w:val="0"/>
          <w:divBdr>
            <w:top w:val="none" w:sz="0" w:space="0" w:color="auto"/>
            <w:left w:val="none" w:sz="0" w:space="0" w:color="auto"/>
            <w:bottom w:val="none" w:sz="0" w:space="0" w:color="auto"/>
            <w:right w:val="none" w:sz="0" w:space="0" w:color="auto"/>
          </w:divBdr>
        </w:div>
      </w:divsChild>
    </w:div>
    <w:div w:id="236861033">
      <w:bodyDiv w:val="1"/>
      <w:marLeft w:val="0"/>
      <w:marRight w:val="0"/>
      <w:marTop w:val="0"/>
      <w:marBottom w:val="0"/>
      <w:divBdr>
        <w:top w:val="none" w:sz="0" w:space="0" w:color="auto"/>
        <w:left w:val="none" w:sz="0" w:space="0" w:color="auto"/>
        <w:bottom w:val="none" w:sz="0" w:space="0" w:color="auto"/>
        <w:right w:val="none" w:sz="0" w:space="0" w:color="auto"/>
      </w:divBdr>
    </w:div>
    <w:div w:id="238373049">
      <w:bodyDiv w:val="1"/>
      <w:marLeft w:val="0"/>
      <w:marRight w:val="0"/>
      <w:marTop w:val="0"/>
      <w:marBottom w:val="0"/>
      <w:divBdr>
        <w:top w:val="none" w:sz="0" w:space="0" w:color="auto"/>
        <w:left w:val="none" w:sz="0" w:space="0" w:color="auto"/>
        <w:bottom w:val="none" w:sz="0" w:space="0" w:color="auto"/>
        <w:right w:val="none" w:sz="0" w:space="0" w:color="auto"/>
      </w:divBdr>
    </w:div>
    <w:div w:id="240601622">
      <w:bodyDiv w:val="1"/>
      <w:marLeft w:val="0"/>
      <w:marRight w:val="0"/>
      <w:marTop w:val="0"/>
      <w:marBottom w:val="0"/>
      <w:divBdr>
        <w:top w:val="none" w:sz="0" w:space="0" w:color="auto"/>
        <w:left w:val="none" w:sz="0" w:space="0" w:color="auto"/>
        <w:bottom w:val="none" w:sz="0" w:space="0" w:color="auto"/>
        <w:right w:val="none" w:sz="0" w:space="0" w:color="auto"/>
      </w:divBdr>
    </w:div>
    <w:div w:id="240870297">
      <w:bodyDiv w:val="1"/>
      <w:marLeft w:val="0"/>
      <w:marRight w:val="0"/>
      <w:marTop w:val="0"/>
      <w:marBottom w:val="0"/>
      <w:divBdr>
        <w:top w:val="none" w:sz="0" w:space="0" w:color="auto"/>
        <w:left w:val="none" w:sz="0" w:space="0" w:color="auto"/>
        <w:bottom w:val="none" w:sz="0" w:space="0" w:color="auto"/>
        <w:right w:val="none" w:sz="0" w:space="0" w:color="auto"/>
      </w:divBdr>
    </w:div>
    <w:div w:id="244538306">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2861974">
      <w:bodyDiv w:val="1"/>
      <w:marLeft w:val="0"/>
      <w:marRight w:val="0"/>
      <w:marTop w:val="0"/>
      <w:marBottom w:val="0"/>
      <w:divBdr>
        <w:top w:val="none" w:sz="0" w:space="0" w:color="auto"/>
        <w:left w:val="none" w:sz="0" w:space="0" w:color="auto"/>
        <w:bottom w:val="none" w:sz="0" w:space="0" w:color="auto"/>
        <w:right w:val="none" w:sz="0" w:space="0" w:color="auto"/>
      </w:divBdr>
    </w:div>
    <w:div w:id="253516372">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55140623">
      <w:bodyDiv w:val="1"/>
      <w:marLeft w:val="0"/>
      <w:marRight w:val="0"/>
      <w:marTop w:val="0"/>
      <w:marBottom w:val="0"/>
      <w:divBdr>
        <w:top w:val="none" w:sz="0" w:space="0" w:color="auto"/>
        <w:left w:val="none" w:sz="0" w:space="0" w:color="auto"/>
        <w:bottom w:val="none" w:sz="0" w:space="0" w:color="auto"/>
        <w:right w:val="none" w:sz="0" w:space="0" w:color="auto"/>
      </w:divBdr>
    </w:div>
    <w:div w:id="261107125">
      <w:bodyDiv w:val="1"/>
      <w:marLeft w:val="0"/>
      <w:marRight w:val="0"/>
      <w:marTop w:val="0"/>
      <w:marBottom w:val="0"/>
      <w:divBdr>
        <w:top w:val="none" w:sz="0" w:space="0" w:color="auto"/>
        <w:left w:val="none" w:sz="0" w:space="0" w:color="auto"/>
        <w:bottom w:val="none" w:sz="0" w:space="0" w:color="auto"/>
        <w:right w:val="none" w:sz="0" w:space="0" w:color="auto"/>
      </w:divBdr>
    </w:div>
    <w:div w:id="263194998">
      <w:bodyDiv w:val="1"/>
      <w:marLeft w:val="0"/>
      <w:marRight w:val="0"/>
      <w:marTop w:val="0"/>
      <w:marBottom w:val="0"/>
      <w:divBdr>
        <w:top w:val="none" w:sz="0" w:space="0" w:color="auto"/>
        <w:left w:val="none" w:sz="0" w:space="0" w:color="auto"/>
        <w:bottom w:val="none" w:sz="0" w:space="0" w:color="auto"/>
        <w:right w:val="none" w:sz="0" w:space="0" w:color="auto"/>
      </w:divBdr>
    </w:div>
    <w:div w:id="263348415">
      <w:bodyDiv w:val="1"/>
      <w:marLeft w:val="0"/>
      <w:marRight w:val="0"/>
      <w:marTop w:val="0"/>
      <w:marBottom w:val="0"/>
      <w:divBdr>
        <w:top w:val="none" w:sz="0" w:space="0" w:color="auto"/>
        <w:left w:val="none" w:sz="0" w:space="0" w:color="auto"/>
        <w:bottom w:val="none" w:sz="0" w:space="0" w:color="auto"/>
        <w:right w:val="none" w:sz="0" w:space="0" w:color="auto"/>
      </w:divBdr>
    </w:div>
    <w:div w:id="265700979">
      <w:bodyDiv w:val="1"/>
      <w:marLeft w:val="0"/>
      <w:marRight w:val="0"/>
      <w:marTop w:val="0"/>
      <w:marBottom w:val="0"/>
      <w:divBdr>
        <w:top w:val="none" w:sz="0" w:space="0" w:color="auto"/>
        <w:left w:val="none" w:sz="0" w:space="0" w:color="auto"/>
        <w:bottom w:val="none" w:sz="0" w:space="0" w:color="auto"/>
        <w:right w:val="none" w:sz="0" w:space="0" w:color="auto"/>
      </w:divBdr>
    </w:div>
    <w:div w:id="271014144">
      <w:bodyDiv w:val="1"/>
      <w:marLeft w:val="0"/>
      <w:marRight w:val="0"/>
      <w:marTop w:val="0"/>
      <w:marBottom w:val="0"/>
      <w:divBdr>
        <w:top w:val="none" w:sz="0" w:space="0" w:color="auto"/>
        <w:left w:val="none" w:sz="0" w:space="0" w:color="auto"/>
        <w:bottom w:val="none" w:sz="0" w:space="0" w:color="auto"/>
        <w:right w:val="none" w:sz="0" w:space="0" w:color="auto"/>
      </w:divBdr>
      <w:divsChild>
        <w:div w:id="1876845975">
          <w:marLeft w:val="547"/>
          <w:marRight w:val="0"/>
          <w:marTop w:val="0"/>
          <w:marBottom w:val="0"/>
          <w:divBdr>
            <w:top w:val="none" w:sz="0" w:space="0" w:color="auto"/>
            <w:left w:val="none" w:sz="0" w:space="0" w:color="auto"/>
            <w:bottom w:val="none" w:sz="0" w:space="0" w:color="auto"/>
            <w:right w:val="none" w:sz="0" w:space="0" w:color="auto"/>
          </w:divBdr>
        </w:div>
        <w:div w:id="442697131">
          <w:marLeft w:val="1166"/>
          <w:marRight w:val="0"/>
          <w:marTop w:val="0"/>
          <w:marBottom w:val="0"/>
          <w:divBdr>
            <w:top w:val="none" w:sz="0" w:space="0" w:color="auto"/>
            <w:left w:val="none" w:sz="0" w:space="0" w:color="auto"/>
            <w:bottom w:val="none" w:sz="0" w:space="0" w:color="auto"/>
            <w:right w:val="none" w:sz="0" w:space="0" w:color="auto"/>
          </w:divBdr>
        </w:div>
        <w:div w:id="1192647626">
          <w:marLeft w:val="1166"/>
          <w:marRight w:val="0"/>
          <w:marTop w:val="0"/>
          <w:marBottom w:val="0"/>
          <w:divBdr>
            <w:top w:val="none" w:sz="0" w:space="0" w:color="auto"/>
            <w:left w:val="none" w:sz="0" w:space="0" w:color="auto"/>
            <w:bottom w:val="none" w:sz="0" w:space="0" w:color="auto"/>
            <w:right w:val="none" w:sz="0" w:space="0" w:color="auto"/>
          </w:divBdr>
        </w:div>
        <w:div w:id="824665128">
          <w:marLeft w:val="1166"/>
          <w:marRight w:val="0"/>
          <w:marTop w:val="0"/>
          <w:marBottom w:val="0"/>
          <w:divBdr>
            <w:top w:val="none" w:sz="0" w:space="0" w:color="auto"/>
            <w:left w:val="none" w:sz="0" w:space="0" w:color="auto"/>
            <w:bottom w:val="none" w:sz="0" w:space="0" w:color="auto"/>
            <w:right w:val="none" w:sz="0" w:space="0" w:color="auto"/>
          </w:divBdr>
        </w:div>
        <w:div w:id="940987564">
          <w:marLeft w:val="547"/>
          <w:marRight w:val="0"/>
          <w:marTop w:val="0"/>
          <w:marBottom w:val="0"/>
          <w:divBdr>
            <w:top w:val="none" w:sz="0" w:space="0" w:color="auto"/>
            <w:left w:val="none" w:sz="0" w:space="0" w:color="auto"/>
            <w:bottom w:val="none" w:sz="0" w:space="0" w:color="auto"/>
            <w:right w:val="none" w:sz="0" w:space="0" w:color="auto"/>
          </w:divBdr>
        </w:div>
        <w:div w:id="1761099329">
          <w:marLeft w:val="1166"/>
          <w:marRight w:val="0"/>
          <w:marTop w:val="0"/>
          <w:marBottom w:val="0"/>
          <w:divBdr>
            <w:top w:val="none" w:sz="0" w:space="0" w:color="auto"/>
            <w:left w:val="none" w:sz="0" w:space="0" w:color="auto"/>
            <w:bottom w:val="none" w:sz="0" w:space="0" w:color="auto"/>
            <w:right w:val="none" w:sz="0" w:space="0" w:color="auto"/>
          </w:divBdr>
        </w:div>
        <w:div w:id="76947857">
          <w:marLeft w:val="1800"/>
          <w:marRight w:val="0"/>
          <w:marTop w:val="0"/>
          <w:marBottom w:val="0"/>
          <w:divBdr>
            <w:top w:val="none" w:sz="0" w:space="0" w:color="auto"/>
            <w:left w:val="none" w:sz="0" w:space="0" w:color="auto"/>
            <w:bottom w:val="none" w:sz="0" w:space="0" w:color="auto"/>
            <w:right w:val="none" w:sz="0" w:space="0" w:color="auto"/>
          </w:divBdr>
        </w:div>
        <w:div w:id="378748184">
          <w:marLeft w:val="1166"/>
          <w:marRight w:val="0"/>
          <w:marTop w:val="0"/>
          <w:marBottom w:val="0"/>
          <w:divBdr>
            <w:top w:val="none" w:sz="0" w:space="0" w:color="auto"/>
            <w:left w:val="none" w:sz="0" w:space="0" w:color="auto"/>
            <w:bottom w:val="none" w:sz="0" w:space="0" w:color="auto"/>
            <w:right w:val="none" w:sz="0" w:space="0" w:color="auto"/>
          </w:divBdr>
        </w:div>
        <w:div w:id="1289512804">
          <w:marLeft w:val="1166"/>
          <w:marRight w:val="0"/>
          <w:marTop w:val="0"/>
          <w:marBottom w:val="0"/>
          <w:divBdr>
            <w:top w:val="none" w:sz="0" w:space="0" w:color="auto"/>
            <w:left w:val="none" w:sz="0" w:space="0" w:color="auto"/>
            <w:bottom w:val="none" w:sz="0" w:space="0" w:color="auto"/>
            <w:right w:val="none" w:sz="0" w:space="0" w:color="auto"/>
          </w:divBdr>
        </w:div>
      </w:divsChild>
    </w:div>
    <w:div w:id="271399289">
      <w:bodyDiv w:val="1"/>
      <w:marLeft w:val="0"/>
      <w:marRight w:val="0"/>
      <w:marTop w:val="0"/>
      <w:marBottom w:val="0"/>
      <w:divBdr>
        <w:top w:val="none" w:sz="0" w:space="0" w:color="auto"/>
        <w:left w:val="none" w:sz="0" w:space="0" w:color="auto"/>
        <w:bottom w:val="none" w:sz="0" w:space="0" w:color="auto"/>
        <w:right w:val="none" w:sz="0" w:space="0" w:color="auto"/>
      </w:divBdr>
    </w:div>
    <w:div w:id="274872544">
      <w:bodyDiv w:val="1"/>
      <w:marLeft w:val="0"/>
      <w:marRight w:val="0"/>
      <w:marTop w:val="0"/>
      <w:marBottom w:val="0"/>
      <w:divBdr>
        <w:top w:val="none" w:sz="0" w:space="0" w:color="auto"/>
        <w:left w:val="none" w:sz="0" w:space="0" w:color="auto"/>
        <w:bottom w:val="none" w:sz="0" w:space="0" w:color="auto"/>
        <w:right w:val="none" w:sz="0" w:space="0" w:color="auto"/>
      </w:divBdr>
    </w:div>
    <w:div w:id="279918150">
      <w:bodyDiv w:val="1"/>
      <w:marLeft w:val="0"/>
      <w:marRight w:val="0"/>
      <w:marTop w:val="0"/>
      <w:marBottom w:val="0"/>
      <w:divBdr>
        <w:top w:val="none" w:sz="0" w:space="0" w:color="auto"/>
        <w:left w:val="none" w:sz="0" w:space="0" w:color="auto"/>
        <w:bottom w:val="none" w:sz="0" w:space="0" w:color="auto"/>
        <w:right w:val="none" w:sz="0" w:space="0" w:color="auto"/>
      </w:divBdr>
      <w:divsChild>
        <w:div w:id="1028602266">
          <w:marLeft w:val="1166"/>
          <w:marRight w:val="0"/>
          <w:marTop w:val="0"/>
          <w:marBottom w:val="0"/>
          <w:divBdr>
            <w:top w:val="none" w:sz="0" w:space="0" w:color="auto"/>
            <w:left w:val="none" w:sz="0" w:space="0" w:color="auto"/>
            <w:bottom w:val="none" w:sz="0" w:space="0" w:color="auto"/>
            <w:right w:val="none" w:sz="0" w:space="0" w:color="auto"/>
          </w:divBdr>
        </w:div>
        <w:div w:id="1070998378">
          <w:marLeft w:val="547"/>
          <w:marRight w:val="0"/>
          <w:marTop w:val="0"/>
          <w:marBottom w:val="0"/>
          <w:divBdr>
            <w:top w:val="none" w:sz="0" w:space="0" w:color="auto"/>
            <w:left w:val="none" w:sz="0" w:space="0" w:color="auto"/>
            <w:bottom w:val="none" w:sz="0" w:space="0" w:color="auto"/>
            <w:right w:val="none" w:sz="0" w:space="0" w:color="auto"/>
          </w:divBdr>
        </w:div>
        <w:div w:id="1105802978">
          <w:marLeft w:val="1800"/>
          <w:marRight w:val="0"/>
          <w:marTop w:val="0"/>
          <w:marBottom w:val="0"/>
          <w:divBdr>
            <w:top w:val="none" w:sz="0" w:space="0" w:color="auto"/>
            <w:left w:val="none" w:sz="0" w:space="0" w:color="auto"/>
            <w:bottom w:val="none" w:sz="0" w:space="0" w:color="auto"/>
            <w:right w:val="none" w:sz="0" w:space="0" w:color="auto"/>
          </w:divBdr>
        </w:div>
        <w:div w:id="1185363550">
          <w:marLeft w:val="1166"/>
          <w:marRight w:val="0"/>
          <w:marTop w:val="0"/>
          <w:marBottom w:val="0"/>
          <w:divBdr>
            <w:top w:val="none" w:sz="0" w:space="0" w:color="auto"/>
            <w:left w:val="none" w:sz="0" w:space="0" w:color="auto"/>
            <w:bottom w:val="none" w:sz="0" w:space="0" w:color="auto"/>
            <w:right w:val="none" w:sz="0" w:space="0" w:color="auto"/>
          </w:divBdr>
        </w:div>
      </w:divsChild>
    </w:div>
    <w:div w:id="280773093">
      <w:bodyDiv w:val="1"/>
      <w:marLeft w:val="0"/>
      <w:marRight w:val="0"/>
      <w:marTop w:val="0"/>
      <w:marBottom w:val="0"/>
      <w:divBdr>
        <w:top w:val="none" w:sz="0" w:space="0" w:color="auto"/>
        <w:left w:val="none" w:sz="0" w:space="0" w:color="auto"/>
        <w:bottom w:val="none" w:sz="0" w:space="0" w:color="auto"/>
        <w:right w:val="none" w:sz="0" w:space="0" w:color="auto"/>
      </w:divBdr>
    </w:div>
    <w:div w:id="282659052">
      <w:bodyDiv w:val="1"/>
      <w:marLeft w:val="0"/>
      <w:marRight w:val="0"/>
      <w:marTop w:val="0"/>
      <w:marBottom w:val="0"/>
      <w:divBdr>
        <w:top w:val="none" w:sz="0" w:space="0" w:color="auto"/>
        <w:left w:val="none" w:sz="0" w:space="0" w:color="auto"/>
        <w:bottom w:val="none" w:sz="0" w:space="0" w:color="auto"/>
        <w:right w:val="none" w:sz="0" w:space="0" w:color="auto"/>
      </w:divBdr>
    </w:div>
    <w:div w:id="283655736">
      <w:bodyDiv w:val="1"/>
      <w:marLeft w:val="0"/>
      <w:marRight w:val="0"/>
      <w:marTop w:val="0"/>
      <w:marBottom w:val="0"/>
      <w:divBdr>
        <w:top w:val="none" w:sz="0" w:space="0" w:color="auto"/>
        <w:left w:val="none" w:sz="0" w:space="0" w:color="auto"/>
        <w:bottom w:val="none" w:sz="0" w:space="0" w:color="auto"/>
        <w:right w:val="none" w:sz="0" w:space="0" w:color="auto"/>
      </w:divBdr>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159278">
          <w:marLeft w:val="1166"/>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2015644904">
          <w:marLeft w:val="547"/>
          <w:marRight w:val="0"/>
          <w:marTop w:val="0"/>
          <w:marBottom w:val="0"/>
          <w:divBdr>
            <w:top w:val="none" w:sz="0" w:space="0" w:color="auto"/>
            <w:left w:val="none" w:sz="0" w:space="0" w:color="auto"/>
            <w:bottom w:val="none" w:sz="0" w:space="0" w:color="auto"/>
            <w:right w:val="none" w:sz="0" w:space="0" w:color="auto"/>
          </w:divBdr>
        </w:div>
      </w:divsChild>
    </w:div>
    <w:div w:id="286011200">
      <w:bodyDiv w:val="1"/>
      <w:marLeft w:val="0"/>
      <w:marRight w:val="0"/>
      <w:marTop w:val="0"/>
      <w:marBottom w:val="0"/>
      <w:divBdr>
        <w:top w:val="none" w:sz="0" w:space="0" w:color="auto"/>
        <w:left w:val="none" w:sz="0" w:space="0" w:color="auto"/>
        <w:bottom w:val="none" w:sz="0" w:space="0" w:color="auto"/>
        <w:right w:val="none" w:sz="0" w:space="0" w:color="auto"/>
      </w:divBdr>
    </w:div>
    <w:div w:id="286856605">
      <w:bodyDiv w:val="1"/>
      <w:marLeft w:val="0"/>
      <w:marRight w:val="0"/>
      <w:marTop w:val="0"/>
      <w:marBottom w:val="0"/>
      <w:divBdr>
        <w:top w:val="none" w:sz="0" w:space="0" w:color="auto"/>
        <w:left w:val="none" w:sz="0" w:space="0" w:color="auto"/>
        <w:bottom w:val="none" w:sz="0" w:space="0" w:color="auto"/>
        <w:right w:val="none" w:sz="0" w:space="0" w:color="auto"/>
      </w:divBdr>
    </w:div>
    <w:div w:id="290790101">
      <w:bodyDiv w:val="1"/>
      <w:marLeft w:val="0"/>
      <w:marRight w:val="0"/>
      <w:marTop w:val="0"/>
      <w:marBottom w:val="0"/>
      <w:divBdr>
        <w:top w:val="none" w:sz="0" w:space="0" w:color="auto"/>
        <w:left w:val="none" w:sz="0" w:space="0" w:color="auto"/>
        <w:bottom w:val="none" w:sz="0" w:space="0" w:color="auto"/>
        <w:right w:val="none" w:sz="0" w:space="0" w:color="auto"/>
      </w:divBdr>
    </w:div>
    <w:div w:id="298220982">
      <w:bodyDiv w:val="1"/>
      <w:marLeft w:val="0"/>
      <w:marRight w:val="0"/>
      <w:marTop w:val="0"/>
      <w:marBottom w:val="0"/>
      <w:divBdr>
        <w:top w:val="none" w:sz="0" w:space="0" w:color="auto"/>
        <w:left w:val="none" w:sz="0" w:space="0" w:color="auto"/>
        <w:bottom w:val="none" w:sz="0" w:space="0" w:color="auto"/>
        <w:right w:val="none" w:sz="0" w:space="0" w:color="auto"/>
      </w:divBdr>
    </w:div>
    <w:div w:id="306328368">
      <w:bodyDiv w:val="1"/>
      <w:marLeft w:val="0"/>
      <w:marRight w:val="0"/>
      <w:marTop w:val="0"/>
      <w:marBottom w:val="0"/>
      <w:divBdr>
        <w:top w:val="none" w:sz="0" w:space="0" w:color="auto"/>
        <w:left w:val="none" w:sz="0" w:space="0" w:color="auto"/>
        <w:bottom w:val="none" w:sz="0" w:space="0" w:color="auto"/>
        <w:right w:val="none" w:sz="0" w:space="0" w:color="auto"/>
      </w:divBdr>
    </w:div>
    <w:div w:id="308559116">
      <w:bodyDiv w:val="1"/>
      <w:marLeft w:val="0"/>
      <w:marRight w:val="0"/>
      <w:marTop w:val="0"/>
      <w:marBottom w:val="0"/>
      <w:divBdr>
        <w:top w:val="none" w:sz="0" w:space="0" w:color="auto"/>
        <w:left w:val="none" w:sz="0" w:space="0" w:color="auto"/>
        <w:bottom w:val="none" w:sz="0" w:space="0" w:color="auto"/>
        <w:right w:val="none" w:sz="0" w:space="0" w:color="auto"/>
      </w:divBdr>
    </w:div>
    <w:div w:id="310839060">
      <w:bodyDiv w:val="1"/>
      <w:marLeft w:val="0"/>
      <w:marRight w:val="0"/>
      <w:marTop w:val="0"/>
      <w:marBottom w:val="0"/>
      <w:divBdr>
        <w:top w:val="none" w:sz="0" w:space="0" w:color="auto"/>
        <w:left w:val="none" w:sz="0" w:space="0" w:color="auto"/>
        <w:bottom w:val="none" w:sz="0" w:space="0" w:color="auto"/>
        <w:right w:val="none" w:sz="0" w:space="0" w:color="auto"/>
      </w:divBdr>
    </w:div>
    <w:div w:id="311835284">
      <w:bodyDiv w:val="1"/>
      <w:marLeft w:val="0"/>
      <w:marRight w:val="0"/>
      <w:marTop w:val="0"/>
      <w:marBottom w:val="0"/>
      <w:divBdr>
        <w:top w:val="none" w:sz="0" w:space="0" w:color="auto"/>
        <w:left w:val="none" w:sz="0" w:space="0" w:color="auto"/>
        <w:bottom w:val="none" w:sz="0" w:space="0" w:color="auto"/>
        <w:right w:val="none" w:sz="0" w:space="0" w:color="auto"/>
      </w:divBdr>
    </w:div>
    <w:div w:id="313682508">
      <w:bodyDiv w:val="1"/>
      <w:marLeft w:val="0"/>
      <w:marRight w:val="0"/>
      <w:marTop w:val="0"/>
      <w:marBottom w:val="0"/>
      <w:divBdr>
        <w:top w:val="none" w:sz="0" w:space="0" w:color="auto"/>
        <w:left w:val="none" w:sz="0" w:space="0" w:color="auto"/>
        <w:bottom w:val="none" w:sz="0" w:space="0" w:color="auto"/>
        <w:right w:val="none" w:sz="0" w:space="0" w:color="auto"/>
      </w:divBdr>
    </w:div>
    <w:div w:id="313721864">
      <w:bodyDiv w:val="1"/>
      <w:marLeft w:val="0"/>
      <w:marRight w:val="0"/>
      <w:marTop w:val="0"/>
      <w:marBottom w:val="0"/>
      <w:divBdr>
        <w:top w:val="none" w:sz="0" w:space="0" w:color="auto"/>
        <w:left w:val="none" w:sz="0" w:space="0" w:color="auto"/>
        <w:bottom w:val="none" w:sz="0" w:space="0" w:color="auto"/>
        <w:right w:val="none" w:sz="0" w:space="0" w:color="auto"/>
      </w:divBdr>
    </w:div>
    <w:div w:id="317002872">
      <w:bodyDiv w:val="1"/>
      <w:marLeft w:val="0"/>
      <w:marRight w:val="0"/>
      <w:marTop w:val="0"/>
      <w:marBottom w:val="0"/>
      <w:divBdr>
        <w:top w:val="none" w:sz="0" w:space="0" w:color="auto"/>
        <w:left w:val="none" w:sz="0" w:space="0" w:color="auto"/>
        <w:bottom w:val="none" w:sz="0" w:space="0" w:color="auto"/>
        <w:right w:val="none" w:sz="0" w:space="0" w:color="auto"/>
      </w:divBdr>
    </w:div>
    <w:div w:id="317153624">
      <w:bodyDiv w:val="1"/>
      <w:marLeft w:val="0"/>
      <w:marRight w:val="0"/>
      <w:marTop w:val="0"/>
      <w:marBottom w:val="0"/>
      <w:divBdr>
        <w:top w:val="none" w:sz="0" w:space="0" w:color="auto"/>
        <w:left w:val="none" w:sz="0" w:space="0" w:color="auto"/>
        <w:bottom w:val="none" w:sz="0" w:space="0" w:color="auto"/>
        <w:right w:val="none" w:sz="0" w:space="0" w:color="auto"/>
      </w:divBdr>
    </w:div>
    <w:div w:id="317615718">
      <w:bodyDiv w:val="1"/>
      <w:marLeft w:val="0"/>
      <w:marRight w:val="0"/>
      <w:marTop w:val="0"/>
      <w:marBottom w:val="0"/>
      <w:divBdr>
        <w:top w:val="none" w:sz="0" w:space="0" w:color="auto"/>
        <w:left w:val="none" w:sz="0" w:space="0" w:color="auto"/>
        <w:bottom w:val="none" w:sz="0" w:space="0" w:color="auto"/>
        <w:right w:val="none" w:sz="0" w:space="0" w:color="auto"/>
      </w:divBdr>
    </w:div>
    <w:div w:id="332101965">
      <w:bodyDiv w:val="1"/>
      <w:marLeft w:val="0"/>
      <w:marRight w:val="0"/>
      <w:marTop w:val="0"/>
      <w:marBottom w:val="0"/>
      <w:divBdr>
        <w:top w:val="none" w:sz="0" w:space="0" w:color="auto"/>
        <w:left w:val="none" w:sz="0" w:space="0" w:color="auto"/>
        <w:bottom w:val="none" w:sz="0" w:space="0" w:color="auto"/>
        <w:right w:val="none" w:sz="0" w:space="0" w:color="auto"/>
      </w:divBdr>
    </w:div>
    <w:div w:id="334311815">
      <w:bodyDiv w:val="1"/>
      <w:marLeft w:val="0"/>
      <w:marRight w:val="0"/>
      <w:marTop w:val="0"/>
      <w:marBottom w:val="0"/>
      <w:divBdr>
        <w:top w:val="none" w:sz="0" w:space="0" w:color="auto"/>
        <w:left w:val="none" w:sz="0" w:space="0" w:color="auto"/>
        <w:bottom w:val="none" w:sz="0" w:space="0" w:color="auto"/>
        <w:right w:val="none" w:sz="0" w:space="0" w:color="auto"/>
      </w:divBdr>
    </w:div>
    <w:div w:id="338847058">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9651959">
          <w:marLeft w:val="1166"/>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 w:id="803087131">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sChild>
    </w:div>
    <w:div w:id="344402154">
      <w:bodyDiv w:val="1"/>
      <w:marLeft w:val="0"/>
      <w:marRight w:val="0"/>
      <w:marTop w:val="0"/>
      <w:marBottom w:val="0"/>
      <w:divBdr>
        <w:top w:val="none" w:sz="0" w:space="0" w:color="auto"/>
        <w:left w:val="none" w:sz="0" w:space="0" w:color="auto"/>
        <w:bottom w:val="none" w:sz="0" w:space="0" w:color="auto"/>
        <w:right w:val="none" w:sz="0" w:space="0" w:color="auto"/>
      </w:divBdr>
    </w:div>
    <w:div w:id="353000704">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5008699">
      <w:bodyDiv w:val="1"/>
      <w:marLeft w:val="0"/>
      <w:marRight w:val="0"/>
      <w:marTop w:val="0"/>
      <w:marBottom w:val="0"/>
      <w:divBdr>
        <w:top w:val="none" w:sz="0" w:space="0" w:color="auto"/>
        <w:left w:val="none" w:sz="0" w:space="0" w:color="auto"/>
        <w:bottom w:val="none" w:sz="0" w:space="0" w:color="auto"/>
        <w:right w:val="none" w:sz="0" w:space="0" w:color="auto"/>
      </w:divBdr>
    </w:div>
    <w:div w:id="359362058">
      <w:bodyDiv w:val="1"/>
      <w:marLeft w:val="0"/>
      <w:marRight w:val="0"/>
      <w:marTop w:val="0"/>
      <w:marBottom w:val="0"/>
      <w:divBdr>
        <w:top w:val="none" w:sz="0" w:space="0" w:color="auto"/>
        <w:left w:val="none" w:sz="0" w:space="0" w:color="auto"/>
        <w:bottom w:val="none" w:sz="0" w:space="0" w:color="auto"/>
        <w:right w:val="none" w:sz="0" w:space="0" w:color="auto"/>
      </w:divBdr>
    </w:div>
    <w:div w:id="364060104">
      <w:bodyDiv w:val="1"/>
      <w:marLeft w:val="0"/>
      <w:marRight w:val="0"/>
      <w:marTop w:val="0"/>
      <w:marBottom w:val="0"/>
      <w:divBdr>
        <w:top w:val="none" w:sz="0" w:space="0" w:color="auto"/>
        <w:left w:val="none" w:sz="0" w:space="0" w:color="auto"/>
        <w:bottom w:val="none" w:sz="0" w:space="0" w:color="auto"/>
        <w:right w:val="none" w:sz="0" w:space="0" w:color="auto"/>
      </w:divBdr>
    </w:div>
    <w:div w:id="373190029">
      <w:bodyDiv w:val="1"/>
      <w:marLeft w:val="0"/>
      <w:marRight w:val="0"/>
      <w:marTop w:val="0"/>
      <w:marBottom w:val="0"/>
      <w:divBdr>
        <w:top w:val="none" w:sz="0" w:space="0" w:color="auto"/>
        <w:left w:val="none" w:sz="0" w:space="0" w:color="auto"/>
        <w:bottom w:val="none" w:sz="0" w:space="0" w:color="auto"/>
        <w:right w:val="none" w:sz="0" w:space="0" w:color="auto"/>
      </w:divBdr>
    </w:div>
    <w:div w:id="373627055">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78169196">
      <w:bodyDiv w:val="1"/>
      <w:marLeft w:val="0"/>
      <w:marRight w:val="0"/>
      <w:marTop w:val="0"/>
      <w:marBottom w:val="0"/>
      <w:divBdr>
        <w:top w:val="none" w:sz="0" w:space="0" w:color="auto"/>
        <w:left w:val="none" w:sz="0" w:space="0" w:color="auto"/>
        <w:bottom w:val="none" w:sz="0" w:space="0" w:color="auto"/>
        <w:right w:val="none" w:sz="0" w:space="0" w:color="auto"/>
      </w:divBdr>
    </w:div>
    <w:div w:id="379401757">
      <w:bodyDiv w:val="1"/>
      <w:marLeft w:val="0"/>
      <w:marRight w:val="0"/>
      <w:marTop w:val="0"/>
      <w:marBottom w:val="0"/>
      <w:divBdr>
        <w:top w:val="none" w:sz="0" w:space="0" w:color="auto"/>
        <w:left w:val="none" w:sz="0" w:space="0" w:color="auto"/>
        <w:bottom w:val="none" w:sz="0" w:space="0" w:color="auto"/>
        <w:right w:val="none" w:sz="0" w:space="0" w:color="auto"/>
      </w:divBdr>
    </w:div>
    <w:div w:id="380135634">
      <w:bodyDiv w:val="1"/>
      <w:marLeft w:val="0"/>
      <w:marRight w:val="0"/>
      <w:marTop w:val="0"/>
      <w:marBottom w:val="0"/>
      <w:divBdr>
        <w:top w:val="none" w:sz="0" w:space="0" w:color="auto"/>
        <w:left w:val="none" w:sz="0" w:space="0" w:color="auto"/>
        <w:bottom w:val="none" w:sz="0" w:space="0" w:color="auto"/>
        <w:right w:val="none" w:sz="0" w:space="0" w:color="auto"/>
      </w:divBdr>
    </w:div>
    <w:div w:id="38171333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95665291">
      <w:bodyDiv w:val="1"/>
      <w:marLeft w:val="0"/>
      <w:marRight w:val="0"/>
      <w:marTop w:val="0"/>
      <w:marBottom w:val="0"/>
      <w:divBdr>
        <w:top w:val="none" w:sz="0" w:space="0" w:color="auto"/>
        <w:left w:val="none" w:sz="0" w:space="0" w:color="auto"/>
        <w:bottom w:val="none" w:sz="0" w:space="0" w:color="auto"/>
        <w:right w:val="none" w:sz="0" w:space="0" w:color="auto"/>
      </w:divBdr>
    </w:div>
    <w:div w:id="395857922">
      <w:bodyDiv w:val="1"/>
      <w:marLeft w:val="0"/>
      <w:marRight w:val="0"/>
      <w:marTop w:val="0"/>
      <w:marBottom w:val="0"/>
      <w:divBdr>
        <w:top w:val="none" w:sz="0" w:space="0" w:color="auto"/>
        <w:left w:val="none" w:sz="0" w:space="0" w:color="auto"/>
        <w:bottom w:val="none" w:sz="0" w:space="0" w:color="auto"/>
        <w:right w:val="none" w:sz="0" w:space="0" w:color="auto"/>
      </w:divBdr>
    </w:div>
    <w:div w:id="396326040">
      <w:bodyDiv w:val="1"/>
      <w:marLeft w:val="0"/>
      <w:marRight w:val="0"/>
      <w:marTop w:val="0"/>
      <w:marBottom w:val="0"/>
      <w:divBdr>
        <w:top w:val="none" w:sz="0" w:space="0" w:color="auto"/>
        <w:left w:val="none" w:sz="0" w:space="0" w:color="auto"/>
        <w:bottom w:val="none" w:sz="0" w:space="0" w:color="auto"/>
        <w:right w:val="none" w:sz="0" w:space="0" w:color="auto"/>
      </w:divBdr>
    </w:div>
    <w:div w:id="400520967">
      <w:bodyDiv w:val="1"/>
      <w:marLeft w:val="0"/>
      <w:marRight w:val="0"/>
      <w:marTop w:val="0"/>
      <w:marBottom w:val="0"/>
      <w:divBdr>
        <w:top w:val="none" w:sz="0" w:space="0" w:color="auto"/>
        <w:left w:val="none" w:sz="0" w:space="0" w:color="auto"/>
        <w:bottom w:val="none" w:sz="0" w:space="0" w:color="auto"/>
        <w:right w:val="none" w:sz="0" w:space="0" w:color="auto"/>
      </w:divBdr>
    </w:div>
    <w:div w:id="401220059">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09549795">
      <w:bodyDiv w:val="1"/>
      <w:marLeft w:val="0"/>
      <w:marRight w:val="0"/>
      <w:marTop w:val="0"/>
      <w:marBottom w:val="0"/>
      <w:divBdr>
        <w:top w:val="none" w:sz="0" w:space="0" w:color="auto"/>
        <w:left w:val="none" w:sz="0" w:space="0" w:color="auto"/>
        <w:bottom w:val="none" w:sz="0" w:space="0" w:color="auto"/>
        <w:right w:val="none" w:sz="0" w:space="0" w:color="auto"/>
      </w:divBdr>
    </w:div>
    <w:div w:id="415519899">
      <w:bodyDiv w:val="1"/>
      <w:marLeft w:val="0"/>
      <w:marRight w:val="0"/>
      <w:marTop w:val="0"/>
      <w:marBottom w:val="0"/>
      <w:divBdr>
        <w:top w:val="none" w:sz="0" w:space="0" w:color="auto"/>
        <w:left w:val="none" w:sz="0" w:space="0" w:color="auto"/>
        <w:bottom w:val="none" w:sz="0" w:space="0" w:color="auto"/>
        <w:right w:val="none" w:sz="0" w:space="0" w:color="auto"/>
      </w:divBdr>
    </w:div>
    <w:div w:id="416220613">
      <w:bodyDiv w:val="1"/>
      <w:marLeft w:val="0"/>
      <w:marRight w:val="0"/>
      <w:marTop w:val="0"/>
      <w:marBottom w:val="0"/>
      <w:divBdr>
        <w:top w:val="none" w:sz="0" w:space="0" w:color="auto"/>
        <w:left w:val="none" w:sz="0" w:space="0" w:color="auto"/>
        <w:bottom w:val="none" w:sz="0" w:space="0" w:color="auto"/>
        <w:right w:val="none" w:sz="0" w:space="0" w:color="auto"/>
      </w:divBdr>
    </w:div>
    <w:div w:id="416291829">
      <w:bodyDiv w:val="1"/>
      <w:marLeft w:val="0"/>
      <w:marRight w:val="0"/>
      <w:marTop w:val="0"/>
      <w:marBottom w:val="0"/>
      <w:divBdr>
        <w:top w:val="none" w:sz="0" w:space="0" w:color="auto"/>
        <w:left w:val="none" w:sz="0" w:space="0" w:color="auto"/>
        <w:bottom w:val="none" w:sz="0" w:space="0" w:color="auto"/>
        <w:right w:val="none" w:sz="0" w:space="0" w:color="auto"/>
      </w:divBdr>
    </w:div>
    <w:div w:id="417482938">
      <w:bodyDiv w:val="1"/>
      <w:marLeft w:val="0"/>
      <w:marRight w:val="0"/>
      <w:marTop w:val="0"/>
      <w:marBottom w:val="0"/>
      <w:divBdr>
        <w:top w:val="none" w:sz="0" w:space="0" w:color="auto"/>
        <w:left w:val="none" w:sz="0" w:space="0" w:color="auto"/>
        <w:bottom w:val="none" w:sz="0" w:space="0" w:color="auto"/>
        <w:right w:val="none" w:sz="0" w:space="0" w:color="auto"/>
      </w:divBdr>
    </w:div>
    <w:div w:id="417483773">
      <w:bodyDiv w:val="1"/>
      <w:marLeft w:val="0"/>
      <w:marRight w:val="0"/>
      <w:marTop w:val="0"/>
      <w:marBottom w:val="0"/>
      <w:divBdr>
        <w:top w:val="none" w:sz="0" w:space="0" w:color="auto"/>
        <w:left w:val="none" w:sz="0" w:space="0" w:color="auto"/>
        <w:bottom w:val="none" w:sz="0" w:space="0" w:color="auto"/>
        <w:right w:val="none" w:sz="0" w:space="0" w:color="auto"/>
      </w:divBdr>
    </w:div>
    <w:div w:id="423889370">
      <w:bodyDiv w:val="1"/>
      <w:marLeft w:val="0"/>
      <w:marRight w:val="0"/>
      <w:marTop w:val="0"/>
      <w:marBottom w:val="0"/>
      <w:divBdr>
        <w:top w:val="none" w:sz="0" w:space="0" w:color="auto"/>
        <w:left w:val="none" w:sz="0" w:space="0" w:color="auto"/>
        <w:bottom w:val="none" w:sz="0" w:space="0" w:color="auto"/>
        <w:right w:val="none" w:sz="0" w:space="0" w:color="auto"/>
      </w:divBdr>
    </w:div>
    <w:div w:id="424572432">
      <w:bodyDiv w:val="1"/>
      <w:marLeft w:val="0"/>
      <w:marRight w:val="0"/>
      <w:marTop w:val="0"/>
      <w:marBottom w:val="0"/>
      <w:divBdr>
        <w:top w:val="none" w:sz="0" w:space="0" w:color="auto"/>
        <w:left w:val="none" w:sz="0" w:space="0" w:color="auto"/>
        <w:bottom w:val="none" w:sz="0" w:space="0" w:color="auto"/>
        <w:right w:val="none" w:sz="0" w:space="0" w:color="auto"/>
      </w:divBdr>
    </w:div>
    <w:div w:id="428163882">
      <w:bodyDiv w:val="1"/>
      <w:marLeft w:val="0"/>
      <w:marRight w:val="0"/>
      <w:marTop w:val="0"/>
      <w:marBottom w:val="0"/>
      <w:divBdr>
        <w:top w:val="none" w:sz="0" w:space="0" w:color="auto"/>
        <w:left w:val="none" w:sz="0" w:space="0" w:color="auto"/>
        <w:bottom w:val="none" w:sz="0" w:space="0" w:color="auto"/>
        <w:right w:val="none" w:sz="0" w:space="0" w:color="auto"/>
      </w:divBdr>
    </w:div>
    <w:div w:id="439494606">
      <w:bodyDiv w:val="1"/>
      <w:marLeft w:val="0"/>
      <w:marRight w:val="0"/>
      <w:marTop w:val="0"/>
      <w:marBottom w:val="0"/>
      <w:divBdr>
        <w:top w:val="none" w:sz="0" w:space="0" w:color="auto"/>
        <w:left w:val="none" w:sz="0" w:space="0" w:color="auto"/>
        <w:bottom w:val="none" w:sz="0" w:space="0" w:color="auto"/>
        <w:right w:val="none" w:sz="0" w:space="0" w:color="auto"/>
      </w:divBdr>
    </w:div>
    <w:div w:id="444347606">
      <w:bodyDiv w:val="1"/>
      <w:marLeft w:val="0"/>
      <w:marRight w:val="0"/>
      <w:marTop w:val="0"/>
      <w:marBottom w:val="0"/>
      <w:divBdr>
        <w:top w:val="none" w:sz="0" w:space="0" w:color="auto"/>
        <w:left w:val="none" w:sz="0" w:space="0" w:color="auto"/>
        <w:bottom w:val="none" w:sz="0" w:space="0" w:color="auto"/>
        <w:right w:val="none" w:sz="0" w:space="0" w:color="auto"/>
      </w:divBdr>
    </w:div>
    <w:div w:id="445930128">
      <w:bodyDiv w:val="1"/>
      <w:marLeft w:val="0"/>
      <w:marRight w:val="0"/>
      <w:marTop w:val="0"/>
      <w:marBottom w:val="0"/>
      <w:divBdr>
        <w:top w:val="none" w:sz="0" w:space="0" w:color="auto"/>
        <w:left w:val="none" w:sz="0" w:space="0" w:color="auto"/>
        <w:bottom w:val="none" w:sz="0" w:space="0" w:color="auto"/>
        <w:right w:val="none" w:sz="0" w:space="0" w:color="auto"/>
      </w:divBdr>
    </w:div>
    <w:div w:id="449202230">
      <w:bodyDiv w:val="1"/>
      <w:marLeft w:val="0"/>
      <w:marRight w:val="0"/>
      <w:marTop w:val="0"/>
      <w:marBottom w:val="0"/>
      <w:divBdr>
        <w:top w:val="none" w:sz="0" w:space="0" w:color="auto"/>
        <w:left w:val="none" w:sz="0" w:space="0" w:color="auto"/>
        <w:bottom w:val="none" w:sz="0" w:space="0" w:color="auto"/>
        <w:right w:val="none" w:sz="0" w:space="0" w:color="auto"/>
      </w:divBdr>
    </w:div>
    <w:div w:id="450589845">
      <w:bodyDiv w:val="1"/>
      <w:marLeft w:val="0"/>
      <w:marRight w:val="0"/>
      <w:marTop w:val="0"/>
      <w:marBottom w:val="0"/>
      <w:divBdr>
        <w:top w:val="none" w:sz="0" w:space="0" w:color="auto"/>
        <w:left w:val="none" w:sz="0" w:space="0" w:color="auto"/>
        <w:bottom w:val="none" w:sz="0" w:space="0" w:color="auto"/>
        <w:right w:val="none" w:sz="0" w:space="0" w:color="auto"/>
      </w:divBdr>
    </w:div>
    <w:div w:id="451749368">
      <w:bodyDiv w:val="1"/>
      <w:marLeft w:val="0"/>
      <w:marRight w:val="0"/>
      <w:marTop w:val="0"/>
      <w:marBottom w:val="0"/>
      <w:divBdr>
        <w:top w:val="none" w:sz="0" w:space="0" w:color="auto"/>
        <w:left w:val="none" w:sz="0" w:space="0" w:color="auto"/>
        <w:bottom w:val="none" w:sz="0" w:space="0" w:color="auto"/>
        <w:right w:val="none" w:sz="0" w:space="0" w:color="auto"/>
      </w:divBdr>
    </w:div>
    <w:div w:id="455876952">
      <w:bodyDiv w:val="1"/>
      <w:marLeft w:val="0"/>
      <w:marRight w:val="0"/>
      <w:marTop w:val="0"/>
      <w:marBottom w:val="0"/>
      <w:divBdr>
        <w:top w:val="none" w:sz="0" w:space="0" w:color="auto"/>
        <w:left w:val="none" w:sz="0" w:space="0" w:color="auto"/>
        <w:bottom w:val="none" w:sz="0" w:space="0" w:color="auto"/>
        <w:right w:val="none" w:sz="0" w:space="0" w:color="auto"/>
      </w:divBdr>
    </w:div>
    <w:div w:id="461191276">
      <w:bodyDiv w:val="1"/>
      <w:marLeft w:val="0"/>
      <w:marRight w:val="0"/>
      <w:marTop w:val="0"/>
      <w:marBottom w:val="0"/>
      <w:divBdr>
        <w:top w:val="none" w:sz="0" w:space="0" w:color="auto"/>
        <w:left w:val="none" w:sz="0" w:space="0" w:color="auto"/>
        <w:bottom w:val="none" w:sz="0" w:space="0" w:color="auto"/>
        <w:right w:val="none" w:sz="0" w:space="0" w:color="auto"/>
      </w:divBdr>
      <w:divsChild>
        <w:div w:id="1141775312">
          <w:marLeft w:val="547"/>
          <w:marRight w:val="0"/>
          <w:marTop w:val="0"/>
          <w:marBottom w:val="0"/>
          <w:divBdr>
            <w:top w:val="none" w:sz="0" w:space="0" w:color="auto"/>
            <w:left w:val="none" w:sz="0" w:space="0" w:color="auto"/>
            <w:bottom w:val="none" w:sz="0" w:space="0" w:color="auto"/>
            <w:right w:val="none" w:sz="0" w:space="0" w:color="auto"/>
          </w:divBdr>
        </w:div>
        <w:div w:id="670572644">
          <w:marLeft w:val="547"/>
          <w:marRight w:val="0"/>
          <w:marTop w:val="0"/>
          <w:marBottom w:val="0"/>
          <w:divBdr>
            <w:top w:val="none" w:sz="0" w:space="0" w:color="auto"/>
            <w:left w:val="none" w:sz="0" w:space="0" w:color="auto"/>
            <w:bottom w:val="none" w:sz="0" w:space="0" w:color="auto"/>
            <w:right w:val="none" w:sz="0" w:space="0" w:color="auto"/>
          </w:divBdr>
        </w:div>
        <w:div w:id="1774011704">
          <w:marLeft w:val="547"/>
          <w:marRight w:val="0"/>
          <w:marTop w:val="0"/>
          <w:marBottom w:val="180"/>
          <w:divBdr>
            <w:top w:val="none" w:sz="0" w:space="0" w:color="auto"/>
            <w:left w:val="none" w:sz="0" w:space="0" w:color="auto"/>
            <w:bottom w:val="none" w:sz="0" w:space="0" w:color="auto"/>
            <w:right w:val="none" w:sz="0" w:space="0" w:color="auto"/>
          </w:divBdr>
        </w:div>
      </w:divsChild>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70948903">
      <w:bodyDiv w:val="1"/>
      <w:marLeft w:val="0"/>
      <w:marRight w:val="0"/>
      <w:marTop w:val="0"/>
      <w:marBottom w:val="0"/>
      <w:divBdr>
        <w:top w:val="none" w:sz="0" w:space="0" w:color="auto"/>
        <w:left w:val="none" w:sz="0" w:space="0" w:color="auto"/>
        <w:bottom w:val="none" w:sz="0" w:space="0" w:color="auto"/>
        <w:right w:val="none" w:sz="0" w:space="0" w:color="auto"/>
      </w:divBdr>
    </w:div>
    <w:div w:id="471795028">
      <w:bodyDiv w:val="1"/>
      <w:marLeft w:val="0"/>
      <w:marRight w:val="0"/>
      <w:marTop w:val="0"/>
      <w:marBottom w:val="0"/>
      <w:divBdr>
        <w:top w:val="none" w:sz="0" w:space="0" w:color="auto"/>
        <w:left w:val="none" w:sz="0" w:space="0" w:color="auto"/>
        <w:bottom w:val="none" w:sz="0" w:space="0" w:color="auto"/>
        <w:right w:val="none" w:sz="0" w:space="0" w:color="auto"/>
      </w:divBdr>
    </w:div>
    <w:div w:id="471798507">
      <w:bodyDiv w:val="1"/>
      <w:marLeft w:val="0"/>
      <w:marRight w:val="0"/>
      <w:marTop w:val="0"/>
      <w:marBottom w:val="0"/>
      <w:divBdr>
        <w:top w:val="none" w:sz="0" w:space="0" w:color="auto"/>
        <w:left w:val="none" w:sz="0" w:space="0" w:color="auto"/>
        <w:bottom w:val="none" w:sz="0" w:space="0" w:color="auto"/>
        <w:right w:val="none" w:sz="0" w:space="0" w:color="auto"/>
      </w:divBdr>
    </w:div>
    <w:div w:id="477495674">
      <w:bodyDiv w:val="1"/>
      <w:marLeft w:val="0"/>
      <w:marRight w:val="0"/>
      <w:marTop w:val="0"/>
      <w:marBottom w:val="0"/>
      <w:divBdr>
        <w:top w:val="none" w:sz="0" w:space="0" w:color="auto"/>
        <w:left w:val="none" w:sz="0" w:space="0" w:color="auto"/>
        <w:bottom w:val="none" w:sz="0" w:space="0" w:color="auto"/>
        <w:right w:val="none" w:sz="0" w:space="0" w:color="auto"/>
      </w:divBdr>
    </w:div>
    <w:div w:id="479077882">
      <w:bodyDiv w:val="1"/>
      <w:marLeft w:val="0"/>
      <w:marRight w:val="0"/>
      <w:marTop w:val="0"/>
      <w:marBottom w:val="0"/>
      <w:divBdr>
        <w:top w:val="none" w:sz="0" w:space="0" w:color="auto"/>
        <w:left w:val="none" w:sz="0" w:space="0" w:color="auto"/>
        <w:bottom w:val="none" w:sz="0" w:space="0" w:color="auto"/>
        <w:right w:val="none" w:sz="0" w:space="0" w:color="auto"/>
      </w:divBdr>
    </w:div>
    <w:div w:id="480733194">
      <w:bodyDiv w:val="1"/>
      <w:marLeft w:val="0"/>
      <w:marRight w:val="0"/>
      <w:marTop w:val="0"/>
      <w:marBottom w:val="0"/>
      <w:divBdr>
        <w:top w:val="none" w:sz="0" w:space="0" w:color="auto"/>
        <w:left w:val="none" w:sz="0" w:space="0" w:color="auto"/>
        <w:bottom w:val="none" w:sz="0" w:space="0" w:color="auto"/>
        <w:right w:val="none" w:sz="0" w:space="0" w:color="auto"/>
      </w:divBdr>
    </w:div>
    <w:div w:id="488131527">
      <w:bodyDiv w:val="1"/>
      <w:marLeft w:val="0"/>
      <w:marRight w:val="0"/>
      <w:marTop w:val="0"/>
      <w:marBottom w:val="0"/>
      <w:divBdr>
        <w:top w:val="none" w:sz="0" w:space="0" w:color="auto"/>
        <w:left w:val="none" w:sz="0" w:space="0" w:color="auto"/>
        <w:bottom w:val="none" w:sz="0" w:space="0" w:color="auto"/>
        <w:right w:val="none" w:sz="0" w:space="0" w:color="auto"/>
      </w:divBdr>
    </w:div>
    <w:div w:id="489030432">
      <w:bodyDiv w:val="1"/>
      <w:marLeft w:val="0"/>
      <w:marRight w:val="0"/>
      <w:marTop w:val="0"/>
      <w:marBottom w:val="0"/>
      <w:divBdr>
        <w:top w:val="none" w:sz="0" w:space="0" w:color="auto"/>
        <w:left w:val="none" w:sz="0" w:space="0" w:color="auto"/>
        <w:bottom w:val="none" w:sz="0" w:space="0" w:color="auto"/>
        <w:right w:val="none" w:sz="0" w:space="0" w:color="auto"/>
      </w:divBdr>
    </w:div>
    <w:div w:id="490099541">
      <w:bodyDiv w:val="1"/>
      <w:marLeft w:val="0"/>
      <w:marRight w:val="0"/>
      <w:marTop w:val="0"/>
      <w:marBottom w:val="0"/>
      <w:divBdr>
        <w:top w:val="none" w:sz="0" w:space="0" w:color="auto"/>
        <w:left w:val="none" w:sz="0" w:space="0" w:color="auto"/>
        <w:bottom w:val="none" w:sz="0" w:space="0" w:color="auto"/>
        <w:right w:val="none" w:sz="0" w:space="0" w:color="auto"/>
      </w:divBdr>
    </w:div>
    <w:div w:id="491288913">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188298852">
          <w:marLeft w:val="547"/>
          <w:marRight w:val="0"/>
          <w:marTop w:val="0"/>
          <w:marBottom w:val="120"/>
          <w:divBdr>
            <w:top w:val="none" w:sz="0" w:space="0" w:color="auto"/>
            <w:left w:val="none" w:sz="0" w:space="0" w:color="auto"/>
            <w:bottom w:val="none" w:sz="0" w:space="0" w:color="auto"/>
            <w:right w:val="none" w:sz="0" w:space="0" w:color="auto"/>
          </w:divBdr>
        </w:div>
        <w:div w:id="785777921">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496045326">
      <w:bodyDiv w:val="1"/>
      <w:marLeft w:val="0"/>
      <w:marRight w:val="0"/>
      <w:marTop w:val="0"/>
      <w:marBottom w:val="0"/>
      <w:divBdr>
        <w:top w:val="none" w:sz="0" w:space="0" w:color="auto"/>
        <w:left w:val="none" w:sz="0" w:space="0" w:color="auto"/>
        <w:bottom w:val="none" w:sz="0" w:space="0" w:color="auto"/>
        <w:right w:val="none" w:sz="0" w:space="0" w:color="auto"/>
      </w:divBdr>
    </w:div>
    <w:div w:id="498233954">
      <w:bodyDiv w:val="1"/>
      <w:marLeft w:val="0"/>
      <w:marRight w:val="0"/>
      <w:marTop w:val="0"/>
      <w:marBottom w:val="0"/>
      <w:divBdr>
        <w:top w:val="none" w:sz="0" w:space="0" w:color="auto"/>
        <w:left w:val="none" w:sz="0" w:space="0" w:color="auto"/>
        <w:bottom w:val="none" w:sz="0" w:space="0" w:color="auto"/>
        <w:right w:val="none" w:sz="0" w:space="0" w:color="auto"/>
      </w:divBdr>
    </w:div>
    <w:div w:id="499194376">
      <w:bodyDiv w:val="1"/>
      <w:marLeft w:val="0"/>
      <w:marRight w:val="0"/>
      <w:marTop w:val="0"/>
      <w:marBottom w:val="0"/>
      <w:divBdr>
        <w:top w:val="none" w:sz="0" w:space="0" w:color="auto"/>
        <w:left w:val="none" w:sz="0" w:space="0" w:color="auto"/>
        <w:bottom w:val="none" w:sz="0" w:space="0" w:color="auto"/>
        <w:right w:val="none" w:sz="0" w:space="0" w:color="auto"/>
      </w:divBdr>
      <w:divsChild>
        <w:div w:id="521364604">
          <w:marLeft w:val="446"/>
          <w:marRight w:val="0"/>
          <w:marTop w:val="0"/>
          <w:marBottom w:val="0"/>
          <w:divBdr>
            <w:top w:val="none" w:sz="0" w:space="0" w:color="auto"/>
            <w:left w:val="none" w:sz="0" w:space="0" w:color="auto"/>
            <w:bottom w:val="none" w:sz="0" w:space="0" w:color="auto"/>
            <w:right w:val="none" w:sz="0" w:space="0" w:color="auto"/>
          </w:divBdr>
        </w:div>
        <w:div w:id="1370110822">
          <w:marLeft w:val="446"/>
          <w:marRight w:val="0"/>
          <w:marTop w:val="0"/>
          <w:marBottom w:val="0"/>
          <w:divBdr>
            <w:top w:val="none" w:sz="0" w:space="0" w:color="auto"/>
            <w:left w:val="none" w:sz="0" w:space="0" w:color="auto"/>
            <w:bottom w:val="none" w:sz="0" w:space="0" w:color="auto"/>
            <w:right w:val="none" w:sz="0" w:space="0" w:color="auto"/>
          </w:divBdr>
        </w:div>
      </w:divsChild>
    </w:div>
    <w:div w:id="499658793">
      <w:bodyDiv w:val="1"/>
      <w:marLeft w:val="0"/>
      <w:marRight w:val="0"/>
      <w:marTop w:val="0"/>
      <w:marBottom w:val="0"/>
      <w:divBdr>
        <w:top w:val="none" w:sz="0" w:space="0" w:color="auto"/>
        <w:left w:val="none" w:sz="0" w:space="0" w:color="auto"/>
        <w:bottom w:val="none" w:sz="0" w:space="0" w:color="auto"/>
        <w:right w:val="none" w:sz="0" w:space="0" w:color="auto"/>
      </w:divBdr>
    </w:div>
    <w:div w:id="501510714">
      <w:bodyDiv w:val="1"/>
      <w:marLeft w:val="0"/>
      <w:marRight w:val="0"/>
      <w:marTop w:val="0"/>
      <w:marBottom w:val="0"/>
      <w:divBdr>
        <w:top w:val="none" w:sz="0" w:space="0" w:color="auto"/>
        <w:left w:val="none" w:sz="0" w:space="0" w:color="auto"/>
        <w:bottom w:val="none" w:sz="0" w:space="0" w:color="auto"/>
        <w:right w:val="none" w:sz="0" w:space="0" w:color="auto"/>
      </w:divBdr>
    </w:div>
    <w:div w:id="502547157">
      <w:bodyDiv w:val="1"/>
      <w:marLeft w:val="0"/>
      <w:marRight w:val="0"/>
      <w:marTop w:val="0"/>
      <w:marBottom w:val="0"/>
      <w:divBdr>
        <w:top w:val="none" w:sz="0" w:space="0" w:color="auto"/>
        <w:left w:val="none" w:sz="0" w:space="0" w:color="auto"/>
        <w:bottom w:val="none" w:sz="0" w:space="0" w:color="auto"/>
        <w:right w:val="none" w:sz="0" w:space="0" w:color="auto"/>
      </w:divBdr>
    </w:div>
    <w:div w:id="504053150">
      <w:bodyDiv w:val="1"/>
      <w:marLeft w:val="0"/>
      <w:marRight w:val="0"/>
      <w:marTop w:val="0"/>
      <w:marBottom w:val="0"/>
      <w:divBdr>
        <w:top w:val="none" w:sz="0" w:space="0" w:color="auto"/>
        <w:left w:val="none" w:sz="0" w:space="0" w:color="auto"/>
        <w:bottom w:val="none" w:sz="0" w:space="0" w:color="auto"/>
        <w:right w:val="none" w:sz="0" w:space="0" w:color="auto"/>
      </w:divBdr>
    </w:div>
    <w:div w:id="505442493">
      <w:bodyDiv w:val="1"/>
      <w:marLeft w:val="0"/>
      <w:marRight w:val="0"/>
      <w:marTop w:val="0"/>
      <w:marBottom w:val="0"/>
      <w:divBdr>
        <w:top w:val="none" w:sz="0" w:space="0" w:color="auto"/>
        <w:left w:val="none" w:sz="0" w:space="0" w:color="auto"/>
        <w:bottom w:val="none" w:sz="0" w:space="0" w:color="auto"/>
        <w:right w:val="none" w:sz="0" w:space="0" w:color="auto"/>
      </w:divBdr>
    </w:div>
    <w:div w:id="505486522">
      <w:bodyDiv w:val="1"/>
      <w:marLeft w:val="0"/>
      <w:marRight w:val="0"/>
      <w:marTop w:val="0"/>
      <w:marBottom w:val="0"/>
      <w:divBdr>
        <w:top w:val="none" w:sz="0" w:space="0" w:color="auto"/>
        <w:left w:val="none" w:sz="0" w:space="0" w:color="auto"/>
        <w:bottom w:val="none" w:sz="0" w:space="0" w:color="auto"/>
        <w:right w:val="none" w:sz="0" w:space="0" w:color="auto"/>
      </w:divBdr>
    </w:div>
    <w:div w:id="507672438">
      <w:bodyDiv w:val="1"/>
      <w:marLeft w:val="0"/>
      <w:marRight w:val="0"/>
      <w:marTop w:val="0"/>
      <w:marBottom w:val="0"/>
      <w:divBdr>
        <w:top w:val="none" w:sz="0" w:space="0" w:color="auto"/>
        <w:left w:val="none" w:sz="0" w:space="0" w:color="auto"/>
        <w:bottom w:val="none" w:sz="0" w:space="0" w:color="auto"/>
        <w:right w:val="none" w:sz="0" w:space="0" w:color="auto"/>
      </w:divBdr>
    </w:div>
    <w:div w:id="50883503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6387197">
      <w:bodyDiv w:val="1"/>
      <w:marLeft w:val="0"/>
      <w:marRight w:val="0"/>
      <w:marTop w:val="0"/>
      <w:marBottom w:val="0"/>
      <w:divBdr>
        <w:top w:val="none" w:sz="0" w:space="0" w:color="auto"/>
        <w:left w:val="none" w:sz="0" w:space="0" w:color="auto"/>
        <w:bottom w:val="none" w:sz="0" w:space="0" w:color="auto"/>
        <w:right w:val="none" w:sz="0" w:space="0" w:color="auto"/>
      </w:divBdr>
    </w:div>
    <w:div w:id="519121502">
      <w:bodyDiv w:val="1"/>
      <w:marLeft w:val="0"/>
      <w:marRight w:val="0"/>
      <w:marTop w:val="0"/>
      <w:marBottom w:val="0"/>
      <w:divBdr>
        <w:top w:val="none" w:sz="0" w:space="0" w:color="auto"/>
        <w:left w:val="none" w:sz="0" w:space="0" w:color="auto"/>
        <w:bottom w:val="none" w:sz="0" w:space="0" w:color="auto"/>
        <w:right w:val="none" w:sz="0" w:space="0" w:color="auto"/>
      </w:divBdr>
    </w:div>
    <w:div w:id="537745018">
      <w:bodyDiv w:val="1"/>
      <w:marLeft w:val="0"/>
      <w:marRight w:val="0"/>
      <w:marTop w:val="0"/>
      <w:marBottom w:val="0"/>
      <w:divBdr>
        <w:top w:val="none" w:sz="0" w:space="0" w:color="auto"/>
        <w:left w:val="none" w:sz="0" w:space="0" w:color="auto"/>
        <w:bottom w:val="none" w:sz="0" w:space="0" w:color="auto"/>
        <w:right w:val="none" w:sz="0" w:space="0" w:color="auto"/>
      </w:divBdr>
    </w:div>
    <w:div w:id="543833303">
      <w:bodyDiv w:val="1"/>
      <w:marLeft w:val="0"/>
      <w:marRight w:val="0"/>
      <w:marTop w:val="0"/>
      <w:marBottom w:val="0"/>
      <w:divBdr>
        <w:top w:val="none" w:sz="0" w:space="0" w:color="auto"/>
        <w:left w:val="none" w:sz="0" w:space="0" w:color="auto"/>
        <w:bottom w:val="none" w:sz="0" w:space="0" w:color="auto"/>
        <w:right w:val="none" w:sz="0" w:space="0" w:color="auto"/>
      </w:divBdr>
    </w:div>
    <w:div w:id="546066244">
      <w:bodyDiv w:val="1"/>
      <w:marLeft w:val="0"/>
      <w:marRight w:val="0"/>
      <w:marTop w:val="0"/>
      <w:marBottom w:val="0"/>
      <w:divBdr>
        <w:top w:val="none" w:sz="0" w:space="0" w:color="auto"/>
        <w:left w:val="none" w:sz="0" w:space="0" w:color="auto"/>
        <w:bottom w:val="none" w:sz="0" w:space="0" w:color="auto"/>
        <w:right w:val="none" w:sz="0" w:space="0" w:color="auto"/>
      </w:divBdr>
    </w:div>
    <w:div w:id="5466004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48298942">
      <w:bodyDiv w:val="1"/>
      <w:marLeft w:val="0"/>
      <w:marRight w:val="0"/>
      <w:marTop w:val="0"/>
      <w:marBottom w:val="0"/>
      <w:divBdr>
        <w:top w:val="none" w:sz="0" w:space="0" w:color="auto"/>
        <w:left w:val="none" w:sz="0" w:space="0" w:color="auto"/>
        <w:bottom w:val="none" w:sz="0" w:space="0" w:color="auto"/>
        <w:right w:val="none" w:sz="0" w:space="0" w:color="auto"/>
      </w:divBdr>
    </w:div>
    <w:div w:id="549534556">
      <w:bodyDiv w:val="1"/>
      <w:marLeft w:val="0"/>
      <w:marRight w:val="0"/>
      <w:marTop w:val="0"/>
      <w:marBottom w:val="0"/>
      <w:divBdr>
        <w:top w:val="none" w:sz="0" w:space="0" w:color="auto"/>
        <w:left w:val="none" w:sz="0" w:space="0" w:color="auto"/>
        <w:bottom w:val="none" w:sz="0" w:space="0" w:color="auto"/>
        <w:right w:val="none" w:sz="0" w:space="0" w:color="auto"/>
      </w:divBdr>
    </w:div>
    <w:div w:id="554512953">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9562998">
      <w:bodyDiv w:val="1"/>
      <w:marLeft w:val="0"/>
      <w:marRight w:val="0"/>
      <w:marTop w:val="0"/>
      <w:marBottom w:val="0"/>
      <w:divBdr>
        <w:top w:val="none" w:sz="0" w:space="0" w:color="auto"/>
        <w:left w:val="none" w:sz="0" w:space="0" w:color="auto"/>
        <w:bottom w:val="none" w:sz="0" w:space="0" w:color="auto"/>
        <w:right w:val="none" w:sz="0" w:space="0" w:color="auto"/>
      </w:divBdr>
    </w:div>
    <w:div w:id="560675957">
      <w:bodyDiv w:val="1"/>
      <w:marLeft w:val="0"/>
      <w:marRight w:val="0"/>
      <w:marTop w:val="0"/>
      <w:marBottom w:val="0"/>
      <w:divBdr>
        <w:top w:val="none" w:sz="0" w:space="0" w:color="auto"/>
        <w:left w:val="none" w:sz="0" w:space="0" w:color="auto"/>
        <w:bottom w:val="none" w:sz="0" w:space="0" w:color="auto"/>
        <w:right w:val="none" w:sz="0" w:space="0" w:color="auto"/>
      </w:divBdr>
    </w:div>
    <w:div w:id="561060942">
      <w:bodyDiv w:val="1"/>
      <w:marLeft w:val="0"/>
      <w:marRight w:val="0"/>
      <w:marTop w:val="0"/>
      <w:marBottom w:val="0"/>
      <w:divBdr>
        <w:top w:val="none" w:sz="0" w:space="0" w:color="auto"/>
        <w:left w:val="none" w:sz="0" w:space="0" w:color="auto"/>
        <w:bottom w:val="none" w:sz="0" w:space="0" w:color="auto"/>
        <w:right w:val="none" w:sz="0" w:space="0" w:color="auto"/>
      </w:divBdr>
    </w:div>
    <w:div w:id="561259477">
      <w:bodyDiv w:val="1"/>
      <w:marLeft w:val="0"/>
      <w:marRight w:val="0"/>
      <w:marTop w:val="0"/>
      <w:marBottom w:val="0"/>
      <w:divBdr>
        <w:top w:val="none" w:sz="0" w:space="0" w:color="auto"/>
        <w:left w:val="none" w:sz="0" w:space="0" w:color="auto"/>
        <w:bottom w:val="none" w:sz="0" w:space="0" w:color="auto"/>
        <w:right w:val="none" w:sz="0" w:space="0" w:color="auto"/>
      </w:divBdr>
    </w:div>
    <w:div w:id="562523710">
      <w:bodyDiv w:val="1"/>
      <w:marLeft w:val="0"/>
      <w:marRight w:val="0"/>
      <w:marTop w:val="0"/>
      <w:marBottom w:val="0"/>
      <w:divBdr>
        <w:top w:val="none" w:sz="0" w:space="0" w:color="auto"/>
        <w:left w:val="none" w:sz="0" w:space="0" w:color="auto"/>
        <w:bottom w:val="none" w:sz="0" w:space="0" w:color="auto"/>
        <w:right w:val="none" w:sz="0" w:space="0" w:color="auto"/>
      </w:divBdr>
      <w:divsChild>
        <w:div w:id="33698265">
          <w:marLeft w:val="547"/>
          <w:marRight w:val="0"/>
          <w:marTop w:val="0"/>
          <w:marBottom w:val="180"/>
          <w:divBdr>
            <w:top w:val="none" w:sz="0" w:space="0" w:color="auto"/>
            <w:left w:val="none" w:sz="0" w:space="0" w:color="auto"/>
            <w:bottom w:val="none" w:sz="0" w:space="0" w:color="auto"/>
            <w:right w:val="none" w:sz="0" w:space="0" w:color="auto"/>
          </w:divBdr>
        </w:div>
        <w:div w:id="114105143">
          <w:marLeft w:val="1166"/>
          <w:marRight w:val="0"/>
          <w:marTop w:val="0"/>
          <w:marBottom w:val="180"/>
          <w:divBdr>
            <w:top w:val="none" w:sz="0" w:space="0" w:color="auto"/>
            <w:left w:val="none" w:sz="0" w:space="0" w:color="auto"/>
            <w:bottom w:val="none" w:sz="0" w:space="0" w:color="auto"/>
            <w:right w:val="none" w:sz="0" w:space="0" w:color="auto"/>
          </w:divBdr>
        </w:div>
        <w:div w:id="229728592">
          <w:marLeft w:val="1166"/>
          <w:marRight w:val="0"/>
          <w:marTop w:val="0"/>
          <w:marBottom w:val="180"/>
          <w:divBdr>
            <w:top w:val="none" w:sz="0" w:space="0" w:color="auto"/>
            <w:left w:val="none" w:sz="0" w:space="0" w:color="auto"/>
            <w:bottom w:val="none" w:sz="0" w:space="0" w:color="auto"/>
            <w:right w:val="none" w:sz="0" w:space="0" w:color="auto"/>
          </w:divBdr>
        </w:div>
        <w:div w:id="326711627">
          <w:marLeft w:val="1800"/>
          <w:marRight w:val="0"/>
          <w:marTop w:val="0"/>
          <w:marBottom w:val="180"/>
          <w:divBdr>
            <w:top w:val="none" w:sz="0" w:space="0" w:color="auto"/>
            <w:left w:val="none" w:sz="0" w:space="0" w:color="auto"/>
            <w:bottom w:val="none" w:sz="0" w:space="0" w:color="auto"/>
            <w:right w:val="none" w:sz="0" w:space="0" w:color="auto"/>
          </w:divBdr>
        </w:div>
        <w:div w:id="766468470">
          <w:marLeft w:val="547"/>
          <w:marRight w:val="0"/>
          <w:marTop w:val="0"/>
          <w:marBottom w:val="180"/>
          <w:divBdr>
            <w:top w:val="none" w:sz="0" w:space="0" w:color="auto"/>
            <w:left w:val="none" w:sz="0" w:space="0" w:color="auto"/>
            <w:bottom w:val="none" w:sz="0" w:space="0" w:color="auto"/>
            <w:right w:val="none" w:sz="0" w:space="0" w:color="auto"/>
          </w:divBdr>
        </w:div>
      </w:divsChild>
    </w:div>
    <w:div w:id="562912647">
      <w:bodyDiv w:val="1"/>
      <w:marLeft w:val="0"/>
      <w:marRight w:val="0"/>
      <w:marTop w:val="0"/>
      <w:marBottom w:val="0"/>
      <w:divBdr>
        <w:top w:val="none" w:sz="0" w:space="0" w:color="auto"/>
        <w:left w:val="none" w:sz="0" w:space="0" w:color="auto"/>
        <w:bottom w:val="none" w:sz="0" w:space="0" w:color="auto"/>
        <w:right w:val="none" w:sz="0" w:space="0" w:color="auto"/>
      </w:divBdr>
    </w:div>
    <w:div w:id="566648492">
      <w:bodyDiv w:val="1"/>
      <w:marLeft w:val="0"/>
      <w:marRight w:val="0"/>
      <w:marTop w:val="0"/>
      <w:marBottom w:val="0"/>
      <w:divBdr>
        <w:top w:val="none" w:sz="0" w:space="0" w:color="auto"/>
        <w:left w:val="none" w:sz="0" w:space="0" w:color="auto"/>
        <w:bottom w:val="none" w:sz="0" w:space="0" w:color="auto"/>
        <w:right w:val="none" w:sz="0" w:space="0" w:color="auto"/>
      </w:divBdr>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019310">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79605419">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89856051">
      <w:bodyDiv w:val="1"/>
      <w:marLeft w:val="0"/>
      <w:marRight w:val="0"/>
      <w:marTop w:val="0"/>
      <w:marBottom w:val="0"/>
      <w:divBdr>
        <w:top w:val="none" w:sz="0" w:space="0" w:color="auto"/>
        <w:left w:val="none" w:sz="0" w:space="0" w:color="auto"/>
        <w:bottom w:val="none" w:sz="0" w:space="0" w:color="auto"/>
        <w:right w:val="none" w:sz="0" w:space="0" w:color="auto"/>
      </w:divBdr>
    </w:div>
    <w:div w:id="595526662">
      <w:bodyDiv w:val="1"/>
      <w:marLeft w:val="0"/>
      <w:marRight w:val="0"/>
      <w:marTop w:val="0"/>
      <w:marBottom w:val="0"/>
      <w:divBdr>
        <w:top w:val="none" w:sz="0" w:space="0" w:color="auto"/>
        <w:left w:val="none" w:sz="0" w:space="0" w:color="auto"/>
        <w:bottom w:val="none" w:sz="0" w:space="0" w:color="auto"/>
        <w:right w:val="none" w:sz="0" w:space="0" w:color="auto"/>
      </w:divBdr>
    </w:div>
    <w:div w:id="596136061">
      <w:bodyDiv w:val="1"/>
      <w:marLeft w:val="0"/>
      <w:marRight w:val="0"/>
      <w:marTop w:val="0"/>
      <w:marBottom w:val="0"/>
      <w:divBdr>
        <w:top w:val="none" w:sz="0" w:space="0" w:color="auto"/>
        <w:left w:val="none" w:sz="0" w:space="0" w:color="auto"/>
        <w:bottom w:val="none" w:sz="0" w:space="0" w:color="auto"/>
        <w:right w:val="none" w:sz="0" w:space="0" w:color="auto"/>
      </w:divBdr>
    </w:div>
    <w:div w:id="597299680">
      <w:bodyDiv w:val="1"/>
      <w:marLeft w:val="0"/>
      <w:marRight w:val="0"/>
      <w:marTop w:val="0"/>
      <w:marBottom w:val="0"/>
      <w:divBdr>
        <w:top w:val="none" w:sz="0" w:space="0" w:color="auto"/>
        <w:left w:val="none" w:sz="0" w:space="0" w:color="auto"/>
        <w:bottom w:val="none" w:sz="0" w:space="0" w:color="auto"/>
        <w:right w:val="none" w:sz="0" w:space="0" w:color="auto"/>
      </w:divBdr>
    </w:div>
    <w:div w:id="597908007">
      <w:bodyDiv w:val="1"/>
      <w:marLeft w:val="0"/>
      <w:marRight w:val="0"/>
      <w:marTop w:val="0"/>
      <w:marBottom w:val="0"/>
      <w:divBdr>
        <w:top w:val="none" w:sz="0" w:space="0" w:color="auto"/>
        <w:left w:val="none" w:sz="0" w:space="0" w:color="auto"/>
        <w:bottom w:val="none" w:sz="0" w:space="0" w:color="auto"/>
        <w:right w:val="none" w:sz="0" w:space="0" w:color="auto"/>
      </w:divBdr>
    </w:div>
    <w:div w:id="598368102">
      <w:bodyDiv w:val="1"/>
      <w:marLeft w:val="0"/>
      <w:marRight w:val="0"/>
      <w:marTop w:val="0"/>
      <w:marBottom w:val="0"/>
      <w:divBdr>
        <w:top w:val="none" w:sz="0" w:space="0" w:color="auto"/>
        <w:left w:val="none" w:sz="0" w:space="0" w:color="auto"/>
        <w:bottom w:val="none" w:sz="0" w:space="0" w:color="auto"/>
        <w:right w:val="none" w:sz="0" w:space="0" w:color="auto"/>
      </w:divBdr>
    </w:div>
    <w:div w:id="598560101">
      <w:bodyDiv w:val="1"/>
      <w:marLeft w:val="0"/>
      <w:marRight w:val="0"/>
      <w:marTop w:val="0"/>
      <w:marBottom w:val="0"/>
      <w:divBdr>
        <w:top w:val="none" w:sz="0" w:space="0" w:color="auto"/>
        <w:left w:val="none" w:sz="0" w:space="0" w:color="auto"/>
        <w:bottom w:val="none" w:sz="0" w:space="0" w:color="auto"/>
        <w:right w:val="none" w:sz="0" w:space="0" w:color="auto"/>
      </w:divBdr>
    </w:div>
    <w:div w:id="599263197">
      <w:bodyDiv w:val="1"/>
      <w:marLeft w:val="0"/>
      <w:marRight w:val="0"/>
      <w:marTop w:val="0"/>
      <w:marBottom w:val="0"/>
      <w:divBdr>
        <w:top w:val="none" w:sz="0" w:space="0" w:color="auto"/>
        <w:left w:val="none" w:sz="0" w:space="0" w:color="auto"/>
        <w:bottom w:val="none" w:sz="0" w:space="0" w:color="auto"/>
        <w:right w:val="none" w:sz="0" w:space="0" w:color="auto"/>
      </w:divBdr>
    </w:div>
    <w:div w:id="599484406">
      <w:bodyDiv w:val="1"/>
      <w:marLeft w:val="0"/>
      <w:marRight w:val="0"/>
      <w:marTop w:val="0"/>
      <w:marBottom w:val="0"/>
      <w:divBdr>
        <w:top w:val="none" w:sz="0" w:space="0" w:color="auto"/>
        <w:left w:val="none" w:sz="0" w:space="0" w:color="auto"/>
        <w:bottom w:val="none" w:sz="0" w:space="0" w:color="auto"/>
        <w:right w:val="none" w:sz="0" w:space="0" w:color="auto"/>
      </w:divBdr>
    </w:div>
    <w:div w:id="602348164">
      <w:bodyDiv w:val="1"/>
      <w:marLeft w:val="0"/>
      <w:marRight w:val="0"/>
      <w:marTop w:val="0"/>
      <w:marBottom w:val="0"/>
      <w:divBdr>
        <w:top w:val="none" w:sz="0" w:space="0" w:color="auto"/>
        <w:left w:val="none" w:sz="0" w:space="0" w:color="auto"/>
        <w:bottom w:val="none" w:sz="0" w:space="0" w:color="auto"/>
        <w:right w:val="none" w:sz="0" w:space="0" w:color="auto"/>
      </w:divBdr>
    </w:div>
    <w:div w:id="603463630">
      <w:bodyDiv w:val="1"/>
      <w:marLeft w:val="0"/>
      <w:marRight w:val="0"/>
      <w:marTop w:val="0"/>
      <w:marBottom w:val="0"/>
      <w:divBdr>
        <w:top w:val="none" w:sz="0" w:space="0" w:color="auto"/>
        <w:left w:val="none" w:sz="0" w:space="0" w:color="auto"/>
        <w:bottom w:val="none" w:sz="0" w:space="0" w:color="auto"/>
        <w:right w:val="none" w:sz="0" w:space="0" w:color="auto"/>
      </w:divBdr>
    </w:div>
    <w:div w:id="61232913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18875202">
      <w:bodyDiv w:val="1"/>
      <w:marLeft w:val="0"/>
      <w:marRight w:val="0"/>
      <w:marTop w:val="0"/>
      <w:marBottom w:val="0"/>
      <w:divBdr>
        <w:top w:val="none" w:sz="0" w:space="0" w:color="auto"/>
        <w:left w:val="none" w:sz="0" w:space="0" w:color="auto"/>
        <w:bottom w:val="none" w:sz="0" w:space="0" w:color="auto"/>
        <w:right w:val="none" w:sz="0" w:space="0" w:color="auto"/>
      </w:divBdr>
    </w:div>
    <w:div w:id="618881005">
      <w:bodyDiv w:val="1"/>
      <w:marLeft w:val="0"/>
      <w:marRight w:val="0"/>
      <w:marTop w:val="0"/>
      <w:marBottom w:val="0"/>
      <w:divBdr>
        <w:top w:val="none" w:sz="0" w:space="0" w:color="auto"/>
        <w:left w:val="none" w:sz="0" w:space="0" w:color="auto"/>
        <w:bottom w:val="none" w:sz="0" w:space="0" w:color="auto"/>
        <w:right w:val="none" w:sz="0" w:space="0" w:color="auto"/>
      </w:divBdr>
    </w:div>
    <w:div w:id="622469687">
      <w:bodyDiv w:val="1"/>
      <w:marLeft w:val="0"/>
      <w:marRight w:val="0"/>
      <w:marTop w:val="0"/>
      <w:marBottom w:val="0"/>
      <w:divBdr>
        <w:top w:val="none" w:sz="0" w:space="0" w:color="auto"/>
        <w:left w:val="none" w:sz="0" w:space="0" w:color="auto"/>
        <w:bottom w:val="none" w:sz="0" w:space="0" w:color="auto"/>
        <w:right w:val="none" w:sz="0" w:space="0" w:color="auto"/>
      </w:divBdr>
    </w:div>
    <w:div w:id="623509910">
      <w:bodyDiv w:val="1"/>
      <w:marLeft w:val="0"/>
      <w:marRight w:val="0"/>
      <w:marTop w:val="0"/>
      <w:marBottom w:val="0"/>
      <w:divBdr>
        <w:top w:val="none" w:sz="0" w:space="0" w:color="auto"/>
        <w:left w:val="none" w:sz="0" w:space="0" w:color="auto"/>
        <w:bottom w:val="none" w:sz="0" w:space="0" w:color="auto"/>
        <w:right w:val="none" w:sz="0" w:space="0" w:color="auto"/>
      </w:divBdr>
    </w:div>
    <w:div w:id="629172353">
      <w:bodyDiv w:val="1"/>
      <w:marLeft w:val="0"/>
      <w:marRight w:val="0"/>
      <w:marTop w:val="0"/>
      <w:marBottom w:val="0"/>
      <w:divBdr>
        <w:top w:val="none" w:sz="0" w:space="0" w:color="auto"/>
        <w:left w:val="none" w:sz="0" w:space="0" w:color="auto"/>
        <w:bottom w:val="none" w:sz="0" w:space="0" w:color="auto"/>
        <w:right w:val="none" w:sz="0" w:space="0" w:color="auto"/>
      </w:divBdr>
    </w:div>
    <w:div w:id="630282957">
      <w:bodyDiv w:val="1"/>
      <w:marLeft w:val="0"/>
      <w:marRight w:val="0"/>
      <w:marTop w:val="0"/>
      <w:marBottom w:val="0"/>
      <w:divBdr>
        <w:top w:val="none" w:sz="0" w:space="0" w:color="auto"/>
        <w:left w:val="none" w:sz="0" w:space="0" w:color="auto"/>
        <w:bottom w:val="none" w:sz="0" w:space="0" w:color="auto"/>
        <w:right w:val="none" w:sz="0" w:space="0" w:color="auto"/>
      </w:divBdr>
    </w:div>
    <w:div w:id="631403170">
      <w:bodyDiv w:val="1"/>
      <w:marLeft w:val="0"/>
      <w:marRight w:val="0"/>
      <w:marTop w:val="0"/>
      <w:marBottom w:val="0"/>
      <w:divBdr>
        <w:top w:val="none" w:sz="0" w:space="0" w:color="auto"/>
        <w:left w:val="none" w:sz="0" w:space="0" w:color="auto"/>
        <w:bottom w:val="none" w:sz="0" w:space="0" w:color="auto"/>
        <w:right w:val="none" w:sz="0" w:space="0" w:color="auto"/>
      </w:divBdr>
    </w:div>
    <w:div w:id="641739708">
      <w:bodyDiv w:val="1"/>
      <w:marLeft w:val="0"/>
      <w:marRight w:val="0"/>
      <w:marTop w:val="0"/>
      <w:marBottom w:val="0"/>
      <w:divBdr>
        <w:top w:val="none" w:sz="0" w:space="0" w:color="auto"/>
        <w:left w:val="none" w:sz="0" w:space="0" w:color="auto"/>
        <w:bottom w:val="none" w:sz="0" w:space="0" w:color="auto"/>
        <w:right w:val="none" w:sz="0" w:space="0" w:color="auto"/>
      </w:divBdr>
    </w:div>
    <w:div w:id="643242893">
      <w:bodyDiv w:val="1"/>
      <w:marLeft w:val="0"/>
      <w:marRight w:val="0"/>
      <w:marTop w:val="0"/>
      <w:marBottom w:val="0"/>
      <w:divBdr>
        <w:top w:val="none" w:sz="0" w:space="0" w:color="auto"/>
        <w:left w:val="none" w:sz="0" w:space="0" w:color="auto"/>
        <w:bottom w:val="none" w:sz="0" w:space="0" w:color="auto"/>
        <w:right w:val="none" w:sz="0" w:space="0" w:color="auto"/>
      </w:divBdr>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47633718">
      <w:bodyDiv w:val="1"/>
      <w:marLeft w:val="0"/>
      <w:marRight w:val="0"/>
      <w:marTop w:val="0"/>
      <w:marBottom w:val="0"/>
      <w:divBdr>
        <w:top w:val="none" w:sz="0" w:space="0" w:color="auto"/>
        <w:left w:val="none" w:sz="0" w:space="0" w:color="auto"/>
        <w:bottom w:val="none" w:sz="0" w:space="0" w:color="auto"/>
        <w:right w:val="none" w:sz="0" w:space="0" w:color="auto"/>
      </w:divBdr>
    </w:div>
    <w:div w:id="660426143">
      <w:bodyDiv w:val="1"/>
      <w:marLeft w:val="0"/>
      <w:marRight w:val="0"/>
      <w:marTop w:val="0"/>
      <w:marBottom w:val="0"/>
      <w:divBdr>
        <w:top w:val="none" w:sz="0" w:space="0" w:color="auto"/>
        <w:left w:val="none" w:sz="0" w:space="0" w:color="auto"/>
        <w:bottom w:val="none" w:sz="0" w:space="0" w:color="auto"/>
        <w:right w:val="none" w:sz="0" w:space="0" w:color="auto"/>
      </w:divBdr>
    </w:div>
    <w:div w:id="662121105">
      <w:bodyDiv w:val="1"/>
      <w:marLeft w:val="0"/>
      <w:marRight w:val="0"/>
      <w:marTop w:val="0"/>
      <w:marBottom w:val="0"/>
      <w:divBdr>
        <w:top w:val="none" w:sz="0" w:space="0" w:color="auto"/>
        <w:left w:val="none" w:sz="0" w:space="0" w:color="auto"/>
        <w:bottom w:val="none" w:sz="0" w:space="0" w:color="auto"/>
        <w:right w:val="none" w:sz="0" w:space="0" w:color="auto"/>
      </w:divBdr>
    </w:div>
    <w:div w:id="665978652">
      <w:bodyDiv w:val="1"/>
      <w:marLeft w:val="0"/>
      <w:marRight w:val="0"/>
      <w:marTop w:val="0"/>
      <w:marBottom w:val="0"/>
      <w:divBdr>
        <w:top w:val="none" w:sz="0" w:space="0" w:color="auto"/>
        <w:left w:val="none" w:sz="0" w:space="0" w:color="auto"/>
        <w:bottom w:val="none" w:sz="0" w:space="0" w:color="auto"/>
        <w:right w:val="none" w:sz="0" w:space="0" w:color="auto"/>
      </w:divBdr>
    </w:div>
    <w:div w:id="668338339">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8720231">
          <w:marLeft w:val="1166"/>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sChild>
    </w:div>
    <w:div w:id="673073785">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6231097">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220218661">
          <w:marLeft w:val="547"/>
          <w:marRight w:val="0"/>
          <w:marTop w:val="0"/>
          <w:marBottom w:val="0"/>
          <w:divBdr>
            <w:top w:val="none" w:sz="0" w:space="0" w:color="auto"/>
            <w:left w:val="none" w:sz="0" w:space="0" w:color="auto"/>
            <w:bottom w:val="none" w:sz="0" w:space="0" w:color="auto"/>
            <w:right w:val="none" w:sz="0" w:space="0" w:color="auto"/>
          </w:divBdr>
        </w:div>
        <w:div w:id="1117867512">
          <w:marLeft w:val="547"/>
          <w:marRight w:val="0"/>
          <w:marTop w:val="0"/>
          <w:marBottom w:val="0"/>
          <w:divBdr>
            <w:top w:val="none" w:sz="0" w:space="0" w:color="auto"/>
            <w:left w:val="none" w:sz="0" w:space="0" w:color="auto"/>
            <w:bottom w:val="none" w:sz="0" w:space="0" w:color="auto"/>
            <w:right w:val="none" w:sz="0" w:space="0" w:color="auto"/>
          </w:divBdr>
        </w:div>
      </w:divsChild>
    </w:div>
    <w:div w:id="680350160">
      <w:bodyDiv w:val="1"/>
      <w:marLeft w:val="0"/>
      <w:marRight w:val="0"/>
      <w:marTop w:val="0"/>
      <w:marBottom w:val="0"/>
      <w:divBdr>
        <w:top w:val="none" w:sz="0" w:space="0" w:color="auto"/>
        <w:left w:val="none" w:sz="0" w:space="0" w:color="auto"/>
        <w:bottom w:val="none" w:sz="0" w:space="0" w:color="auto"/>
        <w:right w:val="none" w:sz="0" w:space="0" w:color="auto"/>
      </w:divBdr>
    </w:div>
    <w:div w:id="682364046">
      <w:bodyDiv w:val="1"/>
      <w:marLeft w:val="0"/>
      <w:marRight w:val="0"/>
      <w:marTop w:val="0"/>
      <w:marBottom w:val="0"/>
      <w:divBdr>
        <w:top w:val="none" w:sz="0" w:space="0" w:color="auto"/>
        <w:left w:val="none" w:sz="0" w:space="0" w:color="auto"/>
        <w:bottom w:val="none" w:sz="0" w:space="0" w:color="auto"/>
        <w:right w:val="none" w:sz="0" w:space="0" w:color="auto"/>
      </w:divBdr>
    </w:div>
    <w:div w:id="686441714">
      <w:bodyDiv w:val="1"/>
      <w:marLeft w:val="0"/>
      <w:marRight w:val="0"/>
      <w:marTop w:val="0"/>
      <w:marBottom w:val="0"/>
      <w:divBdr>
        <w:top w:val="none" w:sz="0" w:space="0" w:color="auto"/>
        <w:left w:val="none" w:sz="0" w:space="0" w:color="auto"/>
        <w:bottom w:val="none" w:sz="0" w:space="0" w:color="auto"/>
        <w:right w:val="none" w:sz="0" w:space="0" w:color="auto"/>
      </w:divBdr>
    </w:div>
    <w:div w:id="687760541">
      <w:bodyDiv w:val="1"/>
      <w:marLeft w:val="0"/>
      <w:marRight w:val="0"/>
      <w:marTop w:val="0"/>
      <w:marBottom w:val="0"/>
      <w:divBdr>
        <w:top w:val="none" w:sz="0" w:space="0" w:color="auto"/>
        <w:left w:val="none" w:sz="0" w:space="0" w:color="auto"/>
        <w:bottom w:val="none" w:sz="0" w:space="0" w:color="auto"/>
        <w:right w:val="none" w:sz="0" w:space="0" w:color="auto"/>
      </w:divBdr>
    </w:div>
    <w:div w:id="696850790">
      <w:bodyDiv w:val="1"/>
      <w:marLeft w:val="0"/>
      <w:marRight w:val="0"/>
      <w:marTop w:val="0"/>
      <w:marBottom w:val="0"/>
      <w:divBdr>
        <w:top w:val="none" w:sz="0" w:space="0" w:color="auto"/>
        <w:left w:val="none" w:sz="0" w:space="0" w:color="auto"/>
        <w:bottom w:val="none" w:sz="0" w:space="0" w:color="auto"/>
        <w:right w:val="none" w:sz="0" w:space="0" w:color="auto"/>
      </w:divBdr>
    </w:div>
    <w:div w:id="698623089">
      <w:bodyDiv w:val="1"/>
      <w:marLeft w:val="0"/>
      <w:marRight w:val="0"/>
      <w:marTop w:val="0"/>
      <w:marBottom w:val="0"/>
      <w:divBdr>
        <w:top w:val="none" w:sz="0" w:space="0" w:color="auto"/>
        <w:left w:val="none" w:sz="0" w:space="0" w:color="auto"/>
        <w:bottom w:val="none" w:sz="0" w:space="0" w:color="auto"/>
        <w:right w:val="none" w:sz="0" w:space="0" w:color="auto"/>
      </w:divBdr>
    </w:div>
    <w:div w:id="699665126">
      <w:bodyDiv w:val="1"/>
      <w:marLeft w:val="0"/>
      <w:marRight w:val="0"/>
      <w:marTop w:val="0"/>
      <w:marBottom w:val="0"/>
      <w:divBdr>
        <w:top w:val="none" w:sz="0" w:space="0" w:color="auto"/>
        <w:left w:val="none" w:sz="0" w:space="0" w:color="auto"/>
        <w:bottom w:val="none" w:sz="0" w:space="0" w:color="auto"/>
        <w:right w:val="none" w:sz="0" w:space="0" w:color="auto"/>
      </w:divBdr>
    </w:div>
    <w:div w:id="700009630">
      <w:bodyDiv w:val="1"/>
      <w:marLeft w:val="0"/>
      <w:marRight w:val="0"/>
      <w:marTop w:val="0"/>
      <w:marBottom w:val="0"/>
      <w:divBdr>
        <w:top w:val="none" w:sz="0" w:space="0" w:color="auto"/>
        <w:left w:val="none" w:sz="0" w:space="0" w:color="auto"/>
        <w:bottom w:val="none" w:sz="0" w:space="0" w:color="auto"/>
        <w:right w:val="none" w:sz="0" w:space="0" w:color="auto"/>
      </w:divBdr>
    </w:div>
    <w:div w:id="701439656">
      <w:bodyDiv w:val="1"/>
      <w:marLeft w:val="0"/>
      <w:marRight w:val="0"/>
      <w:marTop w:val="0"/>
      <w:marBottom w:val="0"/>
      <w:divBdr>
        <w:top w:val="none" w:sz="0" w:space="0" w:color="auto"/>
        <w:left w:val="none" w:sz="0" w:space="0" w:color="auto"/>
        <w:bottom w:val="none" w:sz="0" w:space="0" w:color="auto"/>
        <w:right w:val="none" w:sz="0" w:space="0" w:color="auto"/>
      </w:divBdr>
    </w:div>
    <w:div w:id="703361263">
      <w:bodyDiv w:val="1"/>
      <w:marLeft w:val="0"/>
      <w:marRight w:val="0"/>
      <w:marTop w:val="0"/>
      <w:marBottom w:val="0"/>
      <w:divBdr>
        <w:top w:val="none" w:sz="0" w:space="0" w:color="auto"/>
        <w:left w:val="none" w:sz="0" w:space="0" w:color="auto"/>
        <w:bottom w:val="none" w:sz="0" w:space="0" w:color="auto"/>
        <w:right w:val="none" w:sz="0" w:space="0" w:color="auto"/>
      </w:divBdr>
    </w:div>
    <w:div w:id="704794293">
      <w:bodyDiv w:val="1"/>
      <w:marLeft w:val="0"/>
      <w:marRight w:val="0"/>
      <w:marTop w:val="0"/>
      <w:marBottom w:val="0"/>
      <w:divBdr>
        <w:top w:val="none" w:sz="0" w:space="0" w:color="auto"/>
        <w:left w:val="none" w:sz="0" w:space="0" w:color="auto"/>
        <w:bottom w:val="none" w:sz="0" w:space="0" w:color="auto"/>
        <w:right w:val="none" w:sz="0" w:space="0" w:color="auto"/>
      </w:divBdr>
    </w:div>
    <w:div w:id="706176764">
      <w:bodyDiv w:val="1"/>
      <w:marLeft w:val="0"/>
      <w:marRight w:val="0"/>
      <w:marTop w:val="0"/>
      <w:marBottom w:val="0"/>
      <w:divBdr>
        <w:top w:val="none" w:sz="0" w:space="0" w:color="auto"/>
        <w:left w:val="none" w:sz="0" w:space="0" w:color="auto"/>
        <w:bottom w:val="none" w:sz="0" w:space="0" w:color="auto"/>
        <w:right w:val="none" w:sz="0" w:space="0" w:color="auto"/>
      </w:divBdr>
    </w:div>
    <w:div w:id="710884708">
      <w:bodyDiv w:val="1"/>
      <w:marLeft w:val="0"/>
      <w:marRight w:val="0"/>
      <w:marTop w:val="0"/>
      <w:marBottom w:val="0"/>
      <w:divBdr>
        <w:top w:val="none" w:sz="0" w:space="0" w:color="auto"/>
        <w:left w:val="none" w:sz="0" w:space="0" w:color="auto"/>
        <w:bottom w:val="none" w:sz="0" w:space="0" w:color="auto"/>
        <w:right w:val="none" w:sz="0" w:space="0" w:color="auto"/>
      </w:divBdr>
      <w:divsChild>
        <w:div w:id="1546602632">
          <w:marLeft w:val="1066"/>
          <w:marRight w:val="0"/>
          <w:marTop w:val="240"/>
          <w:marBottom w:val="0"/>
          <w:divBdr>
            <w:top w:val="none" w:sz="0" w:space="0" w:color="auto"/>
            <w:left w:val="none" w:sz="0" w:space="0" w:color="auto"/>
            <w:bottom w:val="none" w:sz="0" w:space="0" w:color="auto"/>
            <w:right w:val="none" w:sz="0" w:space="0" w:color="auto"/>
          </w:divBdr>
        </w:div>
      </w:divsChild>
    </w:div>
    <w:div w:id="712535208">
      <w:bodyDiv w:val="1"/>
      <w:marLeft w:val="0"/>
      <w:marRight w:val="0"/>
      <w:marTop w:val="0"/>
      <w:marBottom w:val="0"/>
      <w:divBdr>
        <w:top w:val="none" w:sz="0" w:space="0" w:color="auto"/>
        <w:left w:val="none" w:sz="0" w:space="0" w:color="auto"/>
        <w:bottom w:val="none" w:sz="0" w:space="0" w:color="auto"/>
        <w:right w:val="none" w:sz="0" w:space="0" w:color="auto"/>
      </w:divBdr>
    </w:div>
    <w:div w:id="713383318">
      <w:bodyDiv w:val="1"/>
      <w:marLeft w:val="0"/>
      <w:marRight w:val="0"/>
      <w:marTop w:val="0"/>
      <w:marBottom w:val="0"/>
      <w:divBdr>
        <w:top w:val="none" w:sz="0" w:space="0" w:color="auto"/>
        <w:left w:val="none" w:sz="0" w:space="0" w:color="auto"/>
        <w:bottom w:val="none" w:sz="0" w:space="0" w:color="auto"/>
        <w:right w:val="none" w:sz="0" w:space="0" w:color="auto"/>
      </w:divBdr>
    </w:div>
    <w:div w:id="716976293">
      <w:bodyDiv w:val="1"/>
      <w:marLeft w:val="0"/>
      <w:marRight w:val="0"/>
      <w:marTop w:val="0"/>
      <w:marBottom w:val="0"/>
      <w:divBdr>
        <w:top w:val="none" w:sz="0" w:space="0" w:color="auto"/>
        <w:left w:val="none" w:sz="0" w:space="0" w:color="auto"/>
        <w:bottom w:val="none" w:sz="0" w:space="0" w:color="auto"/>
        <w:right w:val="none" w:sz="0" w:space="0" w:color="auto"/>
      </w:divBdr>
    </w:div>
    <w:div w:id="717752510">
      <w:bodyDiv w:val="1"/>
      <w:marLeft w:val="0"/>
      <w:marRight w:val="0"/>
      <w:marTop w:val="0"/>
      <w:marBottom w:val="0"/>
      <w:divBdr>
        <w:top w:val="none" w:sz="0" w:space="0" w:color="auto"/>
        <w:left w:val="none" w:sz="0" w:space="0" w:color="auto"/>
        <w:bottom w:val="none" w:sz="0" w:space="0" w:color="auto"/>
        <w:right w:val="none" w:sz="0" w:space="0" w:color="auto"/>
      </w:divBdr>
    </w:div>
    <w:div w:id="724262191">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8043379">
      <w:bodyDiv w:val="1"/>
      <w:marLeft w:val="0"/>
      <w:marRight w:val="0"/>
      <w:marTop w:val="0"/>
      <w:marBottom w:val="0"/>
      <w:divBdr>
        <w:top w:val="none" w:sz="0" w:space="0" w:color="auto"/>
        <w:left w:val="none" w:sz="0" w:space="0" w:color="auto"/>
        <w:bottom w:val="none" w:sz="0" w:space="0" w:color="auto"/>
        <w:right w:val="none" w:sz="0" w:space="0" w:color="auto"/>
      </w:divBdr>
    </w:div>
    <w:div w:id="732435265">
      <w:bodyDiv w:val="1"/>
      <w:marLeft w:val="0"/>
      <w:marRight w:val="0"/>
      <w:marTop w:val="0"/>
      <w:marBottom w:val="0"/>
      <w:divBdr>
        <w:top w:val="none" w:sz="0" w:space="0" w:color="auto"/>
        <w:left w:val="none" w:sz="0" w:space="0" w:color="auto"/>
        <w:bottom w:val="none" w:sz="0" w:space="0" w:color="auto"/>
        <w:right w:val="none" w:sz="0" w:space="0" w:color="auto"/>
      </w:divBdr>
    </w:div>
    <w:div w:id="736975042">
      <w:bodyDiv w:val="1"/>
      <w:marLeft w:val="0"/>
      <w:marRight w:val="0"/>
      <w:marTop w:val="0"/>
      <w:marBottom w:val="0"/>
      <w:divBdr>
        <w:top w:val="none" w:sz="0" w:space="0" w:color="auto"/>
        <w:left w:val="none" w:sz="0" w:space="0" w:color="auto"/>
        <w:bottom w:val="none" w:sz="0" w:space="0" w:color="auto"/>
        <w:right w:val="none" w:sz="0" w:space="0" w:color="auto"/>
      </w:divBdr>
    </w:div>
    <w:div w:id="736979989">
      <w:bodyDiv w:val="1"/>
      <w:marLeft w:val="0"/>
      <w:marRight w:val="0"/>
      <w:marTop w:val="0"/>
      <w:marBottom w:val="0"/>
      <w:divBdr>
        <w:top w:val="none" w:sz="0" w:space="0" w:color="auto"/>
        <w:left w:val="none" w:sz="0" w:space="0" w:color="auto"/>
        <w:bottom w:val="none" w:sz="0" w:space="0" w:color="auto"/>
        <w:right w:val="none" w:sz="0" w:space="0" w:color="auto"/>
      </w:divBdr>
    </w:div>
    <w:div w:id="740566115">
      <w:bodyDiv w:val="1"/>
      <w:marLeft w:val="0"/>
      <w:marRight w:val="0"/>
      <w:marTop w:val="0"/>
      <w:marBottom w:val="0"/>
      <w:divBdr>
        <w:top w:val="none" w:sz="0" w:space="0" w:color="auto"/>
        <w:left w:val="none" w:sz="0" w:space="0" w:color="auto"/>
        <w:bottom w:val="none" w:sz="0" w:space="0" w:color="auto"/>
        <w:right w:val="none" w:sz="0" w:space="0" w:color="auto"/>
      </w:divBdr>
    </w:div>
    <w:div w:id="754787131">
      <w:bodyDiv w:val="1"/>
      <w:marLeft w:val="0"/>
      <w:marRight w:val="0"/>
      <w:marTop w:val="0"/>
      <w:marBottom w:val="0"/>
      <w:divBdr>
        <w:top w:val="none" w:sz="0" w:space="0" w:color="auto"/>
        <w:left w:val="none" w:sz="0" w:space="0" w:color="auto"/>
        <w:bottom w:val="none" w:sz="0" w:space="0" w:color="auto"/>
        <w:right w:val="none" w:sz="0" w:space="0" w:color="auto"/>
      </w:divBdr>
    </w:div>
    <w:div w:id="758797978">
      <w:bodyDiv w:val="1"/>
      <w:marLeft w:val="0"/>
      <w:marRight w:val="0"/>
      <w:marTop w:val="0"/>
      <w:marBottom w:val="0"/>
      <w:divBdr>
        <w:top w:val="none" w:sz="0" w:space="0" w:color="auto"/>
        <w:left w:val="none" w:sz="0" w:space="0" w:color="auto"/>
        <w:bottom w:val="none" w:sz="0" w:space="0" w:color="auto"/>
        <w:right w:val="none" w:sz="0" w:space="0" w:color="auto"/>
      </w:divBdr>
    </w:div>
    <w:div w:id="761147080">
      <w:bodyDiv w:val="1"/>
      <w:marLeft w:val="0"/>
      <w:marRight w:val="0"/>
      <w:marTop w:val="0"/>
      <w:marBottom w:val="0"/>
      <w:divBdr>
        <w:top w:val="none" w:sz="0" w:space="0" w:color="auto"/>
        <w:left w:val="none" w:sz="0" w:space="0" w:color="auto"/>
        <w:bottom w:val="none" w:sz="0" w:space="0" w:color="auto"/>
        <w:right w:val="none" w:sz="0" w:space="0" w:color="auto"/>
      </w:divBdr>
    </w:div>
    <w:div w:id="762381895">
      <w:bodyDiv w:val="1"/>
      <w:marLeft w:val="0"/>
      <w:marRight w:val="0"/>
      <w:marTop w:val="0"/>
      <w:marBottom w:val="0"/>
      <w:divBdr>
        <w:top w:val="none" w:sz="0" w:space="0" w:color="auto"/>
        <w:left w:val="none" w:sz="0" w:space="0" w:color="auto"/>
        <w:bottom w:val="none" w:sz="0" w:space="0" w:color="auto"/>
        <w:right w:val="none" w:sz="0" w:space="0" w:color="auto"/>
      </w:divBdr>
    </w:div>
    <w:div w:id="762994505">
      <w:bodyDiv w:val="1"/>
      <w:marLeft w:val="0"/>
      <w:marRight w:val="0"/>
      <w:marTop w:val="0"/>
      <w:marBottom w:val="0"/>
      <w:divBdr>
        <w:top w:val="none" w:sz="0" w:space="0" w:color="auto"/>
        <w:left w:val="none" w:sz="0" w:space="0" w:color="auto"/>
        <w:bottom w:val="none" w:sz="0" w:space="0" w:color="auto"/>
        <w:right w:val="none" w:sz="0" w:space="0" w:color="auto"/>
      </w:divBdr>
    </w:div>
    <w:div w:id="764305068">
      <w:bodyDiv w:val="1"/>
      <w:marLeft w:val="0"/>
      <w:marRight w:val="0"/>
      <w:marTop w:val="0"/>
      <w:marBottom w:val="0"/>
      <w:divBdr>
        <w:top w:val="none" w:sz="0" w:space="0" w:color="auto"/>
        <w:left w:val="none" w:sz="0" w:space="0" w:color="auto"/>
        <w:bottom w:val="none" w:sz="0" w:space="0" w:color="auto"/>
        <w:right w:val="none" w:sz="0" w:space="0" w:color="auto"/>
      </w:divBdr>
    </w:div>
    <w:div w:id="767703500">
      <w:bodyDiv w:val="1"/>
      <w:marLeft w:val="0"/>
      <w:marRight w:val="0"/>
      <w:marTop w:val="0"/>
      <w:marBottom w:val="0"/>
      <w:divBdr>
        <w:top w:val="none" w:sz="0" w:space="0" w:color="auto"/>
        <w:left w:val="none" w:sz="0" w:space="0" w:color="auto"/>
        <w:bottom w:val="none" w:sz="0" w:space="0" w:color="auto"/>
        <w:right w:val="none" w:sz="0" w:space="0" w:color="auto"/>
      </w:divBdr>
    </w:div>
    <w:div w:id="772826815">
      <w:bodyDiv w:val="1"/>
      <w:marLeft w:val="0"/>
      <w:marRight w:val="0"/>
      <w:marTop w:val="0"/>
      <w:marBottom w:val="0"/>
      <w:divBdr>
        <w:top w:val="none" w:sz="0" w:space="0" w:color="auto"/>
        <w:left w:val="none" w:sz="0" w:space="0" w:color="auto"/>
        <w:bottom w:val="none" w:sz="0" w:space="0" w:color="auto"/>
        <w:right w:val="none" w:sz="0" w:space="0" w:color="auto"/>
      </w:divBdr>
    </w:div>
    <w:div w:id="774910030">
      <w:bodyDiv w:val="1"/>
      <w:marLeft w:val="0"/>
      <w:marRight w:val="0"/>
      <w:marTop w:val="0"/>
      <w:marBottom w:val="0"/>
      <w:divBdr>
        <w:top w:val="none" w:sz="0" w:space="0" w:color="auto"/>
        <w:left w:val="none" w:sz="0" w:space="0" w:color="auto"/>
        <w:bottom w:val="none" w:sz="0" w:space="0" w:color="auto"/>
        <w:right w:val="none" w:sz="0" w:space="0" w:color="auto"/>
      </w:divBdr>
    </w:div>
    <w:div w:id="776097578">
      <w:bodyDiv w:val="1"/>
      <w:marLeft w:val="0"/>
      <w:marRight w:val="0"/>
      <w:marTop w:val="0"/>
      <w:marBottom w:val="0"/>
      <w:divBdr>
        <w:top w:val="none" w:sz="0" w:space="0" w:color="auto"/>
        <w:left w:val="none" w:sz="0" w:space="0" w:color="auto"/>
        <w:bottom w:val="none" w:sz="0" w:space="0" w:color="auto"/>
        <w:right w:val="none" w:sz="0" w:space="0" w:color="auto"/>
      </w:divBdr>
    </w:div>
    <w:div w:id="783428393">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89785437">
      <w:bodyDiv w:val="1"/>
      <w:marLeft w:val="0"/>
      <w:marRight w:val="0"/>
      <w:marTop w:val="0"/>
      <w:marBottom w:val="0"/>
      <w:divBdr>
        <w:top w:val="none" w:sz="0" w:space="0" w:color="auto"/>
        <w:left w:val="none" w:sz="0" w:space="0" w:color="auto"/>
        <w:bottom w:val="none" w:sz="0" w:space="0" w:color="auto"/>
        <w:right w:val="none" w:sz="0" w:space="0" w:color="auto"/>
      </w:divBdr>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11484913">
      <w:bodyDiv w:val="1"/>
      <w:marLeft w:val="0"/>
      <w:marRight w:val="0"/>
      <w:marTop w:val="0"/>
      <w:marBottom w:val="0"/>
      <w:divBdr>
        <w:top w:val="none" w:sz="0" w:space="0" w:color="auto"/>
        <w:left w:val="none" w:sz="0" w:space="0" w:color="auto"/>
        <w:bottom w:val="none" w:sz="0" w:space="0" w:color="auto"/>
        <w:right w:val="none" w:sz="0" w:space="0" w:color="auto"/>
      </w:divBdr>
    </w:div>
    <w:div w:id="812064559">
      <w:bodyDiv w:val="1"/>
      <w:marLeft w:val="0"/>
      <w:marRight w:val="0"/>
      <w:marTop w:val="0"/>
      <w:marBottom w:val="0"/>
      <w:divBdr>
        <w:top w:val="none" w:sz="0" w:space="0" w:color="auto"/>
        <w:left w:val="none" w:sz="0" w:space="0" w:color="auto"/>
        <w:bottom w:val="none" w:sz="0" w:space="0" w:color="auto"/>
        <w:right w:val="none" w:sz="0" w:space="0" w:color="auto"/>
      </w:divBdr>
    </w:div>
    <w:div w:id="820583510">
      <w:bodyDiv w:val="1"/>
      <w:marLeft w:val="0"/>
      <w:marRight w:val="0"/>
      <w:marTop w:val="0"/>
      <w:marBottom w:val="0"/>
      <w:divBdr>
        <w:top w:val="none" w:sz="0" w:space="0" w:color="auto"/>
        <w:left w:val="none" w:sz="0" w:space="0" w:color="auto"/>
        <w:bottom w:val="none" w:sz="0" w:space="0" w:color="auto"/>
        <w:right w:val="none" w:sz="0" w:space="0" w:color="auto"/>
      </w:divBdr>
      <w:divsChild>
        <w:div w:id="641811308">
          <w:marLeft w:val="547"/>
          <w:marRight w:val="0"/>
          <w:marTop w:val="60"/>
          <w:marBottom w:val="120"/>
          <w:divBdr>
            <w:top w:val="none" w:sz="0" w:space="0" w:color="auto"/>
            <w:left w:val="none" w:sz="0" w:space="0" w:color="auto"/>
            <w:bottom w:val="none" w:sz="0" w:space="0" w:color="auto"/>
            <w:right w:val="none" w:sz="0" w:space="0" w:color="auto"/>
          </w:divBdr>
        </w:div>
      </w:divsChild>
    </w:div>
    <w:div w:id="826359602">
      <w:bodyDiv w:val="1"/>
      <w:marLeft w:val="0"/>
      <w:marRight w:val="0"/>
      <w:marTop w:val="0"/>
      <w:marBottom w:val="0"/>
      <w:divBdr>
        <w:top w:val="none" w:sz="0" w:space="0" w:color="auto"/>
        <w:left w:val="none" w:sz="0" w:space="0" w:color="auto"/>
        <w:bottom w:val="none" w:sz="0" w:space="0" w:color="auto"/>
        <w:right w:val="none" w:sz="0" w:space="0" w:color="auto"/>
      </w:divBdr>
      <w:divsChild>
        <w:div w:id="292516536">
          <w:marLeft w:val="1166"/>
          <w:marRight w:val="0"/>
          <w:marTop w:val="0"/>
          <w:marBottom w:val="0"/>
          <w:divBdr>
            <w:top w:val="none" w:sz="0" w:space="0" w:color="auto"/>
            <w:left w:val="none" w:sz="0" w:space="0" w:color="auto"/>
            <w:bottom w:val="none" w:sz="0" w:space="0" w:color="auto"/>
            <w:right w:val="none" w:sz="0" w:space="0" w:color="auto"/>
          </w:divBdr>
        </w:div>
        <w:div w:id="598488918">
          <w:marLeft w:val="1166"/>
          <w:marRight w:val="0"/>
          <w:marTop w:val="0"/>
          <w:marBottom w:val="0"/>
          <w:divBdr>
            <w:top w:val="none" w:sz="0" w:space="0" w:color="auto"/>
            <w:left w:val="none" w:sz="0" w:space="0" w:color="auto"/>
            <w:bottom w:val="none" w:sz="0" w:space="0" w:color="auto"/>
            <w:right w:val="none" w:sz="0" w:space="0" w:color="auto"/>
          </w:divBdr>
        </w:div>
        <w:div w:id="658778183">
          <w:marLeft w:val="1166"/>
          <w:marRight w:val="0"/>
          <w:marTop w:val="0"/>
          <w:marBottom w:val="0"/>
          <w:divBdr>
            <w:top w:val="none" w:sz="0" w:space="0" w:color="auto"/>
            <w:left w:val="none" w:sz="0" w:space="0" w:color="auto"/>
            <w:bottom w:val="none" w:sz="0" w:space="0" w:color="auto"/>
            <w:right w:val="none" w:sz="0" w:space="0" w:color="auto"/>
          </w:divBdr>
        </w:div>
        <w:div w:id="980693678">
          <w:marLeft w:val="1166"/>
          <w:marRight w:val="0"/>
          <w:marTop w:val="0"/>
          <w:marBottom w:val="0"/>
          <w:divBdr>
            <w:top w:val="none" w:sz="0" w:space="0" w:color="auto"/>
            <w:left w:val="none" w:sz="0" w:space="0" w:color="auto"/>
            <w:bottom w:val="none" w:sz="0" w:space="0" w:color="auto"/>
            <w:right w:val="none" w:sz="0" w:space="0" w:color="auto"/>
          </w:divBdr>
        </w:div>
        <w:div w:id="1341619800">
          <w:marLeft w:val="1166"/>
          <w:marRight w:val="0"/>
          <w:marTop w:val="0"/>
          <w:marBottom w:val="0"/>
          <w:divBdr>
            <w:top w:val="none" w:sz="0" w:space="0" w:color="auto"/>
            <w:left w:val="none" w:sz="0" w:space="0" w:color="auto"/>
            <w:bottom w:val="none" w:sz="0" w:space="0" w:color="auto"/>
            <w:right w:val="none" w:sz="0" w:space="0" w:color="auto"/>
          </w:divBdr>
        </w:div>
        <w:div w:id="1419599379">
          <w:marLeft w:val="1166"/>
          <w:marRight w:val="0"/>
          <w:marTop w:val="0"/>
          <w:marBottom w:val="0"/>
          <w:divBdr>
            <w:top w:val="none" w:sz="0" w:space="0" w:color="auto"/>
            <w:left w:val="none" w:sz="0" w:space="0" w:color="auto"/>
            <w:bottom w:val="none" w:sz="0" w:space="0" w:color="auto"/>
            <w:right w:val="none" w:sz="0" w:space="0" w:color="auto"/>
          </w:divBdr>
        </w:div>
      </w:divsChild>
    </w:div>
    <w:div w:id="827281183">
      <w:bodyDiv w:val="1"/>
      <w:marLeft w:val="0"/>
      <w:marRight w:val="0"/>
      <w:marTop w:val="0"/>
      <w:marBottom w:val="0"/>
      <w:divBdr>
        <w:top w:val="none" w:sz="0" w:space="0" w:color="auto"/>
        <w:left w:val="none" w:sz="0" w:space="0" w:color="auto"/>
        <w:bottom w:val="none" w:sz="0" w:space="0" w:color="auto"/>
        <w:right w:val="none" w:sz="0" w:space="0" w:color="auto"/>
      </w:divBdr>
    </w:div>
    <w:div w:id="829255029">
      <w:bodyDiv w:val="1"/>
      <w:marLeft w:val="0"/>
      <w:marRight w:val="0"/>
      <w:marTop w:val="0"/>
      <w:marBottom w:val="0"/>
      <w:divBdr>
        <w:top w:val="none" w:sz="0" w:space="0" w:color="auto"/>
        <w:left w:val="none" w:sz="0" w:space="0" w:color="auto"/>
        <w:bottom w:val="none" w:sz="0" w:space="0" w:color="auto"/>
        <w:right w:val="none" w:sz="0" w:space="0" w:color="auto"/>
      </w:divBdr>
    </w:div>
    <w:div w:id="829325179">
      <w:bodyDiv w:val="1"/>
      <w:marLeft w:val="0"/>
      <w:marRight w:val="0"/>
      <w:marTop w:val="0"/>
      <w:marBottom w:val="0"/>
      <w:divBdr>
        <w:top w:val="none" w:sz="0" w:space="0" w:color="auto"/>
        <w:left w:val="none" w:sz="0" w:space="0" w:color="auto"/>
        <w:bottom w:val="none" w:sz="0" w:space="0" w:color="auto"/>
        <w:right w:val="none" w:sz="0" w:space="0" w:color="auto"/>
      </w:divBdr>
    </w:div>
    <w:div w:id="832181275">
      <w:bodyDiv w:val="1"/>
      <w:marLeft w:val="0"/>
      <w:marRight w:val="0"/>
      <w:marTop w:val="0"/>
      <w:marBottom w:val="0"/>
      <w:divBdr>
        <w:top w:val="none" w:sz="0" w:space="0" w:color="auto"/>
        <w:left w:val="none" w:sz="0" w:space="0" w:color="auto"/>
        <w:bottom w:val="none" w:sz="0" w:space="0" w:color="auto"/>
        <w:right w:val="none" w:sz="0" w:space="0" w:color="auto"/>
      </w:divBdr>
    </w:div>
    <w:div w:id="834958883">
      <w:bodyDiv w:val="1"/>
      <w:marLeft w:val="0"/>
      <w:marRight w:val="0"/>
      <w:marTop w:val="0"/>
      <w:marBottom w:val="0"/>
      <w:divBdr>
        <w:top w:val="none" w:sz="0" w:space="0" w:color="auto"/>
        <w:left w:val="none" w:sz="0" w:space="0" w:color="auto"/>
        <w:bottom w:val="none" w:sz="0" w:space="0" w:color="auto"/>
        <w:right w:val="none" w:sz="0" w:space="0" w:color="auto"/>
      </w:divBdr>
    </w:div>
    <w:div w:id="836924067">
      <w:bodyDiv w:val="1"/>
      <w:marLeft w:val="0"/>
      <w:marRight w:val="0"/>
      <w:marTop w:val="0"/>
      <w:marBottom w:val="0"/>
      <w:divBdr>
        <w:top w:val="none" w:sz="0" w:space="0" w:color="auto"/>
        <w:left w:val="none" w:sz="0" w:space="0" w:color="auto"/>
        <w:bottom w:val="none" w:sz="0" w:space="0" w:color="auto"/>
        <w:right w:val="none" w:sz="0" w:space="0" w:color="auto"/>
      </w:divBdr>
      <w:divsChild>
        <w:div w:id="164786997">
          <w:marLeft w:val="547"/>
          <w:marRight w:val="0"/>
          <w:marTop w:val="0"/>
          <w:marBottom w:val="0"/>
          <w:divBdr>
            <w:top w:val="none" w:sz="0" w:space="0" w:color="auto"/>
            <w:left w:val="none" w:sz="0" w:space="0" w:color="auto"/>
            <w:bottom w:val="none" w:sz="0" w:space="0" w:color="auto"/>
            <w:right w:val="none" w:sz="0" w:space="0" w:color="auto"/>
          </w:divBdr>
        </w:div>
        <w:div w:id="128131865">
          <w:marLeft w:val="547"/>
          <w:marRight w:val="0"/>
          <w:marTop w:val="0"/>
          <w:marBottom w:val="0"/>
          <w:divBdr>
            <w:top w:val="none" w:sz="0" w:space="0" w:color="auto"/>
            <w:left w:val="none" w:sz="0" w:space="0" w:color="auto"/>
            <w:bottom w:val="none" w:sz="0" w:space="0" w:color="auto"/>
            <w:right w:val="none" w:sz="0" w:space="0" w:color="auto"/>
          </w:divBdr>
        </w:div>
        <w:div w:id="1870752883">
          <w:marLeft w:val="547"/>
          <w:marRight w:val="0"/>
          <w:marTop w:val="0"/>
          <w:marBottom w:val="0"/>
          <w:divBdr>
            <w:top w:val="none" w:sz="0" w:space="0" w:color="auto"/>
            <w:left w:val="none" w:sz="0" w:space="0" w:color="auto"/>
            <w:bottom w:val="none" w:sz="0" w:space="0" w:color="auto"/>
            <w:right w:val="none" w:sz="0" w:space="0" w:color="auto"/>
          </w:divBdr>
        </w:div>
        <w:div w:id="995185364">
          <w:marLeft w:val="547"/>
          <w:marRight w:val="0"/>
          <w:marTop w:val="0"/>
          <w:marBottom w:val="0"/>
          <w:divBdr>
            <w:top w:val="none" w:sz="0" w:space="0" w:color="auto"/>
            <w:left w:val="none" w:sz="0" w:space="0" w:color="auto"/>
            <w:bottom w:val="none" w:sz="0" w:space="0" w:color="auto"/>
            <w:right w:val="none" w:sz="0" w:space="0" w:color="auto"/>
          </w:divBdr>
        </w:div>
        <w:div w:id="66267478">
          <w:marLeft w:val="547"/>
          <w:marRight w:val="0"/>
          <w:marTop w:val="0"/>
          <w:marBottom w:val="0"/>
          <w:divBdr>
            <w:top w:val="none" w:sz="0" w:space="0" w:color="auto"/>
            <w:left w:val="none" w:sz="0" w:space="0" w:color="auto"/>
            <w:bottom w:val="none" w:sz="0" w:space="0" w:color="auto"/>
            <w:right w:val="none" w:sz="0" w:space="0" w:color="auto"/>
          </w:divBdr>
        </w:div>
        <w:div w:id="1661805415">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52647464">
      <w:bodyDiv w:val="1"/>
      <w:marLeft w:val="0"/>
      <w:marRight w:val="0"/>
      <w:marTop w:val="0"/>
      <w:marBottom w:val="0"/>
      <w:divBdr>
        <w:top w:val="none" w:sz="0" w:space="0" w:color="auto"/>
        <w:left w:val="none" w:sz="0" w:space="0" w:color="auto"/>
        <w:bottom w:val="none" w:sz="0" w:space="0" w:color="auto"/>
        <w:right w:val="none" w:sz="0" w:space="0" w:color="auto"/>
      </w:divBdr>
    </w:div>
    <w:div w:id="869297782">
      <w:bodyDiv w:val="1"/>
      <w:marLeft w:val="0"/>
      <w:marRight w:val="0"/>
      <w:marTop w:val="0"/>
      <w:marBottom w:val="0"/>
      <w:divBdr>
        <w:top w:val="none" w:sz="0" w:space="0" w:color="auto"/>
        <w:left w:val="none" w:sz="0" w:space="0" w:color="auto"/>
        <w:bottom w:val="none" w:sz="0" w:space="0" w:color="auto"/>
        <w:right w:val="none" w:sz="0" w:space="0" w:color="auto"/>
      </w:divBdr>
    </w:div>
    <w:div w:id="869802900">
      <w:bodyDiv w:val="1"/>
      <w:marLeft w:val="0"/>
      <w:marRight w:val="0"/>
      <w:marTop w:val="0"/>
      <w:marBottom w:val="0"/>
      <w:divBdr>
        <w:top w:val="none" w:sz="0" w:space="0" w:color="auto"/>
        <w:left w:val="none" w:sz="0" w:space="0" w:color="auto"/>
        <w:bottom w:val="none" w:sz="0" w:space="0" w:color="auto"/>
        <w:right w:val="none" w:sz="0" w:space="0" w:color="auto"/>
      </w:divBdr>
    </w:div>
    <w:div w:id="873034215">
      <w:bodyDiv w:val="1"/>
      <w:marLeft w:val="0"/>
      <w:marRight w:val="0"/>
      <w:marTop w:val="0"/>
      <w:marBottom w:val="0"/>
      <w:divBdr>
        <w:top w:val="none" w:sz="0" w:space="0" w:color="auto"/>
        <w:left w:val="none" w:sz="0" w:space="0" w:color="auto"/>
        <w:bottom w:val="none" w:sz="0" w:space="0" w:color="auto"/>
        <w:right w:val="none" w:sz="0" w:space="0" w:color="auto"/>
      </w:divBdr>
    </w:div>
    <w:div w:id="873811546">
      <w:bodyDiv w:val="1"/>
      <w:marLeft w:val="0"/>
      <w:marRight w:val="0"/>
      <w:marTop w:val="0"/>
      <w:marBottom w:val="0"/>
      <w:divBdr>
        <w:top w:val="none" w:sz="0" w:space="0" w:color="auto"/>
        <w:left w:val="none" w:sz="0" w:space="0" w:color="auto"/>
        <w:bottom w:val="none" w:sz="0" w:space="0" w:color="auto"/>
        <w:right w:val="none" w:sz="0" w:space="0" w:color="auto"/>
      </w:divBdr>
    </w:div>
    <w:div w:id="874388561">
      <w:bodyDiv w:val="1"/>
      <w:marLeft w:val="0"/>
      <w:marRight w:val="0"/>
      <w:marTop w:val="0"/>
      <w:marBottom w:val="0"/>
      <w:divBdr>
        <w:top w:val="none" w:sz="0" w:space="0" w:color="auto"/>
        <w:left w:val="none" w:sz="0" w:space="0" w:color="auto"/>
        <w:bottom w:val="none" w:sz="0" w:space="0" w:color="auto"/>
        <w:right w:val="none" w:sz="0" w:space="0" w:color="auto"/>
      </w:divBdr>
    </w:div>
    <w:div w:id="875581325">
      <w:bodyDiv w:val="1"/>
      <w:marLeft w:val="0"/>
      <w:marRight w:val="0"/>
      <w:marTop w:val="0"/>
      <w:marBottom w:val="0"/>
      <w:divBdr>
        <w:top w:val="none" w:sz="0" w:space="0" w:color="auto"/>
        <w:left w:val="none" w:sz="0" w:space="0" w:color="auto"/>
        <w:bottom w:val="none" w:sz="0" w:space="0" w:color="auto"/>
        <w:right w:val="none" w:sz="0" w:space="0" w:color="auto"/>
      </w:divBdr>
    </w:div>
    <w:div w:id="876938290">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86264103">
      <w:bodyDiv w:val="1"/>
      <w:marLeft w:val="0"/>
      <w:marRight w:val="0"/>
      <w:marTop w:val="0"/>
      <w:marBottom w:val="0"/>
      <w:divBdr>
        <w:top w:val="none" w:sz="0" w:space="0" w:color="auto"/>
        <w:left w:val="none" w:sz="0" w:space="0" w:color="auto"/>
        <w:bottom w:val="none" w:sz="0" w:space="0" w:color="auto"/>
        <w:right w:val="none" w:sz="0" w:space="0" w:color="auto"/>
      </w:divBdr>
    </w:div>
    <w:div w:id="889271302">
      <w:bodyDiv w:val="1"/>
      <w:marLeft w:val="0"/>
      <w:marRight w:val="0"/>
      <w:marTop w:val="0"/>
      <w:marBottom w:val="0"/>
      <w:divBdr>
        <w:top w:val="none" w:sz="0" w:space="0" w:color="auto"/>
        <w:left w:val="none" w:sz="0" w:space="0" w:color="auto"/>
        <w:bottom w:val="none" w:sz="0" w:space="0" w:color="auto"/>
        <w:right w:val="none" w:sz="0" w:space="0" w:color="auto"/>
      </w:divBdr>
    </w:div>
    <w:div w:id="891694599">
      <w:bodyDiv w:val="1"/>
      <w:marLeft w:val="0"/>
      <w:marRight w:val="0"/>
      <w:marTop w:val="0"/>
      <w:marBottom w:val="0"/>
      <w:divBdr>
        <w:top w:val="none" w:sz="0" w:space="0" w:color="auto"/>
        <w:left w:val="none" w:sz="0" w:space="0" w:color="auto"/>
        <w:bottom w:val="none" w:sz="0" w:space="0" w:color="auto"/>
        <w:right w:val="none" w:sz="0" w:space="0" w:color="auto"/>
      </w:divBdr>
    </w:div>
    <w:div w:id="891842834">
      <w:bodyDiv w:val="1"/>
      <w:marLeft w:val="0"/>
      <w:marRight w:val="0"/>
      <w:marTop w:val="0"/>
      <w:marBottom w:val="0"/>
      <w:divBdr>
        <w:top w:val="none" w:sz="0" w:space="0" w:color="auto"/>
        <w:left w:val="none" w:sz="0" w:space="0" w:color="auto"/>
        <w:bottom w:val="none" w:sz="0" w:space="0" w:color="auto"/>
        <w:right w:val="none" w:sz="0" w:space="0" w:color="auto"/>
      </w:divBdr>
    </w:div>
    <w:div w:id="896428763">
      <w:bodyDiv w:val="1"/>
      <w:marLeft w:val="0"/>
      <w:marRight w:val="0"/>
      <w:marTop w:val="0"/>
      <w:marBottom w:val="0"/>
      <w:divBdr>
        <w:top w:val="none" w:sz="0" w:space="0" w:color="auto"/>
        <w:left w:val="none" w:sz="0" w:space="0" w:color="auto"/>
        <w:bottom w:val="none" w:sz="0" w:space="0" w:color="auto"/>
        <w:right w:val="none" w:sz="0" w:space="0" w:color="auto"/>
      </w:divBdr>
    </w:div>
    <w:div w:id="896939577">
      <w:bodyDiv w:val="1"/>
      <w:marLeft w:val="0"/>
      <w:marRight w:val="0"/>
      <w:marTop w:val="0"/>
      <w:marBottom w:val="0"/>
      <w:divBdr>
        <w:top w:val="none" w:sz="0" w:space="0" w:color="auto"/>
        <w:left w:val="none" w:sz="0" w:space="0" w:color="auto"/>
        <w:bottom w:val="none" w:sz="0" w:space="0" w:color="auto"/>
        <w:right w:val="none" w:sz="0" w:space="0" w:color="auto"/>
      </w:divBdr>
    </w:div>
    <w:div w:id="901524428">
      <w:bodyDiv w:val="1"/>
      <w:marLeft w:val="0"/>
      <w:marRight w:val="0"/>
      <w:marTop w:val="0"/>
      <w:marBottom w:val="0"/>
      <w:divBdr>
        <w:top w:val="none" w:sz="0" w:space="0" w:color="auto"/>
        <w:left w:val="none" w:sz="0" w:space="0" w:color="auto"/>
        <w:bottom w:val="none" w:sz="0" w:space="0" w:color="auto"/>
        <w:right w:val="none" w:sz="0" w:space="0" w:color="auto"/>
      </w:divBdr>
    </w:div>
    <w:div w:id="901867633">
      <w:bodyDiv w:val="1"/>
      <w:marLeft w:val="0"/>
      <w:marRight w:val="0"/>
      <w:marTop w:val="0"/>
      <w:marBottom w:val="0"/>
      <w:divBdr>
        <w:top w:val="none" w:sz="0" w:space="0" w:color="auto"/>
        <w:left w:val="none" w:sz="0" w:space="0" w:color="auto"/>
        <w:bottom w:val="none" w:sz="0" w:space="0" w:color="auto"/>
        <w:right w:val="none" w:sz="0" w:space="0" w:color="auto"/>
      </w:divBdr>
    </w:div>
    <w:div w:id="904023899">
      <w:bodyDiv w:val="1"/>
      <w:marLeft w:val="0"/>
      <w:marRight w:val="0"/>
      <w:marTop w:val="0"/>
      <w:marBottom w:val="0"/>
      <w:divBdr>
        <w:top w:val="none" w:sz="0" w:space="0" w:color="auto"/>
        <w:left w:val="none" w:sz="0" w:space="0" w:color="auto"/>
        <w:bottom w:val="none" w:sz="0" w:space="0" w:color="auto"/>
        <w:right w:val="none" w:sz="0" w:space="0" w:color="auto"/>
      </w:divBdr>
    </w:div>
    <w:div w:id="906035896">
      <w:bodyDiv w:val="1"/>
      <w:marLeft w:val="0"/>
      <w:marRight w:val="0"/>
      <w:marTop w:val="0"/>
      <w:marBottom w:val="0"/>
      <w:divBdr>
        <w:top w:val="none" w:sz="0" w:space="0" w:color="auto"/>
        <w:left w:val="none" w:sz="0" w:space="0" w:color="auto"/>
        <w:bottom w:val="none" w:sz="0" w:space="0" w:color="auto"/>
        <w:right w:val="none" w:sz="0" w:space="0" w:color="auto"/>
      </w:divBdr>
    </w:div>
    <w:div w:id="906381029">
      <w:bodyDiv w:val="1"/>
      <w:marLeft w:val="0"/>
      <w:marRight w:val="0"/>
      <w:marTop w:val="0"/>
      <w:marBottom w:val="0"/>
      <w:divBdr>
        <w:top w:val="none" w:sz="0" w:space="0" w:color="auto"/>
        <w:left w:val="none" w:sz="0" w:space="0" w:color="auto"/>
        <w:bottom w:val="none" w:sz="0" w:space="0" w:color="auto"/>
        <w:right w:val="none" w:sz="0" w:space="0" w:color="auto"/>
      </w:divBdr>
    </w:div>
    <w:div w:id="908926958">
      <w:bodyDiv w:val="1"/>
      <w:marLeft w:val="0"/>
      <w:marRight w:val="0"/>
      <w:marTop w:val="0"/>
      <w:marBottom w:val="0"/>
      <w:divBdr>
        <w:top w:val="none" w:sz="0" w:space="0" w:color="auto"/>
        <w:left w:val="none" w:sz="0" w:space="0" w:color="auto"/>
        <w:bottom w:val="none" w:sz="0" w:space="0" w:color="auto"/>
        <w:right w:val="none" w:sz="0" w:space="0" w:color="auto"/>
      </w:divBdr>
    </w:div>
    <w:div w:id="910889413">
      <w:bodyDiv w:val="1"/>
      <w:marLeft w:val="0"/>
      <w:marRight w:val="0"/>
      <w:marTop w:val="0"/>
      <w:marBottom w:val="0"/>
      <w:divBdr>
        <w:top w:val="none" w:sz="0" w:space="0" w:color="auto"/>
        <w:left w:val="none" w:sz="0" w:space="0" w:color="auto"/>
        <w:bottom w:val="none" w:sz="0" w:space="0" w:color="auto"/>
        <w:right w:val="none" w:sz="0" w:space="0" w:color="auto"/>
      </w:divBdr>
    </w:div>
    <w:div w:id="912469785">
      <w:bodyDiv w:val="1"/>
      <w:marLeft w:val="0"/>
      <w:marRight w:val="0"/>
      <w:marTop w:val="0"/>
      <w:marBottom w:val="0"/>
      <w:divBdr>
        <w:top w:val="none" w:sz="0" w:space="0" w:color="auto"/>
        <w:left w:val="none" w:sz="0" w:space="0" w:color="auto"/>
        <w:bottom w:val="none" w:sz="0" w:space="0" w:color="auto"/>
        <w:right w:val="none" w:sz="0" w:space="0" w:color="auto"/>
      </w:divBdr>
    </w:div>
    <w:div w:id="913931297">
      <w:bodyDiv w:val="1"/>
      <w:marLeft w:val="0"/>
      <w:marRight w:val="0"/>
      <w:marTop w:val="0"/>
      <w:marBottom w:val="0"/>
      <w:divBdr>
        <w:top w:val="none" w:sz="0" w:space="0" w:color="auto"/>
        <w:left w:val="none" w:sz="0" w:space="0" w:color="auto"/>
        <w:bottom w:val="none" w:sz="0" w:space="0" w:color="auto"/>
        <w:right w:val="none" w:sz="0" w:space="0" w:color="auto"/>
      </w:divBdr>
    </w:div>
    <w:div w:id="914707661">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5943303">
      <w:bodyDiv w:val="1"/>
      <w:marLeft w:val="0"/>
      <w:marRight w:val="0"/>
      <w:marTop w:val="0"/>
      <w:marBottom w:val="0"/>
      <w:divBdr>
        <w:top w:val="none" w:sz="0" w:space="0" w:color="auto"/>
        <w:left w:val="none" w:sz="0" w:space="0" w:color="auto"/>
        <w:bottom w:val="none" w:sz="0" w:space="0" w:color="auto"/>
        <w:right w:val="none" w:sz="0" w:space="0" w:color="auto"/>
      </w:divBdr>
    </w:div>
    <w:div w:id="916401577">
      <w:bodyDiv w:val="1"/>
      <w:marLeft w:val="0"/>
      <w:marRight w:val="0"/>
      <w:marTop w:val="0"/>
      <w:marBottom w:val="0"/>
      <w:divBdr>
        <w:top w:val="none" w:sz="0" w:space="0" w:color="auto"/>
        <w:left w:val="none" w:sz="0" w:space="0" w:color="auto"/>
        <w:bottom w:val="none" w:sz="0" w:space="0" w:color="auto"/>
        <w:right w:val="none" w:sz="0" w:space="0" w:color="auto"/>
      </w:divBdr>
    </w:div>
    <w:div w:id="919754095">
      <w:bodyDiv w:val="1"/>
      <w:marLeft w:val="0"/>
      <w:marRight w:val="0"/>
      <w:marTop w:val="0"/>
      <w:marBottom w:val="0"/>
      <w:divBdr>
        <w:top w:val="none" w:sz="0" w:space="0" w:color="auto"/>
        <w:left w:val="none" w:sz="0" w:space="0" w:color="auto"/>
        <w:bottom w:val="none" w:sz="0" w:space="0" w:color="auto"/>
        <w:right w:val="none" w:sz="0" w:space="0" w:color="auto"/>
      </w:divBdr>
    </w:div>
    <w:div w:id="922648567">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9675839">
      <w:bodyDiv w:val="1"/>
      <w:marLeft w:val="0"/>
      <w:marRight w:val="0"/>
      <w:marTop w:val="0"/>
      <w:marBottom w:val="0"/>
      <w:divBdr>
        <w:top w:val="none" w:sz="0" w:space="0" w:color="auto"/>
        <w:left w:val="none" w:sz="0" w:space="0" w:color="auto"/>
        <w:bottom w:val="none" w:sz="0" w:space="0" w:color="auto"/>
        <w:right w:val="none" w:sz="0" w:space="0" w:color="auto"/>
      </w:divBdr>
    </w:div>
    <w:div w:id="940383287">
      <w:bodyDiv w:val="1"/>
      <w:marLeft w:val="0"/>
      <w:marRight w:val="0"/>
      <w:marTop w:val="0"/>
      <w:marBottom w:val="0"/>
      <w:divBdr>
        <w:top w:val="none" w:sz="0" w:space="0" w:color="auto"/>
        <w:left w:val="none" w:sz="0" w:space="0" w:color="auto"/>
        <w:bottom w:val="none" w:sz="0" w:space="0" w:color="auto"/>
        <w:right w:val="none" w:sz="0" w:space="0" w:color="auto"/>
      </w:divBdr>
    </w:div>
    <w:div w:id="940987847">
      <w:bodyDiv w:val="1"/>
      <w:marLeft w:val="0"/>
      <w:marRight w:val="0"/>
      <w:marTop w:val="0"/>
      <w:marBottom w:val="0"/>
      <w:divBdr>
        <w:top w:val="none" w:sz="0" w:space="0" w:color="auto"/>
        <w:left w:val="none" w:sz="0" w:space="0" w:color="auto"/>
        <w:bottom w:val="none" w:sz="0" w:space="0" w:color="auto"/>
        <w:right w:val="none" w:sz="0" w:space="0" w:color="auto"/>
      </w:divBdr>
    </w:div>
    <w:div w:id="941105402">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45120932">
      <w:bodyDiv w:val="1"/>
      <w:marLeft w:val="0"/>
      <w:marRight w:val="0"/>
      <w:marTop w:val="0"/>
      <w:marBottom w:val="0"/>
      <w:divBdr>
        <w:top w:val="none" w:sz="0" w:space="0" w:color="auto"/>
        <w:left w:val="none" w:sz="0" w:space="0" w:color="auto"/>
        <w:bottom w:val="none" w:sz="0" w:space="0" w:color="auto"/>
        <w:right w:val="none" w:sz="0" w:space="0" w:color="auto"/>
      </w:divBdr>
    </w:div>
    <w:div w:id="949123344">
      <w:bodyDiv w:val="1"/>
      <w:marLeft w:val="0"/>
      <w:marRight w:val="0"/>
      <w:marTop w:val="0"/>
      <w:marBottom w:val="0"/>
      <w:divBdr>
        <w:top w:val="none" w:sz="0" w:space="0" w:color="auto"/>
        <w:left w:val="none" w:sz="0" w:space="0" w:color="auto"/>
        <w:bottom w:val="none" w:sz="0" w:space="0" w:color="auto"/>
        <w:right w:val="none" w:sz="0" w:space="0" w:color="auto"/>
      </w:divBdr>
    </w:div>
    <w:div w:id="950819082">
      <w:bodyDiv w:val="1"/>
      <w:marLeft w:val="0"/>
      <w:marRight w:val="0"/>
      <w:marTop w:val="0"/>
      <w:marBottom w:val="0"/>
      <w:divBdr>
        <w:top w:val="none" w:sz="0" w:space="0" w:color="auto"/>
        <w:left w:val="none" w:sz="0" w:space="0" w:color="auto"/>
        <w:bottom w:val="none" w:sz="0" w:space="0" w:color="auto"/>
        <w:right w:val="none" w:sz="0" w:space="0" w:color="auto"/>
      </w:divBdr>
    </w:div>
    <w:div w:id="951135445">
      <w:bodyDiv w:val="1"/>
      <w:marLeft w:val="0"/>
      <w:marRight w:val="0"/>
      <w:marTop w:val="0"/>
      <w:marBottom w:val="0"/>
      <w:divBdr>
        <w:top w:val="none" w:sz="0" w:space="0" w:color="auto"/>
        <w:left w:val="none" w:sz="0" w:space="0" w:color="auto"/>
        <w:bottom w:val="none" w:sz="0" w:space="0" w:color="auto"/>
        <w:right w:val="none" w:sz="0" w:space="0" w:color="auto"/>
      </w:divBdr>
    </w:div>
    <w:div w:id="958220891">
      <w:bodyDiv w:val="1"/>
      <w:marLeft w:val="0"/>
      <w:marRight w:val="0"/>
      <w:marTop w:val="0"/>
      <w:marBottom w:val="0"/>
      <w:divBdr>
        <w:top w:val="none" w:sz="0" w:space="0" w:color="auto"/>
        <w:left w:val="none" w:sz="0" w:space="0" w:color="auto"/>
        <w:bottom w:val="none" w:sz="0" w:space="0" w:color="auto"/>
        <w:right w:val="none" w:sz="0" w:space="0" w:color="auto"/>
      </w:divBdr>
    </w:div>
    <w:div w:id="960573562">
      <w:bodyDiv w:val="1"/>
      <w:marLeft w:val="0"/>
      <w:marRight w:val="0"/>
      <w:marTop w:val="0"/>
      <w:marBottom w:val="0"/>
      <w:divBdr>
        <w:top w:val="none" w:sz="0" w:space="0" w:color="auto"/>
        <w:left w:val="none" w:sz="0" w:space="0" w:color="auto"/>
        <w:bottom w:val="none" w:sz="0" w:space="0" w:color="auto"/>
        <w:right w:val="none" w:sz="0" w:space="0" w:color="auto"/>
      </w:divBdr>
    </w:div>
    <w:div w:id="967474238">
      <w:bodyDiv w:val="1"/>
      <w:marLeft w:val="0"/>
      <w:marRight w:val="0"/>
      <w:marTop w:val="0"/>
      <w:marBottom w:val="0"/>
      <w:divBdr>
        <w:top w:val="none" w:sz="0" w:space="0" w:color="auto"/>
        <w:left w:val="none" w:sz="0" w:space="0" w:color="auto"/>
        <w:bottom w:val="none" w:sz="0" w:space="0" w:color="auto"/>
        <w:right w:val="none" w:sz="0" w:space="0" w:color="auto"/>
      </w:divBdr>
    </w:div>
    <w:div w:id="970357349">
      <w:bodyDiv w:val="1"/>
      <w:marLeft w:val="0"/>
      <w:marRight w:val="0"/>
      <w:marTop w:val="0"/>
      <w:marBottom w:val="0"/>
      <w:divBdr>
        <w:top w:val="none" w:sz="0" w:space="0" w:color="auto"/>
        <w:left w:val="none" w:sz="0" w:space="0" w:color="auto"/>
        <w:bottom w:val="none" w:sz="0" w:space="0" w:color="auto"/>
        <w:right w:val="none" w:sz="0" w:space="0" w:color="auto"/>
      </w:divBdr>
    </w:div>
    <w:div w:id="97079081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5404738">
      <w:bodyDiv w:val="1"/>
      <w:marLeft w:val="0"/>
      <w:marRight w:val="0"/>
      <w:marTop w:val="0"/>
      <w:marBottom w:val="0"/>
      <w:divBdr>
        <w:top w:val="none" w:sz="0" w:space="0" w:color="auto"/>
        <w:left w:val="none" w:sz="0" w:space="0" w:color="auto"/>
        <w:bottom w:val="none" w:sz="0" w:space="0" w:color="auto"/>
        <w:right w:val="none" w:sz="0" w:space="0" w:color="auto"/>
      </w:divBdr>
    </w:div>
    <w:div w:id="976453054">
      <w:bodyDiv w:val="1"/>
      <w:marLeft w:val="0"/>
      <w:marRight w:val="0"/>
      <w:marTop w:val="0"/>
      <w:marBottom w:val="0"/>
      <w:divBdr>
        <w:top w:val="none" w:sz="0" w:space="0" w:color="auto"/>
        <w:left w:val="none" w:sz="0" w:space="0" w:color="auto"/>
        <w:bottom w:val="none" w:sz="0" w:space="0" w:color="auto"/>
        <w:right w:val="none" w:sz="0" w:space="0" w:color="auto"/>
      </w:divBdr>
    </w:div>
    <w:div w:id="979382348">
      <w:bodyDiv w:val="1"/>
      <w:marLeft w:val="0"/>
      <w:marRight w:val="0"/>
      <w:marTop w:val="0"/>
      <w:marBottom w:val="0"/>
      <w:divBdr>
        <w:top w:val="none" w:sz="0" w:space="0" w:color="auto"/>
        <w:left w:val="none" w:sz="0" w:space="0" w:color="auto"/>
        <w:bottom w:val="none" w:sz="0" w:space="0" w:color="auto"/>
        <w:right w:val="none" w:sz="0" w:space="0" w:color="auto"/>
      </w:divBdr>
    </w:div>
    <w:div w:id="979572589">
      <w:bodyDiv w:val="1"/>
      <w:marLeft w:val="0"/>
      <w:marRight w:val="0"/>
      <w:marTop w:val="0"/>
      <w:marBottom w:val="0"/>
      <w:divBdr>
        <w:top w:val="none" w:sz="0" w:space="0" w:color="auto"/>
        <w:left w:val="none" w:sz="0" w:space="0" w:color="auto"/>
        <w:bottom w:val="none" w:sz="0" w:space="0" w:color="auto"/>
        <w:right w:val="none" w:sz="0" w:space="0" w:color="auto"/>
      </w:divBdr>
    </w:div>
    <w:div w:id="981078390">
      <w:bodyDiv w:val="1"/>
      <w:marLeft w:val="0"/>
      <w:marRight w:val="0"/>
      <w:marTop w:val="0"/>
      <w:marBottom w:val="0"/>
      <w:divBdr>
        <w:top w:val="none" w:sz="0" w:space="0" w:color="auto"/>
        <w:left w:val="none" w:sz="0" w:space="0" w:color="auto"/>
        <w:bottom w:val="none" w:sz="0" w:space="0" w:color="auto"/>
        <w:right w:val="none" w:sz="0" w:space="0" w:color="auto"/>
      </w:divBdr>
    </w:div>
    <w:div w:id="985202827">
      <w:bodyDiv w:val="1"/>
      <w:marLeft w:val="0"/>
      <w:marRight w:val="0"/>
      <w:marTop w:val="0"/>
      <w:marBottom w:val="0"/>
      <w:divBdr>
        <w:top w:val="none" w:sz="0" w:space="0" w:color="auto"/>
        <w:left w:val="none" w:sz="0" w:space="0" w:color="auto"/>
        <w:bottom w:val="none" w:sz="0" w:space="0" w:color="auto"/>
        <w:right w:val="none" w:sz="0" w:space="0" w:color="auto"/>
      </w:divBdr>
    </w:div>
    <w:div w:id="985279208">
      <w:bodyDiv w:val="1"/>
      <w:marLeft w:val="0"/>
      <w:marRight w:val="0"/>
      <w:marTop w:val="0"/>
      <w:marBottom w:val="0"/>
      <w:divBdr>
        <w:top w:val="none" w:sz="0" w:space="0" w:color="auto"/>
        <w:left w:val="none" w:sz="0" w:space="0" w:color="auto"/>
        <w:bottom w:val="none" w:sz="0" w:space="0" w:color="auto"/>
        <w:right w:val="none" w:sz="0" w:space="0" w:color="auto"/>
      </w:divBdr>
    </w:div>
    <w:div w:id="985859480">
      <w:bodyDiv w:val="1"/>
      <w:marLeft w:val="0"/>
      <w:marRight w:val="0"/>
      <w:marTop w:val="0"/>
      <w:marBottom w:val="0"/>
      <w:divBdr>
        <w:top w:val="none" w:sz="0" w:space="0" w:color="auto"/>
        <w:left w:val="none" w:sz="0" w:space="0" w:color="auto"/>
        <w:bottom w:val="none" w:sz="0" w:space="0" w:color="auto"/>
        <w:right w:val="none" w:sz="0" w:space="0" w:color="auto"/>
      </w:divBdr>
    </w:div>
    <w:div w:id="986206949">
      <w:bodyDiv w:val="1"/>
      <w:marLeft w:val="0"/>
      <w:marRight w:val="0"/>
      <w:marTop w:val="0"/>
      <w:marBottom w:val="0"/>
      <w:divBdr>
        <w:top w:val="none" w:sz="0" w:space="0" w:color="auto"/>
        <w:left w:val="none" w:sz="0" w:space="0" w:color="auto"/>
        <w:bottom w:val="none" w:sz="0" w:space="0" w:color="auto"/>
        <w:right w:val="none" w:sz="0" w:space="0" w:color="auto"/>
      </w:divBdr>
    </w:div>
    <w:div w:id="991257202">
      <w:bodyDiv w:val="1"/>
      <w:marLeft w:val="0"/>
      <w:marRight w:val="0"/>
      <w:marTop w:val="0"/>
      <w:marBottom w:val="0"/>
      <w:divBdr>
        <w:top w:val="none" w:sz="0" w:space="0" w:color="auto"/>
        <w:left w:val="none" w:sz="0" w:space="0" w:color="auto"/>
        <w:bottom w:val="none" w:sz="0" w:space="0" w:color="auto"/>
        <w:right w:val="none" w:sz="0" w:space="0" w:color="auto"/>
      </w:divBdr>
    </w:div>
    <w:div w:id="994649002">
      <w:bodyDiv w:val="1"/>
      <w:marLeft w:val="0"/>
      <w:marRight w:val="0"/>
      <w:marTop w:val="0"/>
      <w:marBottom w:val="0"/>
      <w:divBdr>
        <w:top w:val="none" w:sz="0" w:space="0" w:color="auto"/>
        <w:left w:val="none" w:sz="0" w:space="0" w:color="auto"/>
        <w:bottom w:val="none" w:sz="0" w:space="0" w:color="auto"/>
        <w:right w:val="none" w:sz="0" w:space="0" w:color="auto"/>
      </w:divBdr>
    </w:div>
    <w:div w:id="1003167191">
      <w:bodyDiv w:val="1"/>
      <w:marLeft w:val="0"/>
      <w:marRight w:val="0"/>
      <w:marTop w:val="0"/>
      <w:marBottom w:val="0"/>
      <w:divBdr>
        <w:top w:val="none" w:sz="0" w:space="0" w:color="auto"/>
        <w:left w:val="none" w:sz="0" w:space="0" w:color="auto"/>
        <w:bottom w:val="none" w:sz="0" w:space="0" w:color="auto"/>
        <w:right w:val="none" w:sz="0" w:space="0" w:color="auto"/>
      </w:divBdr>
    </w:div>
    <w:div w:id="1005593398">
      <w:bodyDiv w:val="1"/>
      <w:marLeft w:val="0"/>
      <w:marRight w:val="0"/>
      <w:marTop w:val="0"/>
      <w:marBottom w:val="0"/>
      <w:divBdr>
        <w:top w:val="none" w:sz="0" w:space="0" w:color="auto"/>
        <w:left w:val="none" w:sz="0" w:space="0" w:color="auto"/>
        <w:bottom w:val="none" w:sz="0" w:space="0" w:color="auto"/>
        <w:right w:val="none" w:sz="0" w:space="0" w:color="auto"/>
      </w:divBdr>
    </w:div>
    <w:div w:id="1007438158">
      <w:bodyDiv w:val="1"/>
      <w:marLeft w:val="0"/>
      <w:marRight w:val="0"/>
      <w:marTop w:val="0"/>
      <w:marBottom w:val="0"/>
      <w:divBdr>
        <w:top w:val="none" w:sz="0" w:space="0" w:color="auto"/>
        <w:left w:val="none" w:sz="0" w:space="0" w:color="auto"/>
        <w:bottom w:val="none" w:sz="0" w:space="0" w:color="auto"/>
        <w:right w:val="none" w:sz="0" w:space="0" w:color="auto"/>
      </w:divBdr>
    </w:div>
    <w:div w:id="1007681718">
      <w:bodyDiv w:val="1"/>
      <w:marLeft w:val="0"/>
      <w:marRight w:val="0"/>
      <w:marTop w:val="0"/>
      <w:marBottom w:val="0"/>
      <w:divBdr>
        <w:top w:val="none" w:sz="0" w:space="0" w:color="auto"/>
        <w:left w:val="none" w:sz="0" w:space="0" w:color="auto"/>
        <w:bottom w:val="none" w:sz="0" w:space="0" w:color="auto"/>
        <w:right w:val="none" w:sz="0" w:space="0" w:color="auto"/>
      </w:divBdr>
    </w:div>
    <w:div w:id="1012999614">
      <w:bodyDiv w:val="1"/>
      <w:marLeft w:val="0"/>
      <w:marRight w:val="0"/>
      <w:marTop w:val="0"/>
      <w:marBottom w:val="0"/>
      <w:divBdr>
        <w:top w:val="none" w:sz="0" w:space="0" w:color="auto"/>
        <w:left w:val="none" w:sz="0" w:space="0" w:color="auto"/>
        <w:bottom w:val="none" w:sz="0" w:space="0" w:color="auto"/>
        <w:right w:val="none" w:sz="0" w:space="0" w:color="auto"/>
      </w:divBdr>
    </w:div>
    <w:div w:id="1018387994">
      <w:bodyDiv w:val="1"/>
      <w:marLeft w:val="0"/>
      <w:marRight w:val="0"/>
      <w:marTop w:val="0"/>
      <w:marBottom w:val="0"/>
      <w:divBdr>
        <w:top w:val="none" w:sz="0" w:space="0" w:color="auto"/>
        <w:left w:val="none" w:sz="0" w:space="0" w:color="auto"/>
        <w:bottom w:val="none" w:sz="0" w:space="0" w:color="auto"/>
        <w:right w:val="none" w:sz="0" w:space="0" w:color="auto"/>
      </w:divBdr>
    </w:div>
    <w:div w:id="1020623254">
      <w:bodyDiv w:val="1"/>
      <w:marLeft w:val="0"/>
      <w:marRight w:val="0"/>
      <w:marTop w:val="0"/>
      <w:marBottom w:val="0"/>
      <w:divBdr>
        <w:top w:val="none" w:sz="0" w:space="0" w:color="auto"/>
        <w:left w:val="none" w:sz="0" w:space="0" w:color="auto"/>
        <w:bottom w:val="none" w:sz="0" w:space="0" w:color="auto"/>
        <w:right w:val="none" w:sz="0" w:space="0" w:color="auto"/>
      </w:divBdr>
    </w:div>
    <w:div w:id="1021542366">
      <w:bodyDiv w:val="1"/>
      <w:marLeft w:val="0"/>
      <w:marRight w:val="0"/>
      <w:marTop w:val="0"/>
      <w:marBottom w:val="0"/>
      <w:divBdr>
        <w:top w:val="none" w:sz="0" w:space="0" w:color="auto"/>
        <w:left w:val="none" w:sz="0" w:space="0" w:color="auto"/>
        <w:bottom w:val="none" w:sz="0" w:space="0" w:color="auto"/>
        <w:right w:val="none" w:sz="0" w:space="0" w:color="auto"/>
      </w:divBdr>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0372010">
      <w:bodyDiv w:val="1"/>
      <w:marLeft w:val="0"/>
      <w:marRight w:val="0"/>
      <w:marTop w:val="0"/>
      <w:marBottom w:val="0"/>
      <w:divBdr>
        <w:top w:val="none" w:sz="0" w:space="0" w:color="auto"/>
        <w:left w:val="none" w:sz="0" w:space="0" w:color="auto"/>
        <w:bottom w:val="none" w:sz="0" w:space="0" w:color="auto"/>
        <w:right w:val="none" w:sz="0" w:space="0" w:color="auto"/>
      </w:divBdr>
    </w:div>
    <w:div w:id="1034501681">
      <w:bodyDiv w:val="1"/>
      <w:marLeft w:val="0"/>
      <w:marRight w:val="0"/>
      <w:marTop w:val="0"/>
      <w:marBottom w:val="0"/>
      <w:divBdr>
        <w:top w:val="none" w:sz="0" w:space="0" w:color="auto"/>
        <w:left w:val="none" w:sz="0" w:space="0" w:color="auto"/>
        <w:bottom w:val="none" w:sz="0" w:space="0" w:color="auto"/>
        <w:right w:val="none" w:sz="0" w:space="0" w:color="auto"/>
      </w:divBdr>
    </w:div>
    <w:div w:id="1035082251">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36614962">
      <w:bodyDiv w:val="1"/>
      <w:marLeft w:val="0"/>
      <w:marRight w:val="0"/>
      <w:marTop w:val="0"/>
      <w:marBottom w:val="0"/>
      <w:divBdr>
        <w:top w:val="none" w:sz="0" w:space="0" w:color="auto"/>
        <w:left w:val="none" w:sz="0" w:space="0" w:color="auto"/>
        <w:bottom w:val="none" w:sz="0" w:space="0" w:color="auto"/>
        <w:right w:val="none" w:sz="0" w:space="0" w:color="auto"/>
      </w:divBdr>
    </w:div>
    <w:div w:id="1050105063">
      <w:bodyDiv w:val="1"/>
      <w:marLeft w:val="0"/>
      <w:marRight w:val="0"/>
      <w:marTop w:val="0"/>
      <w:marBottom w:val="0"/>
      <w:divBdr>
        <w:top w:val="none" w:sz="0" w:space="0" w:color="auto"/>
        <w:left w:val="none" w:sz="0" w:space="0" w:color="auto"/>
        <w:bottom w:val="none" w:sz="0" w:space="0" w:color="auto"/>
        <w:right w:val="none" w:sz="0" w:space="0" w:color="auto"/>
      </w:divBdr>
    </w:div>
    <w:div w:id="1057700997">
      <w:bodyDiv w:val="1"/>
      <w:marLeft w:val="0"/>
      <w:marRight w:val="0"/>
      <w:marTop w:val="0"/>
      <w:marBottom w:val="0"/>
      <w:divBdr>
        <w:top w:val="none" w:sz="0" w:space="0" w:color="auto"/>
        <w:left w:val="none" w:sz="0" w:space="0" w:color="auto"/>
        <w:bottom w:val="none" w:sz="0" w:space="0" w:color="auto"/>
        <w:right w:val="none" w:sz="0" w:space="0" w:color="auto"/>
      </w:divBdr>
    </w:div>
    <w:div w:id="1058359452">
      <w:bodyDiv w:val="1"/>
      <w:marLeft w:val="0"/>
      <w:marRight w:val="0"/>
      <w:marTop w:val="0"/>
      <w:marBottom w:val="0"/>
      <w:divBdr>
        <w:top w:val="none" w:sz="0" w:space="0" w:color="auto"/>
        <w:left w:val="none" w:sz="0" w:space="0" w:color="auto"/>
        <w:bottom w:val="none" w:sz="0" w:space="0" w:color="auto"/>
        <w:right w:val="none" w:sz="0" w:space="0" w:color="auto"/>
      </w:divBdr>
    </w:div>
    <w:div w:id="1064720154">
      <w:bodyDiv w:val="1"/>
      <w:marLeft w:val="0"/>
      <w:marRight w:val="0"/>
      <w:marTop w:val="0"/>
      <w:marBottom w:val="0"/>
      <w:divBdr>
        <w:top w:val="none" w:sz="0" w:space="0" w:color="auto"/>
        <w:left w:val="none" w:sz="0" w:space="0" w:color="auto"/>
        <w:bottom w:val="none" w:sz="0" w:space="0" w:color="auto"/>
        <w:right w:val="none" w:sz="0" w:space="0" w:color="auto"/>
      </w:divBdr>
    </w:div>
    <w:div w:id="1065570514">
      <w:bodyDiv w:val="1"/>
      <w:marLeft w:val="0"/>
      <w:marRight w:val="0"/>
      <w:marTop w:val="0"/>
      <w:marBottom w:val="0"/>
      <w:divBdr>
        <w:top w:val="none" w:sz="0" w:space="0" w:color="auto"/>
        <w:left w:val="none" w:sz="0" w:space="0" w:color="auto"/>
        <w:bottom w:val="none" w:sz="0" w:space="0" w:color="auto"/>
        <w:right w:val="none" w:sz="0" w:space="0" w:color="auto"/>
      </w:divBdr>
    </w:div>
    <w:div w:id="1066951134">
      <w:bodyDiv w:val="1"/>
      <w:marLeft w:val="0"/>
      <w:marRight w:val="0"/>
      <w:marTop w:val="0"/>
      <w:marBottom w:val="0"/>
      <w:divBdr>
        <w:top w:val="none" w:sz="0" w:space="0" w:color="auto"/>
        <w:left w:val="none" w:sz="0" w:space="0" w:color="auto"/>
        <w:bottom w:val="none" w:sz="0" w:space="0" w:color="auto"/>
        <w:right w:val="none" w:sz="0" w:space="0" w:color="auto"/>
      </w:divBdr>
    </w:div>
    <w:div w:id="1067797788">
      <w:bodyDiv w:val="1"/>
      <w:marLeft w:val="0"/>
      <w:marRight w:val="0"/>
      <w:marTop w:val="0"/>
      <w:marBottom w:val="0"/>
      <w:divBdr>
        <w:top w:val="none" w:sz="0" w:space="0" w:color="auto"/>
        <w:left w:val="none" w:sz="0" w:space="0" w:color="auto"/>
        <w:bottom w:val="none" w:sz="0" w:space="0" w:color="auto"/>
        <w:right w:val="none" w:sz="0" w:space="0" w:color="auto"/>
      </w:divBdr>
    </w:div>
    <w:div w:id="1075517511">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3183783">
      <w:bodyDiv w:val="1"/>
      <w:marLeft w:val="0"/>
      <w:marRight w:val="0"/>
      <w:marTop w:val="0"/>
      <w:marBottom w:val="0"/>
      <w:divBdr>
        <w:top w:val="none" w:sz="0" w:space="0" w:color="auto"/>
        <w:left w:val="none" w:sz="0" w:space="0" w:color="auto"/>
        <w:bottom w:val="none" w:sz="0" w:space="0" w:color="auto"/>
        <w:right w:val="none" w:sz="0" w:space="0" w:color="auto"/>
      </w:divBdr>
    </w:div>
    <w:div w:id="1084450869">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731538654">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399094461">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sChild>
    </w:div>
    <w:div w:id="1092551676">
      <w:bodyDiv w:val="1"/>
      <w:marLeft w:val="0"/>
      <w:marRight w:val="0"/>
      <w:marTop w:val="0"/>
      <w:marBottom w:val="0"/>
      <w:divBdr>
        <w:top w:val="none" w:sz="0" w:space="0" w:color="auto"/>
        <w:left w:val="none" w:sz="0" w:space="0" w:color="auto"/>
        <w:bottom w:val="none" w:sz="0" w:space="0" w:color="auto"/>
        <w:right w:val="none" w:sz="0" w:space="0" w:color="auto"/>
      </w:divBdr>
    </w:div>
    <w:div w:id="1094132886">
      <w:bodyDiv w:val="1"/>
      <w:marLeft w:val="0"/>
      <w:marRight w:val="0"/>
      <w:marTop w:val="0"/>
      <w:marBottom w:val="0"/>
      <w:divBdr>
        <w:top w:val="none" w:sz="0" w:space="0" w:color="auto"/>
        <w:left w:val="none" w:sz="0" w:space="0" w:color="auto"/>
        <w:bottom w:val="none" w:sz="0" w:space="0" w:color="auto"/>
        <w:right w:val="none" w:sz="0" w:space="0" w:color="auto"/>
      </w:divBdr>
    </w:div>
    <w:div w:id="1095781148">
      <w:bodyDiv w:val="1"/>
      <w:marLeft w:val="0"/>
      <w:marRight w:val="0"/>
      <w:marTop w:val="0"/>
      <w:marBottom w:val="0"/>
      <w:divBdr>
        <w:top w:val="none" w:sz="0" w:space="0" w:color="auto"/>
        <w:left w:val="none" w:sz="0" w:space="0" w:color="auto"/>
        <w:bottom w:val="none" w:sz="0" w:space="0" w:color="auto"/>
        <w:right w:val="none" w:sz="0" w:space="0" w:color="auto"/>
      </w:divBdr>
    </w:div>
    <w:div w:id="1101880603">
      <w:bodyDiv w:val="1"/>
      <w:marLeft w:val="0"/>
      <w:marRight w:val="0"/>
      <w:marTop w:val="0"/>
      <w:marBottom w:val="0"/>
      <w:divBdr>
        <w:top w:val="none" w:sz="0" w:space="0" w:color="auto"/>
        <w:left w:val="none" w:sz="0" w:space="0" w:color="auto"/>
        <w:bottom w:val="none" w:sz="0" w:space="0" w:color="auto"/>
        <w:right w:val="none" w:sz="0" w:space="0" w:color="auto"/>
      </w:divBdr>
    </w:div>
    <w:div w:id="110272701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153408">
      <w:bodyDiv w:val="1"/>
      <w:marLeft w:val="0"/>
      <w:marRight w:val="0"/>
      <w:marTop w:val="0"/>
      <w:marBottom w:val="0"/>
      <w:divBdr>
        <w:top w:val="none" w:sz="0" w:space="0" w:color="auto"/>
        <w:left w:val="none" w:sz="0" w:space="0" w:color="auto"/>
        <w:bottom w:val="none" w:sz="0" w:space="0" w:color="auto"/>
        <w:right w:val="none" w:sz="0" w:space="0" w:color="auto"/>
      </w:divBdr>
    </w:div>
    <w:div w:id="1105417167">
      <w:bodyDiv w:val="1"/>
      <w:marLeft w:val="0"/>
      <w:marRight w:val="0"/>
      <w:marTop w:val="0"/>
      <w:marBottom w:val="0"/>
      <w:divBdr>
        <w:top w:val="none" w:sz="0" w:space="0" w:color="auto"/>
        <w:left w:val="none" w:sz="0" w:space="0" w:color="auto"/>
        <w:bottom w:val="none" w:sz="0" w:space="0" w:color="auto"/>
        <w:right w:val="none" w:sz="0" w:space="0" w:color="auto"/>
      </w:divBdr>
    </w:div>
    <w:div w:id="1109162486">
      <w:bodyDiv w:val="1"/>
      <w:marLeft w:val="0"/>
      <w:marRight w:val="0"/>
      <w:marTop w:val="0"/>
      <w:marBottom w:val="0"/>
      <w:divBdr>
        <w:top w:val="none" w:sz="0" w:space="0" w:color="auto"/>
        <w:left w:val="none" w:sz="0" w:space="0" w:color="auto"/>
        <w:bottom w:val="none" w:sz="0" w:space="0" w:color="auto"/>
        <w:right w:val="none" w:sz="0" w:space="0" w:color="auto"/>
      </w:divBdr>
    </w:div>
    <w:div w:id="1113548811">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117673859">
      <w:bodyDiv w:val="1"/>
      <w:marLeft w:val="0"/>
      <w:marRight w:val="0"/>
      <w:marTop w:val="0"/>
      <w:marBottom w:val="0"/>
      <w:divBdr>
        <w:top w:val="none" w:sz="0" w:space="0" w:color="auto"/>
        <w:left w:val="none" w:sz="0" w:space="0" w:color="auto"/>
        <w:bottom w:val="none" w:sz="0" w:space="0" w:color="auto"/>
        <w:right w:val="none" w:sz="0" w:space="0" w:color="auto"/>
      </w:divBdr>
    </w:div>
    <w:div w:id="1130436919">
      <w:bodyDiv w:val="1"/>
      <w:marLeft w:val="0"/>
      <w:marRight w:val="0"/>
      <w:marTop w:val="0"/>
      <w:marBottom w:val="0"/>
      <w:divBdr>
        <w:top w:val="none" w:sz="0" w:space="0" w:color="auto"/>
        <w:left w:val="none" w:sz="0" w:space="0" w:color="auto"/>
        <w:bottom w:val="none" w:sz="0" w:space="0" w:color="auto"/>
        <w:right w:val="none" w:sz="0" w:space="0" w:color="auto"/>
      </w:divBdr>
    </w:div>
    <w:div w:id="1134131689">
      <w:bodyDiv w:val="1"/>
      <w:marLeft w:val="0"/>
      <w:marRight w:val="0"/>
      <w:marTop w:val="0"/>
      <w:marBottom w:val="0"/>
      <w:divBdr>
        <w:top w:val="none" w:sz="0" w:space="0" w:color="auto"/>
        <w:left w:val="none" w:sz="0" w:space="0" w:color="auto"/>
        <w:bottom w:val="none" w:sz="0" w:space="0" w:color="auto"/>
        <w:right w:val="none" w:sz="0" w:space="0" w:color="auto"/>
      </w:divBdr>
    </w:div>
    <w:div w:id="1136676864">
      <w:bodyDiv w:val="1"/>
      <w:marLeft w:val="0"/>
      <w:marRight w:val="0"/>
      <w:marTop w:val="0"/>
      <w:marBottom w:val="0"/>
      <w:divBdr>
        <w:top w:val="none" w:sz="0" w:space="0" w:color="auto"/>
        <w:left w:val="none" w:sz="0" w:space="0" w:color="auto"/>
        <w:bottom w:val="none" w:sz="0" w:space="0" w:color="auto"/>
        <w:right w:val="none" w:sz="0" w:space="0" w:color="auto"/>
      </w:divBdr>
    </w:div>
    <w:div w:id="1140423768">
      <w:bodyDiv w:val="1"/>
      <w:marLeft w:val="0"/>
      <w:marRight w:val="0"/>
      <w:marTop w:val="0"/>
      <w:marBottom w:val="0"/>
      <w:divBdr>
        <w:top w:val="none" w:sz="0" w:space="0" w:color="auto"/>
        <w:left w:val="none" w:sz="0" w:space="0" w:color="auto"/>
        <w:bottom w:val="none" w:sz="0" w:space="0" w:color="auto"/>
        <w:right w:val="none" w:sz="0" w:space="0" w:color="auto"/>
      </w:divBdr>
    </w:div>
    <w:div w:id="1144084125">
      <w:bodyDiv w:val="1"/>
      <w:marLeft w:val="0"/>
      <w:marRight w:val="0"/>
      <w:marTop w:val="0"/>
      <w:marBottom w:val="0"/>
      <w:divBdr>
        <w:top w:val="none" w:sz="0" w:space="0" w:color="auto"/>
        <w:left w:val="none" w:sz="0" w:space="0" w:color="auto"/>
        <w:bottom w:val="none" w:sz="0" w:space="0" w:color="auto"/>
        <w:right w:val="none" w:sz="0" w:space="0" w:color="auto"/>
      </w:divBdr>
    </w:div>
    <w:div w:id="1144396133">
      <w:bodyDiv w:val="1"/>
      <w:marLeft w:val="0"/>
      <w:marRight w:val="0"/>
      <w:marTop w:val="0"/>
      <w:marBottom w:val="0"/>
      <w:divBdr>
        <w:top w:val="none" w:sz="0" w:space="0" w:color="auto"/>
        <w:left w:val="none" w:sz="0" w:space="0" w:color="auto"/>
        <w:bottom w:val="none" w:sz="0" w:space="0" w:color="auto"/>
        <w:right w:val="none" w:sz="0" w:space="0" w:color="auto"/>
      </w:divBdr>
    </w:div>
    <w:div w:id="1147280496">
      <w:bodyDiv w:val="1"/>
      <w:marLeft w:val="0"/>
      <w:marRight w:val="0"/>
      <w:marTop w:val="0"/>
      <w:marBottom w:val="0"/>
      <w:divBdr>
        <w:top w:val="none" w:sz="0" w:space="0" w:color="auto"/>
        <w:left w:val="none" w:sz="0" w:space="0" w:color="auto"/>
        <w:bottom w:val="none" w:sz="0" w:space="0" w:color="auto"/>
        <w:right w:val="none" w:sz="0" w:space="0" w:color="auto"/>
      </w:divBdr>
    </w:div>
    <w:div w:id="1151362573">
      <w:bodyDiv w:val="1"/>
      <w:marLeft w:val="0"/>
      <w:marRight w:val="0"/>
      <w:marTop w:val="0"/>
      <w:marBottom w:val="0"/>
      <w:divBdr>
        <w:top w:val="none" w:sz="0" w:space="0" w:color="auto"/>
        <w:left w:val="none" w:sz="0" w:space="0" w:color="auto"/>
        <w:bottom w:val="none" w:sz="0" w:space="0" w:color="auto"/>
        <w:right w:val="none" w:sz="0" w:space="0" w:color="auto"/>
      </w:divBdr>
    </w:div>
    <w:div w:id="1153762878">
      <w:bodyDiv w:val="1"/>
      <w:marLeft w:val="0"/>
      <w:marRight w:val="0"/>
      <w:marTop w:val="0"/>
      <w:marBottom w:val="0"/>
      <w:divBdr>
        <w:top w:val="none" w:sz="0" w:space="0" w:color="auto"/>
        <w:left w:val="none" w:sz="0" w:space="0" w:color="auto"/>
        <w:bottom w:val="none" w:sz="0" w:space="0" w:color="auto"/>
        <w:right w:val="none" w:sz="0" w:space="0" w:color="auto"/>
      </w:divBdr>
    </w:div>
    <w:div w:id="1154680727">
      <w:bodyDiv w:val="1"/>
      <w:marLeft w:val="0"/>
      <w:marRight w:val="0"/>
      <w:marTop w:val="0"/>
      <w:marBottom w:val="0"/>
      <w:divBdr>
        <w:top w:val="none" w:sz="0" w:space="0" w:color="auto"/>
        <w:left w:val="none" w:sz="0" w:space="0" w:color="auto"/>
        <w:bottom w:val="none" w:sz="0" w:space="0" w:color="auto"/>
        <w:right w:val="none" w:sz="0" w:space="0" w:color="auto"/>
      </w:divBdr>
    </w:div>
    <w:div w:id="1155680718">
      <w:bodyDiv w:val="1"/>
      <w:marLeft w:val="0"/>
      <w:marRight w:val="0"/>
      <w:marTop w:val="0"/>
      <w:marBottom w:val="0"/>
      <w:divBdr>
        <w:top w:val="none" w:sz="0" w:space="0" w:color="auto"/>
        <w:left w:val="none" w:sz="0" w:space="0" w:color="auto"/>
        <w:bottom w:val="none" w:sz="0" w:space="0" w:color="auto"/>
        <w:right w:val="none" w:sz="0" w:space="0" w:color="auto"/>
      </w:divBdr>
    </w:div>
    <w:div w:id="1156919203">
      <w:bodyDiv w:val="1"/>
      <w:marLeft w:val="0"/>
      <w:marRight w:val="0"/>
      <w:marTop w:val="0"/>
      <w:marBottom w:val="0"/>
      <w:divBdr>
        <w:top w:val="none" w:sz="0" w:space="0" w:color="auto"/>
        <w:left w:val="none" w:sz="0" w:space="0" w:color="auto"/>
        <w:bottom w:val="none" w:sz="0" w:space="0" w:color="auto"/>
        <w:right w:val="none" w:sz="0" w:space="0" w:color="auto"/>
      </w:divBdr>
    </w:div>
    <w:div w:id="1158031765">
      <w:bodyDiv w:val="1"/>
      <w:marLeft w:val="0"/>
      <w:marRight w:val="0"/>
      <w:marTop w:val="0"/>
      <w:marBottom w:val="0"/>
      <w:divBdr>
        <w:top w:val="none" w:sz="0" w:space="0" w:color="auto"/>
        <w:left w:val="none" w:sz="0" w:space="0" w:color="auto"/>
        <w:bottom w:val="none" w:sz="0" w:space="0" w:color="auto"/>
        <w:right w:val="none" w:sz="0" w:space="0" w:color="auto"/>
      </w:divBdr>
    </w:div>
    <w:div w:id="1162426720">
      <w:bodyDiv w:val="1"/>
      <w:marLeft w:val="0"/>
      <w:marRight w:val="0"/>
      <w:marTop w:val="0"/>
      <w:marBottom w:val="0"/>
      <w:divBdr>
        <w:top w:val="none" w:sz="0" w:space="0" w:color="auto"/>
        <w:left w:val="none" w:sz="0" w:space="0" w:color="auto"/>
        <w:bottom w:val="none" w:sz="0" w:space="0" w:color="auto"/>
        <w:right w:val="none" w:sz="0" w:space="0" w:color="auto"/>
      </w:divBdr>
      <w:divsChild>
        <w:div w:id="454368035">
          <w:marLeft w:val="446"/>
          <w:marRight w:val="0"/>
          <w:marTop w:val="0"/>
          <w:marBottom w:val="0"/>
          <w:divBdr>
            <w:top w:val="none" w:sz="0" w:space="0" w:color="auto"/>
            <w:left w:val="none" w:sz="0" w:space="0" w:color="auto"/>
            <w:bottom w:val="none" w:sz="0" w:space="0" w:color="auto"/>
            <w:right w:val="none" w:sz="0" w:space="0" w:color="auto"/>
          </w:divBdr>
        </w:div>
        <w:div w:id="468786192">
          <w:marLeft w:val="446"/>
          <w:marRight w:val="0"/>
          <w:marTop w:val="0"/>
          <w:marBottom w:val="0"/>
          <w:divBdr>
            <w:top w:val="none" w:sz="0" w:space="0" w:color="auto"/>
            <w:left w:val="none" w:sz="0" w:space="0" w:color="auto"/>
            <w:bottom w:val="none" w:sz="0" w:space="0" w:color="auto"/>
            <w:right w:val="none" w:sz="0" w:space="0" w:color="auto"/>
          </w:divBdr>
        </w:div>
        <w:div w:id="1154639602">
          <w:marLeft w:val="446"/>
          <w:marRight w:val="0"/>
          <w:marTop w:val="0"/>
          <w:marBottom w:val="0"/>
          <w:divBdr>
            <w:top w:val="none" w:sz="0" w:space="0" w:color="auto"/>
            <w:left w:val="none" w:sz="0" w:space="0" w:color="auto"/>
            <w:bottom w:val="none" w:sz="0" w:space="0" w:color="auto"/>
            <w:right w:val="none" w:sz="0" w:space="0" w:color="auto"/>
          </w:divBdr>
        </w:div>
        <w:div w:id="1260136606">
          <w:marLeft w:val="446"/>
          <w:marRight w:val="0"/>
          <w:marTop w:val="0"/>
          <w:marBottom w:val="0"/>
          <w:divBdr>
            <w:top w:val="none" w:sz="0" w:space="0" w:color="auto"/>
            <w:left w:val="none" w:sz="0" w:space="0" w:color="auto"/>
            <w:bottom w:val="none" w:sz="0" w:space="0" w:color="auto"/>
            <w:right w:val="none" w:sz="0" w:space="0" w:color="auto"/>
          </w:divBdr>
        </w:div>
        <w:div w:id="1932229524">
          <w:marLeft w:val="446"/>
          <w:marRight w:val="0"/>
          <w:marTop w:val="0"/>
          <w:marBottom w:val="0"/>
          <w:divBdr>
            <w:top w:val="none" w:sz="0" w:space="0" w:color="auto"/>
            <w:left w:val="none" w:sz="0" w:space="0" w:color="auto"/>
            <w:bottom w:val="none" w:sz="0" w:space="0" w:color="auto"/>
            <w:right w:val="none" w:sz="0" w:space="0" w:color="auto"/>
          </w:divBdr>
        </w:div>
        <w:div w:id="1968778422">
          <w:marLeft w:val="446"/>
          <w:marRight w:val="0"/>
          <w:marTop w:val="0"/>
          <w:marBottom w:val="0"/>
          <w:divBdr>
            <w:top w:val="none" w:sz="0" w:space="0" w:color="auto"/>
            <w:left w:val="none" w:sz="0" w:space="0" w:color="auto"/>
            <w:bottom w:val="none" w:sz="0" w:space="0" w:color="auto"/>
            <w:right w:val="none" w:sz="0" w:space="0" w:color="auto"/>
          </w:divBdr>
        </w:div>
      </w:divsChild>
    </w:div>
    <w:div w:id="1164395114">
      <w:bodyDiv w:val="1"/>
      <w:marLeft w:val="0"/>
      <w:marRight w:val="0"/>
      <w:marTop w:val="0"/>
      <w:marBottom w:val="0"/>
      <w:divBdr>
        <w:top w:val="none" w:sz="0" w:space="0" w:color="auto"/>
        <w:left w:val="none" w:sz="0" w:space="0" w:color="auto"/>
        <w:bottom w:val="none" w:sz="0" w:space="0" w:color="auto"/>
        <w:right w:val="none" w:sz="0" w:space="0" w:color="auto"/>
      </w:divBdr>
    </w:div>
    <w:div w:id="1174684754">
      <w:bodyDiv w:val="1"/>
      <w:marLeft w:val="0"/>
      <w:marRight w:val="0"/>
      <w:marTop w:val="0"/>
      <w:marBottom w:val="0"/>
      <w:divBdr>
        <w:top w:val="none" w:sz="0" w:space="0" w:color="auto"/>
        <w:left w:val="none" w:sz="0" w:space="0" w:color="auto"/>
        <w:bottom w:val="none" w:sz="0" w:space="0" w:color="auto"/>
        <w:right w:val="none" w:sz="0" w:space="0" w:color="auto"/>
      </w:divBdr>
    </w:div>
    <w:div w:id="1175732768">
      <w:bodyDiv w:val="1"/>
      <w:marLeft w:val="0"/>
      <w:marRight w:val="0"/>
      <w:marTop w:val="0"/>
      <w:marBottom w:val="0"/>
      <w:divBdr>
        <w:top w:val="none" w:sz="0" w:space="0" w:color="auto"/>
        <w:left w:val="none" w:sz="0" w:space="0" w:color="auto"/>
        <w:bottom w:val="none" w:sz="0" w:space="0" w:color="auto"/>
        <w:right w:val="none" w:sz="0" w:space="0" w:color="auto"/>
      </w:divBdr>
    </w:div>
    <w:div w:id="1177767313">
      <w:bodyDiv w:val="1"/>
      <w:marLeft w:val="0"/>
      <w:marRight w:val="0"/>
      <w:marTop w:val="0"/>
      <w:marBottom w:val="0"/>
      <w:divBdr>
        <w:top w:val="none" w:sz="0" w:space="0" w:color="auto"/>
        <w:left w:val="none" w:sz="0" w:space="0" w:color="auto"/>
        <w:bottom w:val="none" w:sz="0" w:space="0" w:color="auto"/>
        <w:right w:val="none" w:sz="0" w:space="0" w:color="auto"/>
      </w:divBdr>
    </w:div>
    <w:div w:id="1181698083">
      <w:bodyDiv w:val="1"/>
      <w:marLeft w:val="0"/>
      <w:marRight w:val="0"/>
      <w:marTop w:val="0"/>
      <w:marBottom w:val="0"/>
      <w:divBdr>
        <w:top w:val="none" w:sz="0" w:space="0" w:color="auto"/>
        <w:left w:val="none" w:sz="0" w:space="0" w:color="auto"/>
        <w:bottom w:val="none" w:sz="0" w:space="0" w:color="auto"/>
        <w:right w:val="none" w:sz="0" w:space="0" w:color="auto"/>
      </w:divBdr>
    </w:div>
    <w:div w:id="1181745769">
      <w:bodyDiv w:val="1"/>
      <w:marLeft w:val="0"/>
      <w:marRight w:val="0"/>
      <w:marTop w:val="0"/>
      <w:marBottom w:val="0"/>
      <w:divBdr>
        <w:top w:val="none" w:sz="0" w:space="0" w:color="auto"/>
        <w:left w:val="none" w:sz="0" w:space="0" w:color="auto"/>
        <w:bottom w:val="none" w:sz="0" w:space="0" w:color="auto"/>
        <w:right w:val="none" w:sz="0" w:space="0" w:color="auto"/>
      </w:divBdr>
    </w:div>
    <w:div w:id="1183743858">
      <w:bodyDiv w:val="1"/>
      <w:marLeft w:val="0"/>
      <w:marRight w:val="0"/>
      <w:marTop w:val="0"/>
      <w:marBottom w:val="0"/>
      <w:divBdr>
        <w:top w:val="none" w:sz="0" w:space="0" w:color="auto"/>
        <w:left w:val="none" w:sz="0" w:space="0" w:color="auto"/>
        <w:bottom w:val="none" w:sz="0" w:space="0" w:color="auto"/>
        <w:right w:val="none" w:sz="0" w:space="0" w:color="auto"/>
      </w:divBdr>
    </w:div>
    <w:div w:id="1186141396">
      <w:bodyDiv w:val="1"/>
      <w:marLeft w:val="0"/>
      <w:marRight w:val="0"/>
      <w:marTop w:val="0"/>
      <w:marBottom w:val="0"/>
      <w:divBdr>
        <w:top w:val="none" w:sz="0" w:space="0" w:color="auto"/>
        <w:left w:val="none" w:sz="0" w:space="0" w:color="auto"/>
        <w:bottom w:val="none" w:sz="0" w:space="0" w:color="auto"/>
        <w:right w:val="none" w:sz="0" w:space="0" w:color="auto"/>
      </w:divBdr>
    </w:div>
    <w:div w:id="1186361755">
      <w:bodyDiv w:val="1"/>
      <w:marLeft w:val="0"/>
      <w:marRight w:val="0"/>
      <w:marTop w:val="0"/>
      <w:marBottom w:val="0"/>
      <w:divBdr>
        <w:top w:val="none" w:sz="0" w:space="0" w:color="auto"/>
        <w:left w:val="none" w:sz="0" w:space="0" w:color="auto"/>
        <w:bottom w:val="none" w:sz="0" w:space="0" w:color="auto"/>
        <w:right w:val="none" w:sz="0" w:space="0" w:color="auto"/>
      </w:divBdr>
    </w:div>
    <w:div w:id="1187937905">
      <w:bodyDiv w:val="1"/>
      <w:marLeft w:val="0"/>
      <w:marRight w:val="0"/>
      <w:marTop w:val="0"/>
      <w:marBottom w:val="0"/>
      <w:divBdr>
        <w:top w:val="none" w:sz="0" w:space="0" w:color="auto"/>
        <w:left w:val="none" w:sz="0" w:space="0" w:color="auto"/>
        <w:bottom w:val="none" w:sz="0" w:space="0" w:color="auto"/>
        <w:right w:val="none" w:sz="0" w:space="0" w:color="auto"/>
      </w:divBdr>
    </w:div>
    <w:div w:id="1189443792">
      <w:bodyDiv w:val="1"/>
      <w:marLeft w:val="0"/>
      <w:marRight w:val="0"/>
      <w:marTop w:val="0"/>
      <w:marBottom w:val="0"/>
      <w:divBdr>
        <w:top w:val="none" w:sz="0" w:space="0" w:color="auto"/>
        <w:left w:val="none" w:sz="0" w:space="0" w:color="auto"/>
        <w:bottom w:val="none" w:sz="0" w:space="0" w:color="auto"/>
        <w:right w:val="none" w:sz="0" w:space="0" w:color="auto"/>
      </w:divBdr>
    </w:div>
    <w:div w:id="1190605855">
      <w:bodyDiv w:val="1"/>
      <w:marLeft w:val="0"/>
      <w:marRight w:val="0"/>
      <w:marTop w:val="0"/>
      <w:marBottom w:val="0"/>
      <w:divBdr>
        <w:top w:val="none" w:sz="0" w:space="0" w:color="auto"/>
        <w:left w:val="none" w:sz="0" w:space="0" w:color="auto"/>
        <w:bottom w:val="none" w:sz="0" w:space="0" w:color="auto"/>
        <w:right w:val="none" w:sz="0" w:space="0" w:color="auto"/>
      </w:divBdr>
    </w:div>
    <w:div w:id="1192380896">
      <w:bodyDiv w:val="1"/>
      <w:marLeft w:val="0"/>
      <w:marRight w:val="0"/>
      <w:marTop w:val="0"/>
      <w:marBottom w:val="0"/>
      <w:divBdr>
        <w:top w:val="none" w:sz="0" w:space="0" w:color="auto"/>
        <w:left w:val="none" w:sz="0" w:space="0" w:color="auto"/>
        <w:bottom w:val="none" w:sz="0" w:space="0" w:color="auto"/>
        <w:right w:val="none" w:sz="0" w:space="0" w:color="auto"/>
      </w:divBdr>
    </w:div>
    <w:div w:id="1195073319">
      <w:bodyDiv w:val="1"/>
      <w:marLeft w:val="0"/>
      <w:marRight w:val="0"/>
      <w:marTop w:val="0"/>
      <w:marBottom w:val="0"/>
      <w:divBdr>
        <w:top w:val="none" w:sz="0" w:space="0" w:color="auto"/>
        <w:left w:val="none" w:sz="0" w:space="0" w:color="auto"/>
        <w:bottom w:val="none" w:sz="0" w:space="0" w:color="auto"/>
        <w:right w:val="none" w:sz="0" w:space="0" w:color="auto"/>
      </w:divBdr>
    </w:div>
    <w:div w:id="1199506649">
      <w:bodyDiv w:val="1"/>
      <w:marLeft w:val="0"/>
      <w:marRight w:val="0"/>
      <w:marTop w:val="0"/>
      <w:marBottom w:val="0"/>
      <w:divBdr>
        <w:top w:val="none" w:sz="0" w:space="0" w:color="auto"/>
        <w:left w:val="none" w:sz="0" w:space="0" w:color="auto"/>
        <w:bottom w:val="none" w:sz="0" w:space="0" w:color="auto"/>
        <w:right w:val="none" w:sz="0" w:space="0" w:color="auto"/>
      </w:divBdr>
    </w:div>
    <w:div w:id="1201210236">
      <w:bodyDiv w:val="1"/>
      <w:marLeft w:val="0"/>
      <w:marRight w:val="0"/>
      <w:marTop w:val="0"/>
      <w:marBottom w:val="0"/>
      <w:divBdr>
        <w:top w:val="none" w:sz="0" w:space="0" w:color="auto"/>
        <w:left w:val="none" w:sz="0" w:space="0" w:color="auto"/>
        <w:bottom w:val="none" w:sz="0" w:space="0" w:color="auto"/>
        <w:right w:val="none" w:sz="0" w:space="0" w:color="auto"/>
      </w:divBdr>
    </w:div>
    <w:div w:id="1201210777">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7065871">
      <w:bodyDiv w:val="1"/>
      <w:marLeft w:val="0"/>
      <w:marRight w:val="0"/>
      <w:marTop w:val="0"/>
      <w:marBottom w:val="0"/>
      <w:divBdr>
        <w:top w:val="none" w:sz="0" w:space="0" w:color="auto"/>
        <w:left w:val="none" w:sz="0" w:space="0" w:color="auto"/>
        <w:bottom w:val="none" w:sz="0" w:space="0" w:color="auto"/>
        <w:right w:val="none" w:sz="0" w:space="0" w:color="auto"/>
      </w:divBdr>
    </w:div>
    <w:div w:id="1208764660">
      <w:bodyDiv w:val="1"/>
      <w:marLeft w:val="0"/>
      <w:marRight w:val="0"/>
      <w:marTop w:val="0"/>
      <w:marBottom w:val="0"/>
      <w:divBdr>
        <w:top w:val="none" w:sz="0" w:space="0" w:color="auto"/>
        <w:left w:val="none" w:sz="0" w:space="0" w:color="auto"/>
        <w:bottom w:val="none" w:sz="0" w:space="0" w:color="auto"/>
        <w:right w:val="none" w:sz="0" w:space="0" w:color="auto"/>
      </w:divBdr>
    </w:div>
    <w:div w:id="1212771449">
      <w:bodyDiv w:val="1"/>
      <w:marLeft w:val="0"/>
      <w:marRight w:val="0"/>
      <w:marTop w:val="0"/>
      <w:marBottom w:val="0"/>
      <w:divBdr>
        <w:top w:val="none" w:sz="0" w:space="0" w:color="auto"/>
        <w:left w:val="none" w:sz="0" w:space="0" w:color="auto"/>
        <w:bottom w:val="none" w:sz="0" w:space="0" w:color="auto"/>
        <w:right w:val="none" w:sz="0" w:space="0" w:color="auto"/>
      </w:divBdr>
    </w:div>
    <w:div w:id="1212811570">
      <w:bodyDiv w:val="1"/>
      <w:marLeft w:val="0"/>
      <w:marRight w:val="0"/>
      <w:marTop w:val="0"/>
      <w:marBottom w:val="0"/>
      <w:divBdr>
        <w:top w:val="none" w:sz="0" w:space="0" w:color="auto"/>
        <w:left w:val="none" w:sz="0" w:space="0" w:color="auto"/>
        <w:bottom w:val="none" w:sz="0" w:space="0" w:color="auto"/>
        <w:right w:val="none" w:sz="0" w:space="0" w:color="auto"/>
      </w:divBdr>
    </w:div>
    <w:div w:id="1217089353">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30463514">
      <w:bodyDiv w:val="1"/>
      <w:marLeft w:val="0"/>
      <w:marRight w:val="0"/>
      <w:marTop w:val="0"/>
      <w:marBottom w:val="0"/>
      <w:divBdr>
        <w:top w:val="none" w:sz="0" w:space="0" w:color="auto"/>
        <w:left w:val="none" w:sz="0" w:space="0" w:color="auto"/>
        <w:bottom w:val="none" w:sz="0" w:space="0" w:color="auto"/>
        <w:right w:val="none" w:sz="0" w:space="0" w:color="auto"/>
      </w:divBdr>
    </w:div>
    <w:div w:id="1240092103">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 w:id="1576628641">
          <w:marLeft w:val="274"/>
          <w:marRight w:val="0"/>
          <w:marTop w:val="0"/>
          <w:marBottom w:val="0"/>
          <w:divBdr>
            <w:top w:val="none" w:sz="0" w:space="0" w:color="auto"/>
            <w:left w:val="none" w:sz="0" w:space="0" w:color="auto"/>
            <w:bottom w:val="none" w:sz="0" w:space="0" w:color="auto"/>
            <w:right w:val="none" w:sz="0" w:space="0" w:color="auto"/>
          </w:divBdr>
        </w:div>
      </w:divsChild>
    </w:div>
    <w:div w:id="1246500592">
      <w:bodyDiv w:val="1"/>
      <w:marLeft w:val="0"/>
      <w:marRight w:val="0"/>
      <w:marTop w:val="0"/>
      <w:marBottom w:val="0"/>
      <w:divBdr>
        <w:top w:val="none" w:sz="0" w:space="0" w:color="auto"/>
        <w:left w:val="none" w:sz="0" w:space="0" w:color="auto"/>
        <w:bottom w:val="none" w:sz="0" w:space="0" w:color="auto"/>
        <w:right w:val="none" w:sz="0" w:space="0" w:color="auto"/>
      </w:divBdr>
    </w:div>
    <w:div w:id="1252004180">
      <w:bodyDiv w:val="1"/>
      <w:marLeft w:val="0"/>
      <w:marRight w:val="0"/>
      <w:marTop w:val="0"/>
      <w:marBottom w:val="0"/>
      <w:divBdr>
        <w:top w:val="none" w:sz="0" w:space="0" w:color="auto"/>
        <w:left w:val="none" w:sz="0" w:space="0" w:color="auto"/>
        <w:bottom w:val="none" w:sz="0" w:space="0" w:color="auto"/>
        <w:right w:val="none" w:sz="0" w:space="0" w:color="auto"/>
      </w:divBdr>
    </w:div>
    <w:div w:id="1252156197">
      <w:bodyDiv w:val="1"/>
      <w:marLeft w:val="0"/>
      <w:marRight w:val="0"/>
      <w:marTop w:val="0"/>
      <w:marBottom w:val="0"/>
      <w:divBdr>
        <w:top w:val="none" w:sz="0" w:space="0" w:color="auto"/>
        <w:left w:val="none" w:sz="0" w:space="0" w:color="auto"/>
        <w:bottom w:val="none" w:sz="0" w:space="0" w:color="auto"/>
        <w:right w:val="none" w:sz="0" w:space="0" w:color="auto"/>
      </w:divBdr>
    </w:div>
    <w:div w:id="1269696647">
      <w:bodyDiv w:val="1"/>
      <w:marLeft w:val="0"/>
      <w:marRight w:val="0"/>
      <w:marTop w:val="0"/>
      <w:marBottom w:val="0"/>
      <w:divBdr>
        <w:top w:val="none" w:sz="0" w:space="0" w:color="auto"/>
        <w:left w:val="none" w:sz="0" w:space="0" w:color="auto"/>
        <w:bottom w:val="none" w:sz="0" w:space="0" w:color="auto"/>
        <w:right w:val="none" w:sz="0" w:space="0" w:color="auto"/>
      </w:divBdr>
    </w:div>
    <w:div w:id="1271470375">
      <w:bodyDiv w:val="1"/>
      <w:marLeft w:val="0"/>
      <w:marRight w:val="0"/>
      <w:marTop w:val="0"/>
      <w:marBottom w:val="0"/>
      <w:divBdr>
        <w:top w:val="none" w:sz="0" w:space="0" w:color="auto"/>
        <w:left w:val="none" w:sz="0" w:space="0" w:color="auto"/>
        <w:bottom w:val="none" w:sz="0" w:space="0" w:color="auto"/>
        <w:right w:val="none" w:sz="0" w:space="0" w:color="auto"/>
      </w:divBdr>
    </w:div>
    <w:div w:id="1271472709">
      <w:bodyDiv w:val="1"/>
      <w:marLeft w:val="0"/>
      <w:marRight w:val="0"/>
      <w:marTop w:val="0"/>
      <w:marBottom w:val="0"/>
      <w:divBdr>
        <w:top w:val="none" w:sz="0" w:space="0" w:color="auto"/>
        <w:left w:val="none" w:sz="0" w:space="0" w:color="auto"/>
        <w:bottom w:val="none" w:sz="0" w:space="0" w:color="auto"/>
        <w:right w:val="none" w:sz="0" w:space="0" w:color="auto"/>
      </w:divBdr>
    </w:div>
    <w:div w:id="1276254631">
      <w:bodyDiv w:val="1"/>
      <w:marLeft w:val="0"/>
      <w:marRight w:val="0"/>
      <w:marTop w:val="0"/>
      <w:marBottom w:val="0"/>
      <w:divBdr>
        <w:top w:val="none" w:sz="0" w:space="0" w:color="auto"/>
        <w:left w:val="none" w:sz="0" w:space="0" w:color="auto"/>
        <w:bottom w:val="none" w:sz="0" w:space="0" w:color="auto"/>
        <w:right w:val="none" w:sz="0" w:space="0" w:color="auto"/>
      </w:divBdr>
    </w:div>
    <w:div w:id="1278104292">
      <w:bodyDiv w:val="1"/>
      <w:marLeft w:val="0"/>
      <w:marRight w:val="0"/>
      <w:marTop w:val="0"/>
      <w:marBottom w:val="0"/>
      <w:divBdr>
        <w:top w:val="none" w:sz="0" w:space="0" w:color="auto"/>
        <w:left w:val="none" w:sz="0" w:space="0" w:color="auto"/>
        <w:bottom w:val="none" w:sz="0" w:space="0" w:color="auto"/>
        <w:right w:val="none" w:sz="0" w:space="0" w:color="auto"/>
      </w:divBdr>
    </w:div>
    <w:div w:id="1280070203">
      <w:bodyDiv w:val="1"/>
      <w:marLeft w:val="0"/>
      <w:marRight w:val="0"/>
      <w:marTop w:val="0"/>
      <w:marBottom w:val="0"/>
      <w:divBdr>
        <w:top w:val="none" w:sz="0" w:space="0" w:color="auto"/>
        <w:left w:val="none" w:sz="0" w:space="0" w:color="auto"/>
        <w:bottom w:val="none" w:sz="0" w:space="0" w:color="auto"/>
        <w:right w:val="none" w:sz="0" w:space="0" w:color="auto"/>
      </w:divBdr>
    </w:div>
    <w:div w:id="1283341485">
      <w:bodyDiv w:val="1"/>
      <w:marLeft w:val="0"/>
      <w:marRight w:val="0"/>
      <w:marTop w:val="0"/>
      <w:marBottom w:val="0"/>
      <w:divBdr>
        <w:top w:val="none" w:sz="0" w:space="0" w:color="auto"/>
        <w:left w:val="none" w:sz="0" w:space="0" w:color="auto"/>
        <w:bottom w:val="none" w:sz="0" w:space="0" w:color="auto"/>
        <w:right w:val="none" w:sz="0" w:space="0" w:color="auto"/>
      </w:divBdr>
    </w:div>
    <w:div w:id="1284845596">
      <w:bodyDiv w:val="1"/>
      <w:marLeft w:val="0"/>
      <w:marRight w:val="0"/>
      <w:marTop w:val="0"/>
      <w:marBottom w:val="0"/>
      <w:divBdr>
        <w:top w:val="none" w:sz="0" w:space="0" w:color="auto"/>
        <w:left w:val="none" w:sz="0" w:space="0" w:color="auto"/>
        <w:bottom w:val="none" w:sz="0" w:space="0" w:color="auto"/>
        <w:right w:val="none" w:sz="0" w:space="0" w:color="auto"/>
      </w:divBdr>
    </w:div>
    <w:div w:id="1288270389">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0282651">
      <w:bodyDiv w:val="1"/>
      <w:marLeft w:val="0"/>
      <w:marRight w:val="0"/>
      <w:marTop w:val="0"/>
      <w:marBottom w:val="0"/>
      <w:divBdr>
        <w:top w:val="none" w:sz="0" w:space="0" w:color="auto"/>
        <w:left w:val="none" w:sz="0" w:space="0" w:color="auto"/>
        <w:bottom w:val="none" w:sz="0" w:space="0" w:color="auto"/>
        <w:right w:val="none" w:sz="0" w:space="0" w:color="auto"/>
      </w:divBdr>
    </w:div>
    <w:div w:id="1297684979">
      <w:bodyDiv w:val="1"/>
      <w:marLeft w:val="0"/>
      <w:marRight w:val="0"/>
      <w:marTop w:val="0"/>
      <w:marBottom w:val="0"/>
      <w:divBdr>
        <w:top w:val="none" w:sz="0" w:space="0" w:color="auto"/>
        <w:left w:val="none" w:sz="0" w:space="0" w:color="auto"/>
        <w:bottom w:val="none" w:sz="0" w:space="0" w:color="auto"/>
        <w:right w:val="none" w:sz="0" w:space="0" w:color="auto"/>
      </w:divBdr>
    </w:div>
    <w:div w:id="1298798565">
      <w:bodyDiv w:val="1"/>
      <w:marLeft w:val="0"/>
      <w:marRight w:val="0"/>
      <w:marTop w:val="0"/>
      <w:marBottom w:val="0"/>
      <w:divBdr>
        <w:top w:val="none" w:sz="0" w:space="0" w:color="auto"/>
        <w:left w:val="none" w:sz="0" w:space="0" w:color="auto"/>
        <w:bottom w:val="none" w:sz="0" w:space="0" w:color="auto"/>
        <w:right w:val="none" w:sz="0" w:space="0" w:color="auto"/>
      </w:divBdr>
    </w:div>
    <w:div w:id="1302341414">
      <w:bodyDiv w:val="1"/>
      <w:marLeft w:val="0"/>
      <w:marRight w:val="0"/>
      <w:marTop w:val="0"/>
      <w:marBottom w:val="0"/>
      <w:divBdr>
        <w:top w:val="none" w:sz="0" w:space="0" w:color="auto"/>
        <w:left w:val="none" w:sz="0" w:space="0" w:color="auto"/>
        <w:bottom w:val="none" w:sz="0" w:space="0" w:color="auto"/>
        <w:right w:val="none" w:sz="0" w:space="0" w:color="auto"/>
      </w:divBdr>
    </w:div>
    <w:div w:id="1308895584">
      <w:bodyDiv w:val="1"/>
      <w:marLeft w:val="0"/>
      <w:marRight w:val="0"/>
      <w:marTop w:val="0"/>
      <w:marBottom w:val="0"/>
      <w:divBdr>
        <w:top w:val="none" w:sz="0" w:space="0" w:color="auto"/>
        <w:left w:val="none" w:sz="0" w:space="0" w:color="auto"/>
        <w:bottom w:val="none" w:sz="0" w:space="0" w:color="auto"/>
        <w:right w:val="none" w:sz="0" w:space="0" w:color="auto"/>
      </w:divBdr>
    </w:div>
    <w:div w:id="1310398988">
      <w:bodyDiv w:val="1"/>
      <w:marLeft w:val="0"/>
      <w:marRight w:val="0"/>
      <w:marTop w:val="0"/>
      <w:marBottom w:val="0"/>
      <w:divBdr>
        <w:top w:val="none" w:sz="0" w:space="0" w:color="auto"/>
        <w:left w:val="none" w:sz="0" w:space="0" w:color="auto"/>
        <w:bottom w:val="none" w:sz="0" w:space="0" w:color="auto"/>
        <w:right w:val="none" w:sz="0" w:space="0" w:color="auto"/>
      </w:divBdr>
    </w:div>
    <w:div w:id="1310405406">
      <w:bodyDiv w:val="1"/>
      <w:marLeft w:val="0"/>
      <w:marRight w:val="0"/>
      <w:marTop w:val="0"/>
      <w:marBottom w:val="0"/>
      <w:divBdr>
        <w:top w:val="none" w:sz="0" w:space="0" w:color="auto"/>
        <w:left w:val="none" w:sz="0" w:space="0" w:color="auto"/>
        <w:bottom w:val="none" w:sz="0" w:space="0" w:color="auto"/>
        <w:right w:val="none" w:sz="0" w:space="0" w:color="auto"/>
      </w:divBdr>
    </w:div>
    <w:div w:id="1311835744">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2000784">
      <w:bodyDiv w:val="1"/>
      <w:marLeft w:val="0"/>
      <w:marRight w:val="0"/>
      <w:marTop w:val="0"/>
      <w:marBottom w:val="0"/>
      <w:divBdr>
        <w:top w:val="none" w:sz="0" w:space="0" w:color="auto"/>
        <w:left w:val="none" w:sz="0" w:space="0" w:color="auto"/>
        <w:bottom w:val="none" w:sz="0" w:space="0" w:color="auto"/>
        <w:right w:val="none" w:sz="0" w:space="0" w:color="auto"/>
      </w:divBdr>
    </w:div>
    <w:div w:id="1322081898">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6107328">
      <w:bodyDiv w:val="1"/>
      <w:marLeft w:val="0"/>
      <w:marRight w:val="0"/>
      <w:marTop w:val="0"/>
      <w:marBottom w:val="0"/>
      <w:divBdr>
        <w:top w:val="none" w:sz="0" w:space="0" w:color="auto"/>
        <w:left w:val="none" w:sz="0" w:space="0" w:color="auto"/>
        <w:bottom w:val="none" w:sz="0" w:space="0" w:color="auto"/>
        <w:right w:val="none" w:sz="0" w:space="0" w:color="auto"/>
      </w:divBdr>
    </w:div>
    <w:div w:id="1337730484">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58872680">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805514409">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sChild>
    </w:div>
    <w:div w:id="1338725279">
      <w:bodyDiv w:val="1"/>
      <w:marLeft w:val="0"/>
      <w:marRight w:val="0"/>
      <w:marTop w:val="0"/>
      <w:marBottom w:val="0"/>
      <w:divBdr>
        <w:top w:val="none" w:sz="0" w:space="0" w:color="auto"/>
        <w:left w:val="none" w:sz="0" w:space="0" w:color="auto"/>
        <w:bottom w:val="none" w:sz="0" w:space="0" w:color="auto"/>
        <w:right w:val="none" w:sz="0" w:space="0" w:color="auto"/>
      </w:divBdr>
    </w:div>
    <w:div w:id="1338923263">
      <w:bodyDiv w:val="1"/>
      <w:marLeft w:val="0"/>
      <w:marRight w:val="0"/>
      <w:marTop w:val="0"/>
      <w:marBottom w:val="0"/>
      <w:divBdr>
        <w:top w:val="none" w:sz="0" w:space="0" w:color="auto"/>
        <w:left w:val="none" w:sz="0" w:space="0" w:color="auto"/>
        <w:bottom w:val="none" w:sz="0" w:space="0" w:color="auto"/>
        <w:right w:val="none" w:sz="0" w:space="0" w:color="auto"/>
      </w:divBdr>
    </w:div>
    <w:div w:id="1342397467">
      <w:bodyDiv w:val="1"/>
      <w:marLeft w:val="0"/>
      <w:marRight w:val="0"/>
      <w:marTop w:val="0"/>
      <w:marBottom w:val="0"/>
      <w:divBdr>
        <w:top w:val="none" w:sz="0" w:space="0" w:color="auto"/>
        <w:left w:val="none" w:sz="0" w:space="0" w:color="auto"/>
        <w:bottom w:val="none" w:sz="0" w:space="0" w:color="auto"/>
        <w:right w:val="none" w:sz="0" w:space="0" w:color="auto"/>
      </w:divBdr>
    </w:div>
    <w:div w:id="1347363387">
      <w:bodyDiv w:val="1"/>
      <w:marLeft w:val="0"/>
      <w:marRight w:val="0"/>
      <w:marTop w:val="0"/>
      <w:marBottom w:val="0"/>
      <w:divBdr>
        <w:top w:val="none" w:sz="0" w:space="0" w:color="auto"/>
        <w:left w:val="none" w:sz="0" w:space="0" w:color="auto"/>
        <w:bottom w:val="none" w:sz="0" w:space="0" w:color="auto"/>
        <w:right w:val="none" w:sz="0" w:space="0" w:color="auto"/>
      </w:divBdr>
    </w:div>
    <w:div w:id="1349217806">
      <w:bodyDiv w:val="1"/>
      <w:marLeft w:val="0"/>
      <w:marRight w:val="0"/>
      <w:marTop w:val="0"/>
      <w:marBottom w:val="0"/>
      <w:divBdr>
        <w:top w:val="none" w:sz="0" w:space="0" w:color="auto"/>
        <w:left w:val="none" w:sz="0" w:space="0" w:color="auto"/>
        <w:bottom w:val="none" w:sz="0" w:space="0" w:color="auto"/>
        <w:right w:val="none" w:sz="0" w:space="0" w:color="auto"/>
      </w:divBdr>
    </w:div>
    <w:div w:id="1349411166">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8773036">
      <w:bodyDiv w:val="1"/>
      <w:marLeft w:val="0"/>
      <w:marRight w:val="0"/>
      <w:marTop w:val="0"/>
      <w:marBottom w:val="0"/>
      <w:divBdr>
        <w:top w:val="none" w:sz="0" w:space="0" w:color="auto"/>
        <w:left w:val="none" w:sz="0" w:space="0" w:color="auto"/>
        <w:bottom w:val="none" w:sz="0" w:space="0" w:color="auto"/>
        <w:right w:val="none" w:sz="0" w:space="0" w:color="auto"/>
      </w:divBdr>
    </w:div>
    <w:div w:id="1359744167">
      <w:bodyDiv w:val="1"/>
      <w:marLeft w:val="0"/>
      <w:marRight w:val="0"/>
      <w:marTop w:val="0"/>
      <w:marBottom w:val="0"/>
      <w:divBdr>
        <w:top w:val="none" w:sz="0" w:space="0" w:color="auto"/>
        <w:left w:val="none" w:sz="0" w:space="0" w:color="auto"/>
        <w:bottom w:val="none" w:sz="0" w:space="0" w:color="auto"/>
        <w:right w:val="none" w:sz="0" w:space="0" w:color="auto"/>
      </w:divBdr>
    </w:div>
    <w:div w:id="1361975685">
      <w:bodyDiv w:val="1"/>
      <w:marLeft w:val="0"/>
      <w:marRight w:val="0"/>
      <w:marTop w:val="0"/>
      <w:marBottom w:val="0"/>
      <w:divBdr>
        <w:top w:val="none" w:sz="0" w:space="0" w:color="auto"/>
        <w:left w:val="none" w:sz="0" w:space="0" w:color="auto"/>
        <w:bottom w:val="none" w:sz="0" w:space="0" w:color="auto"/>
        <w:right w:val="none" w:sz="0" w:space="0" w:color="auto"/>
      </w:divBdr>
    </w:div>
    <w:div w:id="1366367974">
      <w:bodyDiv w:val="1"/>
      <w:marLeft w:val="0"/>
      <w:marRight w:val="0"/>
      <w:marTop w:val="0"/>
      <w:marBottom w:val="0"/>
      <w:divBdr>
        <w:top w:val="none" w:sz="0" w:space="0" w:color="auto"/>
        <w:left w:val="none" w:sz="0" w:space="0" w:color="auto"/>
        <w:bottom w:val="none" w:sz="0" w:space="0" w:color="auto"/>
        <w:right w:val="none" w:sz="0" w:space="0" w:color="auto"/>
      </w:divBdr>
    </w:div>
    <w:div w:id="1367213588">
      <w:bodyDiv w:val="1"/>
      <w:marLeft w:val="0"/>
      <w:marRight w:val="0"/>
      <w:marTop w:val="0"/>
      <w:marBottom w:val="0"/>
      <w:divBdr>
        <w:top w:val="none" w:sz="0" w:space="0" w:color="auto"/>
        <w:left w:val="none" w:sz="0" w:space="0" w:color="auto"/>
        <w:bottom w:val="none" w:sz="0" w:space="0" w:color="auto"/>
        <w:right w:val="none" w:sz="0" w:space="0" w:color="auto"/>
      </w:divBdr>
    </w:div>
    <w:div w:id="1373532565">
      <w:bodyDiv w:val="1"/>
      <w:marLeft w:val="0"/>
      <w:marRight w:val="0"/>
      <w:marTop w:val="0"/>
      <w:marBottom w:val="0"/>
      <w:divBdr>
        <w:top w:val="none" w:sz="0" w:space="0" w:color="auto"/>
        <w:left w:val="none" w:sz="0" w:space="0" w:color="auto"/>
        <w:bottom w:val="none" w:sz="0" w:space="0" w:color="auto"/>
        <w:right w:val="none" w:sz="0" w:space="0" w:color="auto"/>
      </w:divBdr>
    </w:div>
    <w:div w:id="1379208568">
      <w:bodyDiv w:val="1"/>
      <w:marLeft w:val="0"/>
      <w:marRight w:val="0"/>
      <w:marTop w:val="0"/>
      <w:marBottom w:val="0"/>
      <w:divBdr>
        <w:top w:val="none" w:sz="0" w:space="0" w:color="auto"/>
        <w:left w:val="none" w:sz="0" w:space="0" w:color="auto"/>
        <w:bottom w:val="none" w:sz="0" w:space="0" w:color="auto"/>
        <w:right w:val="none" w:sz="0" w:space="0" w:color="auto"/>
      </w:divBdr>
    </w:div>
    <w:div w:id="1380205439">
      <w:bodyDiv w:val="1"/>
      <w:marLeft w:val="0"/>
      <w:marRight w:val="0"/>
      <w:marTop w:val="0"/>
      <w:marBottom w:val="0"/>
      <w:divBdr>
        <w:top w:val="none" w:sz="0" w:space="0" w:color="auto"/>
        <w:left w:val="none" w:sz="0" w:space="0" w:color="auto"/>
        <w:bottom w:val="none" w:sz="0" w:space="0" w:color="auto"/>
        <w:right w:val="none" w:sz="0" w:space="0" w:color="auto"/>
      </w:divBdr>
    </w:div>
    <w:div w:id="1380745007">
      <w:bodyDiv w:val="1"/>
      <w:marLeft w:val="0"/>
      <w:marRight w:val="0"/>
      <w:marTop w:val="0"/>
      <w:marBottom w:val="0"/>
      <w:divBdr>
        <w:top w:val="none" w:sz="0" w:space="0" w:color="auto"/>
        <w:left w:val="none" w:sz="0" w:space="0" w:color="auto"/>
        <w:bottom w:val="none" w:sz="0" w:space="0" w:color="auto"/>
        <w:right w:val="none" w:sz="0" w:space="0" w:color="auto"/>
      </w:divBdr>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2904488">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94042052">
      <w:bodyDiv w:val="1"/>
      <w:marLeft w:val="0"/>
      <w:marRight w:val="0"/>
      <w:marTop w:val="0"/>
      <w:marBottom w:val="0"/>
      <w:divBdr>
        <w:top w:val="none" w:sz="0" w:space="0" w:color="auto"/>
        <w:left w:val="none" w:sz="0" w:space="0" w:color="auto"/>
        <w:bottom w:val="none" w:sz="0" w:space="0" w:color="auto"/>
        <w:right w:val="none" w:sz="0" w:space="0" w:color="auto"/>
      </w:divBdr>
    </w:div>
    <w:div w:id="1394154873">
      <w:bodyDiv w:val="1"/>
      <w:marLeft w:val="0"/>
      <w:marRight w:val="0"/>
      <w:marTop w:val="0"/>
      <w:marBottom w:val="0"/>
      <w:divBdr>
        <w:top w:val="none" w:sz="0" w:space="0" w:color="auto"/>
        <w:left w:val="none" w:sz="0" w:space="0" w:color="auto"/>
        <w:bottom w:val="none" w:sz="0" w:space="0" w:color="auto"/>
        <w:right w:val="none" w:sz="0" w:space="0" w:color="auto"/>
      </w:divBdr>
    </w:div>
    <w:div w:id="1394965789">
      <w:bodyDiv w:val="1"/>
      <w:marLeft w:val="0"/>
      <w:marRight w:val="0"/>
      <w:marTop w:val="0"/>
      <w:marBottom w:val="0"/>
      <w:divBdr>
        <w:top w:val="none" w:sz="0" w:space="0" w:color="auto"/>
        <w:left w:val="none" w:sz="0" w:space="0" w:color="auto"/>
        <w:bottom w:val="none" w:sz="0" w:space="0" w:color="auto"/>
        <w:right w:val="none" w:sz="0" w:space="0" w:color="auto"/>
      </w:divBdr>
    </w:div>
    <w:div w:id="1396589106">
      <w:bodyDiv w:val="1"/>
      <w:marLeft w:val="0"/>
      <w:marRight w:val="0"/>
      <w:marTop w:val="0"/>
      <w:marBottom w:val="0"/>
      <w:divBdr>
        <w:top w:val="none" w:sz="0" w:space="0" w:color="auto"/>
        <w:left w:val="none" w:sz="0" w:space="0" w:color="auto"/>
        <w:bottom w:val="none" w:sz="0" w:space="0" w:color="auto"/>
        <w:right w:val="none" w:sz="0" w:space="0" w:color="auto"/>
      </w:divBdr>
    </w:div>
    <w:div w:id="1398625450">
      <w:bodyDiv w:val="1"/>
      <w:marLeft w:val="0"/>
      <w:marRight w:val="0"/>
      <w:marTop w:val="0"/>
      <w:marBottom w:val="0"/>
      <w:divBdr>
        <w:top w:val="none" w:sz="0" w:space="0" w:color="auto"/>
        <w:left w:val="none" w:sz="0" w:space="0" w:color="auto"/>
        <w:bottom w:val="none" w:sz="0" w:space="0" w:color="auto"/>
        <w:right w:val="none" w:sz="0" w:space="0" w:color="auto"/>
      </w:divBdr>
    </w:div>
    <w:div w:id="1400209236">
      <w:bodyDiv w:val="1"/>
      <w:marLeft w:val="0"/>
      <w:marRight w:val="0"/>
      <w:marTop w:val="0"/>
      <w:marBottom w:val="0"/>
      <w:divBdr>
        <w:top w:val="none" w:sz="0" w:space="0" w:color="auto"/>
        <w:left w:val="none" w:sz="0" w:space="0" w:color="auto"/>
        <w:bottom w:val="none" w:sz="0" w:space="0" w:color="auto"/>
        <w:right w:val="none" w:sz="0" w:space="0" w:color="auto"/>
      </w:divBdr>
    </w:div>
    <w:div w:id="1402096548">
      <w:bodyDiv w:val="1"/>
      <w:marLeft w:val="0"/>
      <w:marRight w:val="0"/>
      <w:marTop w:val="0"/>
      <w:marBottom w:val="0"/>
      <w:divBdr>
        <w:top w:val="none" w:sz="0" w:space="0" w:color="auto"/>
        <w:left w:val="none" w:sz="0" w:space="0" w:color="auto"/>
        <w:bottom w:val="none" w:sz="0" w:space="0" w:color="auto"/>
        <w:right w:val="none" w:sz="0" w:space="0" w:color="auto"/>
      </w:divBdr>
    </w:div>
    <w:div w:id="1405761551">
      <w:bodyDiv w:val="1"/>
      <w:marLeft w:val="0"/>
      <w:marRight w:val="0"/>
      <w:marTop w:val="0"/>
      <w:marBottom w:val="0"/>
      <w:divBdr>
        <w:top w:val="none" w:sz="0" w:space="0" w:color="auto"/>
        <w:left w:val="none" w:sz="0" w:space="0" w:color="auto"/>
        <w:bottom w:val="none" w:sz="0" w:space="0" w:color="auto"/>
        <w:right w:val="none" w:sz="0" w:space="0" w:color="auto"/>
      </w:divBdr>
    </w:div>
    <w:div w:id="1407219584">
      <w:bodyDiv w:val="1"/>
      <w:marLeft w:val="0"/>
      <w:marRight w:val="0"/>
      <w:marTop w:val="0"/>
      <w:marBottom w:val="0"/>
      <w:divBdr>
        <w:top w:val="none" w:sz="0" w:space="0" w:color="auto"/>
        <w:left w:val="none" w:sz="0" w:space="0" w:color="auto"/>
        <w:bottom w:val="none" w:sz="0" w:space="0" w:color="auto"/>
        <w:right w:val="none" w:sz="0" w:space="0" w:color="auto"/>
      </w:divBdr>
    </w:div>
    <w:div w:id="14104191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3910141">
      <w:bodyDiv w:val="1"/>
      <w:marLeft w:val="0"/>
      <w:marRight w:val="0"/>
      <w:marTop w:val="0"/>
      <w:marBottom w:val="0"/>
      <w:divBdr>
        <w:top w:val="none" w:sz="0" w:space="0" w:color="auto"/>
        <w:left w:val="none" w:sz="0" w:space="0" w:color="auto"/>
        <w:bottom w:val="none" w:sz="0" w:space="0" w:color="auto"/>
        <w:right w:val="none" w:sz="0" w:space="0" w:color="auto"/>
      </w:divBdr>
      <w:divsChild>
        <w:div w:id="166290344">
          <w:marLeft w:val="547"/>
          <w:marRight w:val="0"/>
          <w:marTop w:val="0"/>
          <w:marBottom w:val="180"/>
          <w:divBdr>
            <w:top w:val="none" w:sz="0" w:space="0" w:color="auto"/>
            <w:left w:val="none" w:sz="0" w:space="0" w:color="auto"/>
            <w:bottom w:val="none" w:sz="0" w:space="0" w:color="auto"/>
            <w:right w:val="none" w:sz="0" w:space="0" w:color="auto"/>
          </w:divBdr>
        </w:div>
        <w:div w:id="1647781969">
          <w:marLeft w:val="1166"/>
          <w:marRight w:val="0"/>
          <w:marTop w:val="0"/>
          <w:marBottom w:val="180"/>
          <w:divBdr>
            <w:top w:val="none" w:sz="0" w:space="0" w:color="auto"/>
            <w:left w:val="none" w:sz="0" w:space="0" w:color="auto"/>
            <w:bottom w:val="none" w:sz="0" w:space="0" w:color="auto"/>
            <w:right w:val="none" w:sz="0" w:space="0" w:color="auto"/>
          </w:divBdr>
        </w:div>
        <w:div w:id="593170571">
          <w:marLeft w:val="1166"/>
          <w:marRight w:val="0"/>
          <w:marTop w:val="0"/>
          <w:marBottom w:val="180"/>
          <w:divBdr>
            <w:top w:val="none" w:sz="0" w:space="0" w:color="auto"/>
            <w:left w:val="none" w:sz="0" w:space="0" w:color="auto"/>
            <w:bottom w:val="none" w:sz="0" w:space="0" w:color="auto"/>
            <w:right w:val="none" w:sz="0" w:space="0" w:color="auto"/>
          </w:divBdr>
        </w:div>
        <w:div w:id="59788757">
          <w:marLeft w:val="1800"/>
          <w:marRight w:val="0"/>
          <w:marTop w:val="0"/>
          <w:marBottom w:val="180"/>
          <w:divBdr>
            <w:top w:val="none" w:sz="0" w:space="0" w:color="auto"/>
            <w:left w:val="none" w:sz="0" w:space="0" w:color="auto"/>
            <w:bottom w:val="none" w:sz="0" w:space="0" w:color="auto"/>
            <w:right w:val="none" w:sz="0" w:space="0" w:color="auto"/>
          </w:divBdr>
        </w:div>
        <w:div w:id="990058169">
          <w:marLeft w:val="547"/>
          <w:marRight w:val="0"/>
          <w:marTop w:val="0"/>
          <w:marBottom w:val="180"/>
          <w:divBdr>
            <w:top w:val="none" w:sz="0" w:space="0" w:color="auto"/>
            <w:left w:val="none" w:sz="0" w:space="0" w:color="auto"/>
            <w:bottom w:val="none" w:sz="0" w:space="0" w:color="auto"/>
            <w:right w:val="none" w:sz="0" w:space="0" w:color="auto"/>
          </w:divBdr>
        </w:div>
      </w:divsChild>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1854613">
      <w:bodyDiv w:val="1"/>
      <w:marLeft w:val="0"/>
      <w:marRight w:val="0"/>
      <w:marTop w:val="0"/>
      <w:marBottom w:val="0"/>
      <w:divBdr>
        <w:top w:val="none" w:sz="0" w:space="0" w:color="auto"/>
        <w:left w:val="none" w:sz="0" w:space="0" w:color="auto"/>
        <w:bottom w:val="none" w:sz="0" w:space="0" w:color="auto"/>
        <w:right w:val="none" w:sz="0" w:space="0" w:color="auto"/>
      </w:divBdr>
    </w:div>
    <w:div w:id="1445493397">
      <w:bodyDiv w:val="1"/>
      <w:marLeft w:val="0"/>
      <w:marRight w:val="0"/>
      <w:marTop w:val="0"/>
      <w:marBottom w:val="0"/>
      <w:divBdr>
        <w:top w:val="none" w:sz="0" w:space="0" w:color="auto"/>
        <w:left w:val="none" w:sz="0" w:space="0" w:color="auto"/>
        <w:bottom w:val="none" w:sz="0" w:space="0" w:color="auto"/>
        <w:right w:val="none" w:sz="0" w:space="0" w:color="auto"/>
      </w:divBdr>
    </w:div>
    <w:div w:id="1446148240">
      <w:bodyDiv w:val="1"/>
      <w:marLeft w:val="0"/>
      <w:marRight w:val="0"/>
      <w:marTop w:val="0"/>
      <w:marBottom w:val="0"/>
      <w:divBdr>
        <w:top w:val="none" w:sz="0" w:space="0" w:color="auto"/>
        <w:left w:val="none" w:sz="0" w:space="0" w:color="auto"/>
        <w:bottom w:val="none" w:sz="0" w:space="0" w:color="auto"/>
        <w:right w:val="none" w:sz="0" w:space="0" w:color="auto"/>
      </w:divBdr>
    </w:div>
    <w:div w:id="1448115201">
      <w:bodyDiv w:val="1"/>
      <w:marLeft w:val="0"/>
      <w:marRight w:val="0"/>
      <w:marTop w:val="0"/>
      <w:marBottom w:val="0"/>
      <w:divBdr>
        <w:top w:val="none" w:sz="0" w:space="0" w:color="auto"/>
        <w:left w:val="none" w:sz="0" w:space="0" w:color="auto"/>
        <w:bottom w:val="none" w:sz="0" w:space="0" w:color="auto"/>
        <w:right w:val="none" w:sz="0" w:space="0" w:color="auto"/>
      </w:divBdr>
    </w:div>
    <w:div w:id="1450781978">
      <w:bodyDiv w:val="1"/>
      <w:marLeft w:val="0"/>
      <w:marRight w:val="0"/>
      <w:marTop w:val="0"/>
      <w:marBottom w:val="0"/>
      <w:divBdr>
        <w:top w:val="none" w:sz="0" w:space="0" w:color="auto"/>
        <w:left w:val="none" w:sz="0" w:space="0" w:color="auto"/>
        <w:bottom w:val="none" w:sz="0" w:space="0" w:color="auto"/>
        <w:right w:val="none" w:sz="0" w:space="0" w:color="auto"/>
      </w:divBdr>
    </w:div>
    <w:div w:id="1452743805">
      <w:bodyDiv w:val="1"/>
      <w:marLeft w:val="0"/>
      <w:marRight w:val="0"/>
      <w:marTop w:val="0"/>
      <w:marBottom w:val="0"/>
      <w:divBdr>
        <w:top w:val="none" w:sz="0" w:space="0" w:color="auto"/>
        <w:left w:val="none" w:sz="0" w:space="0" w:color="auto"/>
        <w:bottom w:val="none" w:sz="0" w:space="0" w:color="auto"/>
        <w:right w:val="none" w:sz="0" w:space="0" w:color="auto"/>
      </w:divBdr>
    </w:div>
    <w:div w:id="1453597488">
      <w:bodyDiv w:val="1"/>
      <w:marLeft w:val="0"/>
      <w:marRight w:val="0"/>
      <w:marTop w:val="0"/>
      <w:marBottom w:val="0"/>
      <w:divBdr>
        <w:top w:val="none" w:sz="0" w:space="0" w:color="auto"/>
        <w:left w:val="none" w:sz="0" w:space="0" w:color="auto"/>
        <w:bottom w:val="none" w:sz="0" w:space="0" w:color="auto"/>
        <w:right w:val="none" w:sz="0" w:space="0" w:color="auto"/>
      </w:divBdr>
    </w:div>
    <w:div w:id="1454903828">
      <w:bodyDiv w:val="1"/>
      <w:marLeft w:val="0"/>
      <w:marRight w:val="0"/>
      <w:marTop w:val="0"/>
      <w:marBottom w:val="0"/>
      <w:divBdr>
        <w:top w:val="none" w:sz="0" w:space="0" w:color="auto"/>
        <w:left w:val="none" w:sz="0" w:space="0" w:color="auto"/>
        <w:bottom w:val="none" w:sz="0" w:space="0" w:color="auto"/>
        <w:right w:val="none" w:sz="0" w:space="0" w:color="auto"/>
      </w:divBdr>
    </w:div>
    <w:div w:id="1456748887">
      <w:bodyDiv w:val="1"/>
      <w:marLeft w:val="0"/>
      <w:marRight w:val="0"/>
      <w:marTop w:val="0"/>
      <w:marBottom w:val="0"/>
      <w:divBdr>
        <w:top w:val="none" w:sz="0" w:space="0" w:color="auto"/>
        <w:left w:val="none" w:sz="0" w:space="0" w:color="auto"/>
        <w:bottom w:val="none" w:sz="0" w:space="0" w:color="auto"/>
        <w:right w:val="none" w:sz="0" w:space="0" w:color="auto"/>
      </w:divBdr>
    </w:div>
    <w:div w:id="1457336214">
      <w:bodyDiv w:val="1"/>
      <w:marLeft w:val="0"/>
      <w:marRight w:val="0"/>
      <w:marTop w:val="0"/>
      <w:marBottom w:val="0"/>
      <w:divBdr>
        <w:top w:val="none" w:sz="0" w:space="0" w:color="auto"/>
        <w:left w:val="none" w:sz="0" w:space="0" w:color="auto"/>
        <w:bottom w:val="none" w:sz="0" w:space="0" w:color="auto"/>
        <w:right w:val="none" w:sz="0" w:space="0" w:color="auto"/>
      </w:divBdr>
    </w:div>
    <w:div w:id="1458792873">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5736771">
      <w:bodyDiv w:val="1"/>
      <w:marLeft w:val="0"/>
      <w:marRight w:val="0"/>
      <w:marTop w:val="0"/>
      <w:marBottom w:val="0"/>
      <w:divBdr>
        <w:top w:val="none" w:sz="0" w:space="0" w:color="auto"/>
        <w:left w:val="none" w:sz="0" w:space="0" w:color="auto"/>
        <w:bottom w:val="none" w:sz="0" w:space="0" w:color="auto"/>
        <w:right w:val="none" w:sz="0" w:space="0" w:color="auto"/>
      </w:divBdr>
    </w:div>
    <w:div w:id="1469740147">
      <w:bodyDiv w:val="1"/>
      <w:marLeft w:val="0"/>
      <w:marRight w:val="0"/>
      <w:marTop w:val="0"/>
      <w:marBottom w:val="0"/>
      <w:divBdr>
        <w:top w:val="none" w:sz="0" w:space="0" w:color="auto"/>
        <w:left w:val="none" w:sz="0" w:space="0" w:color="auto"/>
        <w:bottom w:val="none" w:sz="0" w:space="0" w:color="auto"/>
        <w:right w:val="none" w:sz="0" w:space="0" w:color="auto"/>
      </w:divBdr>
    </w:div>
    <w:div w:id="1474329820">
      <w:bodyDiv w:val="1"/>
      <w:marLeft w:val="0"/>
      <w:marRight w:val="0"/>
      <w:marTop w:val="0"/>
      <w:marBottom w:val="0"/>
      <w:divBdr>
        <w:top w:val="none" w:sz="0" w:space="0" w:color="auto"/>
        <w:left w:val="none" w:sz="0" w:space="0" w:color="auto"/>
        <w:bottom w:val="none" w:sz="0" w:space="0" w:color="auto"/>
        <w:right w:val="none" w:sz="0" w:space="0" w:color="auto"/>
      </w:divBdr>
    </w:div>
    <w:div w:id="1474450522">
      <w:bodyDiv w:val="1"/>
      <w:marLeft w:val="0"/>
      <w:marRight w:val="0"/>
      <w:marTop w:val="0"/>
      <w:marBottom w:val="0"/>
      <w:divBdr>
        <w:top w:val="none" w:sz="0" w:space="0" w:color="auto"/>
        <w:left w:val="none" w:sz="0" w:space="0" w:color="auto"/>
        <w:bottom w:val="none" w:sz="0" w:space="0" w:color="auto"/>
        <w:right w:val="none" w:sz="0" w:space="0" w:color="auto"/>
      </w:divBdr>
    </w:div>
    <w:div w:id="1475566848">
      <w:bodyDiv w:val="1"/>
      <w:marLeft w:val="0"/>
      <w:marRight w:val="0"/>
      <w:marTop w:val="0"/>
      <w:marBottom w:val="0"/>
      <w:divBdr>
        <w:top w:val="none" w:sz="0" w:space="0" w:color="auto"/>
        <w:left w:val="none" w:sz="0" w:space="0" w:color="auto"/>
        <w:bottom w:val="none" w:sz="0" w:space="0" w:color="auto"/>
        <w:right w:val="none" w:sz="0" w:space="0" w:color="auto"/>
      </w:divBdr>
    </w:div>
    <w:div w:id="1478375806">
      <w:bodyDiv w:val="1"/>
      <w:marLeft w:val="0"/>
      <w:marRight w:val="0"/>
      <w:marTop w:val="0"/>
      <w:marBottom w:val="0"/>
      <w:divBdr>
        <w:top w:val="none" w:sz="0" w:space="0" w:color="auto"/>
        <w:left w:val="none" w:sz="0" w:space="0" w:color="auto"/>
        <w:bottom w:val="none" w:sz="0" w:space="0" w:color="auto"/>
        <w:right w:val="none" w:sz="0" w:space="0" w:color="auto"/>
      </w:divBdr>
    </w:div>
    <w:div w:id="1478761077">
      <w:bodyDiv w:val="1"/>
      <w:marLeft w:val="0"/>
      <w:marRight w:val="0"/>
      <w:marTop w:val="0"/>
      <w:marBottom w:val="0"/>
      <w:divBdr>
        <w:top w:val="none" w:sz="0" w:space="0" w:color="auto"/>
        <w:left w:val="none" w:sz="0" w:space="0" w:color="auto"/>
        <w:bottom w:val="none" w:sz="0" w:space="0" w:color="auto"/>
        <w:right w:val="none" w:sz="0" w:space="0" w:color="auto"/>
      </w:divBdr>
    </w:div>
    <w:div w:id="1486629687">
      <w:bodyDiv w:val="1"/>
      <w:marLeft w:val="0"/>
      <w:marRight w:val="0"/>
      <w:marTop w:val="0"/>
      <w:marBottom w:val="0"/>
      <w:divBdr>
        <w:top w:val="none" w:sz="0" w:space="0" w:color="auto"/>
        <w:left w:val="none" w:sz="0" w:space="0" w:color="auto"/>
        <w:bottom w:val="none" w:sz="0" w:space="0" w:color="auto"/>
        <w:right w:val="none" w:sz="0" w:space="0" w:color="auto"/>
      </w:divBdr>
    </w:div>
    <w:div w:id="1487821882">
      <w:bodyDiv w:val="1"/>
      <w:marLeft w:val="0"/>
      <w:marRight w:val="0"/>
      <w:marTop w:val="0"/>
      <w:marBottom w:val="0"/>
      <w:divBdr>
        <w:top w:val="none" w:sz="0" w:space="0" w:color="auto"/>
        <w:left w:val="none" w:sz="0" w:space="0" w:color="auto"/>
        <w:bottom w:val="none" w:sz="0" w:space="0" w:color="auto"/>
        <w:right w:val="none" w:sz="0" w:space="0" w:color="auto"/>
      </w:divBdr>
    </w:div>
    <w:div w:id="1490321146">
      <w:bodyDiv w:val="1"/>
      <w:marLeft w:val="0"/>
      <w:marRight w:val="0"/>
      <w:marTop w:val="0"/>
      <w:marBottom w:val="0"/>
      <w:divBdr>
        <w:top w:val="none" w:sz="0" w:space="0" w:color="auto"/>
        <w:left w:val="none" w:sz="0" w:space="0" w:color="auto"/>
        <w:bottom w:val="none" w:sz="0" w:space="0" w:color="auto"/>
        <w:right w:val="none" w:sz="0" w:space="0" w:color="auto"/>
      </w:divBdr>
    </w:div>
    <w:div w:id="1496190926">
      <w:bodyDiv w:val="1"/>
      <w:marLeft w:val="0"/>
      <w:marRight w:val="0"/>
      <w:marTop w:val="0"/>
      <w:marBottom w:val="0"/>
      <w:divBdr>
        <w:top w:val="none" w:sz="0" w:space="0" w:color="auto"/>
        <w:left w:val="none" w:sz="0" w:space="0" w:color="auto"/>
        <w:bottom w:val="none" w:sz="0" w:space="0" w:color="auto"/>
        <w:right w:val="none" w:sz="0" w:space="0" w:color="auto"/>
      </w:divBdr>
    </w:div>
    <w:div w:id="1511678787">
      <w:bodyDiv w:val="1"/>
      <w:marLeft w:val="0"/>
      <w:marRight w:val="0"/>
      <w:marTop w:val="0"/>
      <w:marBottom w:val="0"/>
      <w:divBdr>
        <w:top w:val="none" w:sz="0" w:space="0" w:color="auto"/>
        <w:left w:val="none" w:sz="0" w:space="0" w:color="auto"/>
        <w:bottom w:val="none" w:sz="0" w:space="0" w:color="auto"/>
        <w:right w:val="none" w:sz="0" w:space="0" w:color="auto"/>
      </w:divBdr>
    </w:div>
    <w:div w:id="1514957159">
      <w:bodyDiv w:val="1"/>
      <w:marLeft w:val="0"/>
      <w:marRight w:val="0"/>
      <w:marTop w:val="0"/>
      <w:marBottom w:val="0"/>
      <w:divBdr>
        <w:top w:val="none" w:sz="0" w:space="0" w:color="auto"/>
        <w:left w:val="none" w:sz="0" w:space="0" w:color="auto"/>
        <w:bottom w:val="none" w:sz="0" w:space="0" w:color="auto"/>
        <w:right w:val="none" w:sz="0" w:space="0" w:color="auto"/>
      </w:divBdr>
    </w:div>
    <w:div w:id="1517042867">
      <w:bodyDiv w:val="1"/>
      <w:marLeft w:val="0"/>
      <w:marRight w:val="0"/>
      <w:marTop w:val="0"/>
      <w:marBottom w:val="0"/>
      <w:divBdr>
        <w:top w:val="none" w:sz="0" w:space="0" w:color="auto"/>
        <w:left w:val="none" w:sz="0" w:space="0" w:color="auto"/>
        <w:bottom w:val="none" w:sz="0" w:space="0" w:color="auto"/>
        <w:right w:val="none" w:sz="0" w:space="0" w:color="auto"/>
      </w:divBdr>
    </w:div>
    <w:div w:id="1519546084">
      <w:bodyDiv w:val="1"/>
      <w:marLeft w:val="0"/>
      <w:marRight w:val="0"/>
      <w:marTop w:val="0"/>
      <w:marBottom w:val="0"/>
      <w:divBdr>
        <w:top w:val="none" w:sz="0" w:space="0" w:color="auto"/>
        <w:left w:val="none" w:sz="0" w:space="0" w:color="auto"/>
        <w:bottom w:val="none" w:sz="0" w:space="0" w:color="auto"/>
        <w:right w:val="none" w:sz="0" w:space="0" w:color="auto"/>
      </w:divBdr>
    </w:div>
    <w:div w:id="1520319065">
      <w:bodyDiv w:val="1"/>
      <w:marLeft w:val="0"/>
      <w:marRight w:val="0"/>
      <w:marTop w:val="0"/>
      <w:marBottom w:val="0"/>
      <w:divBdr>
        <w:top w:val="none" w:sz="0" w:space="0" w:color="auto"/>
        <w:left w:val="none" w:sz="0" w:space="0" w:color="auto"/>
        <w:bottom w:val="none" w:sz="0" w:space="0" w:color="auto"/>
        <w:right w:val="none" w:sz="0" w:space="0" w:color="auto"/>
      </w:divBdr>
    </w:div>
    <w:div w:id="1521161047">
      <w:bodyDiv w:val="1"/>
      <w:marLeft w:val="0"/>
      <w:marRight w:val="0"/>
      <w:marTop w:val="0"/>
      <w:marBottom w:val="0"/>
      <w:divBdr>
        <w:top w:val="none" w:sz="0" w:space="0" w:color="auto"/>
        <w:left w:val="none" w:sz="0" w:space="0" w:color="auto"/>
        <w:bottom w:val="none" w:sz="0" w:space="0" w:color="auto"/>
        <w:right w:val="none" w:sz="0" w:space="0" w:color="auto"/>
      </w:divBdr>
    </w:div>
    <w:div w:id="1522545366">
      <w:bodyDiv w:val="1"/>
      <w:marLeft w:val="0"/>
      <w:marRight w:val="0"/>
      <w:marTop w:val="0"/>
      <w:marBottom w:val="0"/>
      <w:divBdr>
        <w:top w:val="none" w:sz="0" w:space="0" w:color="auto"/>
        <w:left w:val="none" w:sz="0" w:space="0" w:color="auto"/>
        <w:bottom w:val="none" w:sz="0" w:space="0" w:color="auto"/>
        <w:right w:val="none" w:sz="0" w:space="0" w:color="auto"/>
      </w:divBdr>
    </w:div>
    <w:div w:id="1525052241">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5706371">
      <w:bodyDiv w:val="1"/>
      <w:marLeft w:val="0"/>
      <w:marRight w:val="0"/>
      <w:marTop w:val="0"/>
      <w:marBottom w:val="0"/>
      <w:divBdr>
        <w:top w:val="none" w:sz="0" w:space="0" w:color="auto"/>
        <w:left w:val="none" w:sz="0" w:space="0" w:color="auto"/>
        <w:bottom w:val="none" w:sz="0" w:space="0" w:color="auto"/>
        <w:right w:val="none" w:sz="0" w:space="0" w:color="auto"/>
      </w:divBdr>
    </w:div>
    <w:div w:id="1528714916">
      <w:bodyDiv w:val="1"/>
      <w:marLeft w:val="0"/>
      <w:marRight w:val="0"/>
      <w:marTop w:val="0"/>
      <w:marBottom w:val="0"/>
      <w:divBdr>
        <w:top w:val="none" w:sz="0" w:space="0" w:color="auto"/>
        <w:left w:val="none" w:sz="0" w:space="0" w:color="auto"/>
        <w:bottom w:val="none" w:sz="0" w:space="0" w:color="auto"/>
        <w:right w:val="none" w:sz="0" w:space="0" w:color="auto"/>
      </w:divBdr>
    </w:div>
    <w:div w:id="1533764410">
      <w:bodyDiv w:val="1"/>
      <w:marLeft w:val="0"/>
      <w:marRight w:val="0"/>
      <w:marTop w:val="0"/>
      <w:marBottom w:val="0"/>
      <w:divBdr>
        <w:top w:val="none" w:sz="0" w:space="0" w:color="auto"/>
        <w:left w:val="none" w:sz="0" w:space="0" w:color="auto"/>
        <w:bottom w:val="none" w:sz="0" w:space="0" w:color="auto"/>
        <w:right w:val="none" w:sz="0" w:space="0" w:color="auto"/>
      </w:divBdr>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36231119">
      <w:bodyDiv w:val="1"/>
      <w:marLeft w:val="0"/>
      <w:marRight w:val="0"/>
      <w:marTop w:val="0"/>
      <w:marBottom w:val="0"/>
      <w:divBdr>
        <w:top w:val="none" w:sz="0" w:space="0" w:color="auto"/>
        <w:left w:val="none" w:sz="0" w:space="0" w:color="auto"/>
        <w:bottom w:val="none" w:sz="0" w:space="0" w:color="auto"/>
        <w:right w:val="none" w:sz="0" w:space="0" w:color="auto"/>
      </w:divBdr>
    </w:div>
    <w:div w:id="1536505188">
      <w:bodyDiv w:val="1"/>
      <w:marLeft w:val="0"/>
      <w:marRight w:val="0"/>
      <w:marTop w:val="0"/>
      <w:marBottom w:val="0"/>
      <w:divBdr>
        <w:top w:val="none" w:sz="0" w:space="0" w:color="auto"/>
        <w:left w:val="none" w:sz="0" w:space="0" w:color="auto"/>
        <w:bottom w:val="none" w:sz="0" w:space="0" w:color="auto"/>
        <w:right w:val="none" w:sz="0" w:space="0" w:color="auto"/>
      </w:divBdr>
    </w:div>
    <w:div w:id="1539850909">
      <w:bodyDiv w:val="1"/>
      <w:marLeft w:val="0"/>
      <w:marRight w:val="0"/>
      <w:marTop w:val="0"/>
      <w:marBottom w:val="0"/>
      <w:divBdr>
        <w:top w:val="none" w:sz="0" w:space="0" w:color="auto"/>
        <w:left w:val="none" w:sz="0" w:space="0" w:color="auto"/>
        <w:bottom w:val="none" w:sz="0" w:space="0" w:color="auto"/>
        <w:right w:val="none" w:sz="0" w:space="0" w:color="auto"/>
      </w:divBdr>
    </w:div>
    <w:div w:id="1540161874">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549605094">
      <w:bodyDiv w:val="1"/>
      <w:marLeft w:val="0"/>
      <w:marRight w:val="0"/>
      <w:marTop w:val="0"/>
      <w:marBottom w:val="0"/>
      <w:divBdr>
        <w:top w:val="none" w:sz="0" w:space="0" w:color="auto"/>
        <w:left w:val="none" w:sz="0" w:space="0" w:color="auto"/>
        <w:bottom w:val="none" w:sz="0" w:space="0" w:color="auto"/>
        <w:right w:val="none" w:sz="0" w:space="0" w:color="auto"/>
      </w:divBdr>
    </w:div>
    <w:div w:id="1550416114">
      <w:bodyDiv w:val="1"/>
      <w:marLeft w:val="0"/>
      <w:marRight w:val="0"/>
      <w:marTop w:val="0"/>
      <w:marBottom w:val="0"/>
      <w:divBdr>
        <w:top w:val="none" w:sz="0" w:space="0" w:color="auto"/>
        <w:left w:val="none" w:sz="0" w:space="0" w:color="auto"/>
        <w:bottom w:val="none" w:sz="0" w:space="0" w:color="auto"/>
        <w:right w:val="none" w:sz="0" w:space="0" w:color="auto"/>
      </w:divBdr>
    </w:div>
    <w:div w:id="1553954699">
      <w:bodyDiv w:val="1"/>
      <w:marLeft w:val="0"/>
      <w:marRight w:val="0"/>
      <w:marTop w:val="0"/>
      <w:marBottom w:val="0"/>
      <w:divBdr>
        <w:top w:val="none" w:sz="0" w:space="0" w:color="auto"/>
        <w:left w:val="none" w:sz="0" w:space="0" w:color="auto"/>
        <w:bottom w:val="none" w:sz="0" w:space="0" w:color="auto"/>
        <w:right w:val="none" w:sz="0" w:space="0" w:color="auto"/>
      </w:divBdr>
    </w:div>
    <w:div w:id="1555581026">
      <w:bodyDiv w:val="1"/>
      <w:marLeft w:val="0"/>
      <w:marRight w:val="0"/>
      <w:marTop w:val="0"/>
      <w:marBottom w:val="0"/>
      <w:divBdr>
        <w:top w:val="none" w:sz="0" w:space="0" w:color="auto"/>
        <w:left w:val="none" w:sz="0" w:space="0" w:color="auto"/>
        <w:bottom w:val="none" w:sz="0" w:space="0" w:color="auto"/>
        <w:right w:val="none" w:sz="0" w:space="0" w:color="auto"/>
      </w:divBdr>
    </w:div>
    <w:div w:id="1555659994">
      <w:bodyDiv w:val="1"/>
      <w:marLeft w:val="0"/>
      <w:marRight w:val="0"/>
      <w:marTop w:val="0"/>
      <w:marBottom w:val="0"/>
      <w:divBdr>
        <w:top w:val="none" w:sz="0" w:space="0" w:color="auto"/>
        <w:left w:val="none" w:sz="0" w:space="0" w:color="auto"/>
        <w:bottom w:val="none" w:sz="0" w:space="0" w:color="auto"/>
        <w:right w:val="none" w:sz="0" w:space="0" w:color="auto"/>
      </w:divBdr>
    </w:div>
    <w:div w:id="1565988619">
      <w:bodyDiv w:val="1"/>
      <w:marLeft w:val="0"/>
      <w:marRight w:val="0"/>
      <w:marTop w:val="0"/>
      <w:marBottom w:val="0"/>
      <w:divBdr>
        <w:top w:val="none" w:sz="0" w:space="0" w:color="auto"/>
        <w:left w:val="none" w:sz="0" w:space="0" w:color="auto"/>
        <w:bottom w:val="none" w:sz="0" w:space="0" w:color="auto"/>
        <w:right w:val="none" w:sz="0" w:space="0" w:color="auto"/>
      </w:divBdr>
    </w:div>
    <w:div w:id="1567491171">
      <w:bodyDiv w:val="1"/>
      <w:marLeft w:val="0"/>
      <w:marRight w:val="0"/>
      <w:marTop w:val="0"/>
      <w:marBottom w:val="0"/>
      <w:divBdr>
        <w:top w:val="none" w:sz="0" w:space="0" w:color="auto"/>
        <w:left w:val="none" w:sz="0" w:space="0" w:color="auto"/>
        <w:bottom w:val="none" w:sz="0" w:space="0" w:color="auto"/>
        <w:right w:val="none" w:sz="0" w:space="0" w:color="auto"/>
      </w:divBdr>
    </w:div>
    <w:div w:id="1570918449">
      <w:bodyDiv w:val="1"/>
      <w:marLeft w:val="0"/>
      <w:marRight w:val="0"/>
      <w:marTop w:val="0"/>
      <w:marBottom w:val="0"/>
      <w:divBdr>
        <w:top w:val="none" w:sz="0" w:space="0" w:color="auto"/>
        <w:left w:val="none" w:sz="0" w:space="0" w:color="auto"/>
        <w:bottom w:val="none" w:sz="0" w:space="0" w:color="auto"/>
        <w:right w:val="none" w:sz="0" w:space="0" w:color="auto"/>
      </w:divBdr>
    </w:div>
    <w:div w:id="1572231951">
      <w:bodyDiv w:val="1"/>
      <w:marLeft w:val="0"/>
      <w:marRight w:val="0"/>
      <w:marTop w:val="0"/>
      <w:marBottom w:val="0"/>
      <w:divBdr>
        <w:top w:val="none" w:sz="0" w:space="0" w:color="auto"/>
        <w:left w:val="none" w:sz="0" w:space="0" w:color="auto"/>
        <w:bottom w:val="none" w:sz="0" w:space="0" w:color="auto"/>
        <w:right w:val="none" w:sz="0" w:space="0" w:color="auto"/>
      </w:divBdr>
    </w:div>
    <w:div w:id="1576352307">
      <w:bodyDiv w:val="1"/>
      <w:marLeft w:val="0"/>
      <w:marRight w:val="0"/>
      <w:marTop w:val="0"/>
      <w:marBottom w:val="0"/>
      <w:divBdr>
        <w:top w:val="none" w:sz="0" w:space="0" w:color="auto"/>
        <w:left w:val="none" w:sz="0" w:space="0" w:color="auto"/>
        <w:bottom w:val="none" w:sz="0" w:space="0" w:color="auto"/>
        <w:right w:val="none" w:sz="0" w:space="0" w:color="auto"/>
      </w:divBdr>
    </w:div>
    <w:div w:id="1580946623">
      <w:bodyDiv w:val="1"/>
      <w:marLeft w:val="0"/>
      <w:marRight w:val="0"/>
      <w:marTop w:val="0"/>
      <w:marBottom w:val="0"/>
      <w:divBdr>
        <w:top w:val="none" w:sz="0" w:space="0" w:color="auto"/>
        <w:left w:val="none" w:sz="0" w:space="0" w:color="auto"/>
        <w:bottom w:val="none" w:sz="0" w:space="0" w:color="auto"/>
        <w:right w:val="none" w:sz="0" w:space="0" w:color="auto"/>
      </w:divBdr>
    </w:div>
    <w:div w:id="1582762221">
      <w:bodyDiv w:val="1"/>
      <w:marLeft w:val="0"/>
      <w:marRight w:val="0"/>
      <w:marTop w:val="0"/>
      <w:marBottom w:val="0"/>
      <w:divBdr>
        <w:top w:val="none" w:sz="0" w:space="0" w:color="auto"/>
        <w:left w:val="none" w:sz="0" w:space="0" w:color="auto"/>
        <w:bottom w:val="none" w:sz="0" w:space="0" w:color="auto"/>
        <w:right w:val="none" w:sz="0" w:space="0" w:color="auto"/>
      </w:divBdr>
    </w:div>
    <w:div w:id="1583105199">
      <w:bodyDiv w:val="1"/>
      <w:marLeft w:val="0"/>
      <w:marRight w:val="0"/>
      <w:marTop w:val="0"/>
      <w:marBottom w:val="0"/>
      <w:divBdr>
        <w:top w:val="none" w:sz="0" w:space="0" w:color="auto"/>
        <w:left w:val="none" w:sz="0" w:space="0" w:color="auto"/>
        <w:bottom w:val="none" w:sz="0" w:space="0" w:color="auto"/>
        <w:right w:val="none" w:sz="0" w:space="0" w:color="auto"/>
      </w:divBdr>
    </w:div>
    <w:div w:id="1585996357">
      <w:bodyDiv w:val="1"/>
      <w:marLeft w:val="0"/>
      <w:marRight w:val="0"/>
      <w:marTop w:val="0"/>
      <w:marBottom w:val="0"/>
      <w:divBdr>
        <w:top w:val="none" w:sz="0" w:space="0" w:color="auto"/>
        <w:left w:val="none" w:sz="0" w:space="0" w:color="auto"/>
        <w:bottom w:val="none" w:sz="0" w:space="0" w:color="auto"/>
        <w:right w:val="none" w:sz="0" w:space="0" w:color="auto"/>
      </w:divBdr>
    </w:div>
    <w:div w:id="1588029671">
      <w:bodyDiv w:val="1"/>
      <w:marLeft w:val="0"/>
      <w:marRight w:val="0"/>
      <w:marTop w:val="0"/>
      <w:marBottom w:val="0"/>
      <w:divBdr>
        <w:top w:val="none" w:sz="0" w:space="0" w:color="auto"/>
        <w:left w:val="none" w:sz="0" w:space="0" w:color="auto"/>
        <w:bottom w:val="none" w:sz="0" w:space="0" w:color="auto"/>
        <w:right w:val="none" w:sz="0" w:space="0" w:color="auto"/>
      </w:divBdr>
    </w:div>
    <w:div w:id="1594169935">
      <w:bodyDiv w:val="1"/>
      <w:marLeft w:val="0"/>
      <w:marRight w:val="0"/>
      <w:marTop w:val="0"/>
      <w:marBottom w:val="0"/>
      <w:divBdr>
        <w:top w:val="none" w:sz="0" w:space="0" w:color="auto"/>
        <w:left w:val="none" w:sz="0" w:space="0" w:color="auto"/>
        <w:bottom w:val="none" w:sz="0" w:space="0" w:color="auto"/>
        <w:right w:val="none" w:sz="0" w:space="0" w:color="auto"/>
      </w:divBdr>
    </w:div>
    <w:div w:id="1596085727">
      <w:bodyDiv w:val="1"/>
      <w:marLeft w:val="0"/>
      <w:marRight w:val="0"/>
      <w:marTop w:val="0"/>
      <w:marBottom w:val="0"/>
      <w:divBdr>
        <w:top w:val="none" w:sz="0" w:space="0" w:color="auto"/>
        <w:left w:val="none" w:sz="0" w:space="0" w:color="auto"/>
        <w:bottom w:val="none" w:sz="0" w:space="0" w:color="auto"/>
        <w:right w:val="none" w:sz="0" w:space="0" w:color="auto"/>
      </w:divBdr>
    </w:div>
    <w:div w:id="1599949300">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4146507">
      <w:bodyDiv w:val="1"/>
      <w:marLeft w:val="0"/>
      <w:marRight w:val="0"/>
      <w:marTop w:val="0"/>
      <w:marBottom w:val="0"/>
      <w:divBdr>
        <w:top w:val="none" w:sz="0" w:space="0" w:color="auto"/>
        <w:left w:val="none" w:sz="0" w:space="0" w:color="auto"/>
        <w:bottom w:val="none" w:sz="0" w:space="0" w:color="auto"/>
        <w:right w:val="none" w:sz="0" w:space="0" w:color="auto"/>
      </w:divBdr>
    </w:div>
    <w:div w:id="1606115785">
      <w:bodyDiv w:val="1"/>
      <w:marLeft w:val="0"/>
      <w:marRight w:val="0"/>
      <w:marTop w:val="0"/>
      <w:marBottom w:val="0"/>
      <w:divBdr>
        <w:top w:val="none" w:sz="0" w:space="0" w:color="auto"/>
        <w:left w:val="none" w:sz="0" w:space="0" w:color="auto"/>
        <w:bottom w:val="none" w:sz="0" w:space="0" w:color="auto"/>
        <w:right w:val="none" w:sz="0" w:space="0" w:color="auto"/>
      </w:divBdr>
    </w:div>
    <w:div w:id="1607812884">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574979160">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 w:id="1341663746">
          <w:marLeft w:val="547"/>
          <w:marRight w:val="0"/>
          <w:marTop w:val="0"/>
          <w:marBottom w:val="12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sChild>
    </w:div>
    <w:div w:id="1609772757">
      <w:bodyDiv w:val="1"/>
      <w:marLeft w:val="0"/>
      <w:marRight w:val="0"/>
      <w:marTop w:val="0"/>
      <w:marBottom w:val="0"/>
      <w:divBdr>
        <w:top w:val="none" w:sz="0" w:space="0" w:color="auto"/>
        <w:left w:val="none" w:sz="0" w:space="0" w:color="auto"/>
        <w:bottom w:val="none" w:sz="0" w:space="0" w:color="auto"/>
        <w:right w:val="none" w:sz="0" w:space="0" w:color="auto"/>
      </w:divBdr>
    </w:div>
    <w:div w:id="1613590509">
      <w:bodyDiv w:val="1"/>
      <w:marLeft w:val="0"/>
      <w:marRight w:val="0"/>
      <w:marTop w:val="0"/>
      <w:marBottom w:val="0"/>
      <w:divBdr>
        <w:top w:val="none" w:sz="0" w:space="0" w:color="auto"/>
        <w:left w:val="none" w:sz="0" w:space="0" w:color="auto"/>
        <w:bottom w:val="none" w:sz="0" w:space="0" w:color="auto"/>
        <w:right w:val="none" w:sz="0" w:space="0" w:color="auto"/>
      </w:divBdr>
    </w:div>
    <w:div w:id="1613827938">
      <w:bodyDiv w:val="1"/>
      <w:marLeft w:val="0"/>
      <w:marRight w:val="0"/>
      <w:marTop w:val="0"/>
      <w:marBottom w:val="0"/>
      <w:divBdr>
        <w:top w:val="none" w:sz="0" w:space="0" w:color="auto"/>
        <w:left w:val="none" w:sz="0" w:space="0" w:color="auto"/>
        <w:bottom w:val="none" w:sz="0" w:space="0" w:color="auto"/>
        <w:right w:val="none" w:sz="0" w:space="0" w:color="auto"/>
      </w:divBdr>
    </w:div>
    <w:div w:id="1615089598">
      <w:bodyDiv w:val="1"/>
      <w:marLeft w:val="0"/>
      <w:marRight w:val="0"/>
      <w:marTop w:val="0"/>
      <w:marBottom w:val="0"/>
      <w:divBdr>
        <w:top w:val="none" w:sz="0" w:space="0" w:color="auto"/>
        <w:left w:val="none" w:sz="0" w:space="0" w:color="auto"/>
        <w:bottom w:val="none" w:sz="0" w:space="0" w:color="auto"/>
        <w:right w:val="none" w:sz="0" w:space="0" w:color="auto"/>
      </w:divBdr>
    </w:div>
    <w:div w:id="1617131216">
      <w:bodyDiv w:val="1"/>
      <w:marLeft w:val="0"/>
      <w:marRight w:val="0"/>
      <w:marTop w:val="0"/>
      <w:marBottom w:val="0"/>
      <w:divBdr>
        <w:top w:val="none" w:sz="0" w:space="0" w:color="auto"/>
        <w:left w:val="none" w:sz="0" w:space="0" w:color="auto"/>
        <w:bottom w:val="none" w:sz="0" w:space="0" w:color="auto"/>
        <w:right w:val="none" w:sz="0" w:space="0" w:color="auto"/>
      </w:divBdr>
    </w:div>
    <w:div w:id="1618415942">
      <w:bodyDiv w:val="1"/>
      <w:marLeft w:val="0"/>
      <w:marRight w:val="0"/>
      <w:marTop w:val="0"/>
      <w:marBottom w:val="0"/>
      <w:divBdr>
        <w:top w:val="none" w:sz="0" w:space="0" w:color="auto"/>
        <w:left w:val="none" w:sz="0" w:space="0" w:color="auto"/>
        <w:bottom w:val="none" w:sz="0" w:space="0" w:color="auto"/>
        <w:right w:val="none" w:sz="0" w:space="0" w:color="auto"/>
      </w:divBdr>
    </w:div>
    <w:div w:id="1618828625">
      <w:bodyDiv w:val="1"/>
      <w:marLeft w:val="0"/>
      <w:marRight w:val="0"/>
      <w:marTop w:val="0"/>
      <w:marBottom w:val="0"/>
      <w:divBdr>
        <w:top w:val="none" w:sz="0" w:space="0" w:color="auto"/>
        <w:left w:val="none" w:sz="0" w:space="0" w:color="auto"/>
        <w:bottom w:val="none" w:sz="0" w:space="0" w:color="auto"/>
        <w:right w:val="none" w:sz="0" w:space="0" w:color="auto"/>
      </w:divBdr>
    </w:div>
    <w:div w:id="1621304273">
      <w:bodyDiv w:val="1"/>
      <w:marLeft w:val="0"/>
      <w:marRight w:val="0"/>
      <w:marTop w:val="0"/>
      <w:marBottom w:val="0"/>
      <w:divBdr>
        <w:top w:val="none" w:sz="0" w:space="0" w:color="auto"/>
        <w:left w:val="none" w:sz="0" w:space="0" w:color="auto"/>
        <w:bottom w:val="none" w:sz="0" w:space="0" w:color="auto"/>
        <w:right w:val="none" w:sz="0" w:space="0" w:color="auto"/>
      </w:divBdr>
    </w:div>
    <w:div w:id="1626152281">
      <w:bodyDiv w:val="1"/>
      <w:marLeft w:val="0"/>
      <w:marRight w:val="0"/>
      <w:marTop w:val="0"/>
      <w:marBottom w:val="0"/>
      <w:divBdr>
        <w:top w:val="none" w:sz="0" w:space="0" w:color="auto"/>
        <w:left w:val="none" w:sz="0" w:space="0" w:color="auto"/>
        <w:bottom w:val="none" w:sz="0" w:space="0" w:color="auto"/>
        <w:right w:val="none" w:sz="0" w:space="0" w:color="auto"/>
      </w:divBdr>
    </w:div>
    <w:div w:id="1630282130">
      <w:bodyDiv w:val="1"/>
      <w:marLeft w:val="0"/>
      <w:marRight w:val="0"/>
      <w:marTop w:val="0"/>
      <w:marBottom w:val="0"/>
      <w:divBdr>
        <w:top w:val="none" w:sz="0" w:space="0" w:color="auto"/>
        <w:left w:val="none" w:sz="0" w:space="0" w:color="auto"/>
        <w:bottom w:val="none" w:sz="0" w:space="0" w:color="auto"/>
        <w:right w:val="none" w:sz="0" w:space="0" w:color="auto"/>
      </w:divBdr>
    </w:div>
    <w:div w:id="1630668371">
      <w:bodyDiv w:val="1"/>
      <w:marLeft w:val="0"/>
      <w:marRight w:val="0"/>
      <w:marTop w:val="0"/>
      <w:marBottom w:val="0"/>
      <w:divBdr>
        <w:top w:val="none" w:sz="0" w:space="0" w:color="auto"/>
        <w:left w:val="none" w:sz="0" w:space="0" w:color="auto"/>
        <w:bottom w:val="none" w:sz="0" w:space="0" w:color="auto"/>
        <w:right w:val="none" w:sz="0" w:space="0" w:color="auto"/>
      </w:divBdr>
    </w:div>
    <w:div w:id="1633635832">
      <w:bodyDiv w:val="1"/>
      <w:marLeft w:val="0"/>
      <w:marRight w:val="0"/>
      <w:marTop w:val="0"/>
      <w:marBottom w:val="0"/>
      <w:divBdr>
        <w:top w:val="none" w:sz="0" w:space="0" w:color="auto"/>
        <w:left w:val="none" w:sz="0" w:space="0" w:color="auto"/>
        <w:bottom w:val="none" w:sz="0" w:space="0" w:color="auto"/>
        <w:right w:val="none" w:sz="0" w:space="0" w:color="auto"/>
      </w:divBdr>
    </w:div>
    <w:div w:id="1634095975">
      <w:bodyDiv w:val="1"/>
      <w:marLeft w:val="0"/>
      <w:marRight w:val="0"/>
      <w:marTop w:val="0"/>
      <w:marBottom w:val="0"/>
      <w:divBdr>
        <w:top w:val="none" w:sz="0" w:space="0" w:color="auto"/>
        <w:left w:val="none" w:sz="0" w:space="0" w:color="auto"/>
        <w:bottom w:val="none" w:sz="0" w:space="0" w:color="auto"/>
        <w:right w:val="none" w:sz="0" w:space="0" w:color="auto"/>
      </w:divBdr>
    </w:div>
    <w:div w:id="1638753381">
      <w:bodyDiv w:val="1"/>
      <w:marLeft w:val="0"/>
      <w:marRight w:val="0"/>
      <w:marTop w:val="0"/>
      <w:marBottom w:val="0"/>
      <w:divBdr>
        <w:top w:val="none" w:sz="0" w:space="0" w:color="auto"/>
        <w:left w:val="none" w:sz="0" w:space="0" w:color="auto"/>
        <w:bottom w:val="none" w:sz="0" w:space="0" w:color="auto"/>
        <w:right w:val="none" w:sz="0" w:space="0" w:color="auto"/>
      </w:divBdr>
    </w:div>
    <w:div w:id="1640988495">
      <w:bodyDiv w:val="1"/>
      <w:marLeft w:val="0"/>
      <w:marRight w:val="0"/>
      <w:marTop w:val="0"/>
      <w:marBottom w:val="0"/>
      <w:divBdr>
        <w:top w:val="none" w:sz="0" w:space="0" w:color="auto"/>
        <w:left w:val="none" w:sz="0" w:space="0" w:color="auto"/>
        <w:bottom w:val="none" w:sz="0" w:space="0" w:color="auto"/>
        <w:right w:val="none" w:sz="0" w:space="0" w:color="auto"/>
      </w:divBdr>
    </w:div>
    <w:div w:id="1646472554">
      <w:bodyDiv w:val="1"/>
      <w:marLeft w:val="0"/>
      <w:marRight w:val="0"/>
      <w:marTop w:val="0"/>
      <w:marBottom w:val="0"/>
      <w:divBdr>
        <w:top w:val="none" w:sz="0" w:space="0" w:color="auto"/>
        <w:left w:val="none" w:sz="0" w:space="0" w:color="auto"/>
        <w:bottom w:val="none" w:sz="0" w:space="0" w:color="auto"/>
        <w:right w:val="none" w:sz="0" w:space="0" w:color="auto"/>
      </w:divBdr>
    </w:div>
    <w:div w:id="1647247541">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479591">
      <w:bodyDiv w:val="1"/>
      <w:marLeft w:val="0"/>
      <w:marRight w:val="0"/>
      <w:marTop w:val="0"/>
      <w:marBottom w:val="0"/>
      <w:divBdr>
        <w:top w:val="none" w:sz="0" w:space="0" w:color="auto"/>
        <w:left w:val="none" w:sz="0" w:space="0" w:color="auto"/>
        <w:bottom w:val="none" w:sz="0" w:space="0" w:color="auto"/>
        <w:right w:val="none" w:sz="0" w:space="0" w:color="auto"/>
      </w:divBdr>
      <w:divsChild>
        <w:div w:id="1460494605">
          <w:marLeft w:val="1080"/>
          <w:marRight w:val="0"/>
          <w:marTop w:val="100"/>
          <w:marBottom w:val="0"/>
          <w:divBdr>
            <w:top w:val="none" w:sz="0" w:space="0" w:color="auto"/>
            <w:left w:val="none" w:sz="0" w:space="0" w:color="auto"/>
            <w:bottom w:val="none" w:sz="0" w:space="0" w:color="auto"/>
            <w:right w:val="none" w:sz="0" w:space="0" w:color="auto"/>
          </w:divBdr>
        </w:div>
      </w:divsChild>
    </w:div>
    <w:div w:id="1651591024">
      <w:bodyDiv w:val="1"/>
      <w:marLeft w:val="0"/>
      <w:marRight w:val="0"/>
      <w:marTop w:val="0"/>
      <w:marBottom w:val="0"/>
      <w:divBdr>
        <w:top w:val="none" w:sz="0" w:space="0" w:color="auto"/>
        <w:left w:val="none" w:sz="0" w:space="0" w:color="auto"/>
        <w:bottom w:val="none" w:sz="0" w:space="0" w:color="auto"/>
        <w:right w:val="none" w:sz="0" w:space="0" w:color="auto"/>
      </w:divBdr>
    </w:div>
    <w:div w:id="1654988243">
      <w:bodyDiv w:val="1"/>
      <w:marLeft w:val="0"/>
      <w:marRight w:val="0"/>
      <w:marTop w:val="0"/>
      <w:marBottom w:val="0"/>
      <w:divBdr>
        <w:top w:val="none" w:sz="0" w:space="0" w:color="auto"/>
        <w:left w:val="none" w:sz="0" w:space="0" w:color="auto"/>
        <w:bottom w:val="none" w:sz="0" w:space="0" w:color="auto"/>
        <w:right w:val="none" w:sz="0" w:space="0" w:color="auto"/>
      </w:divBdr>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60502267">
      <w:bodyDiv w:val="1"/>
      <w:marLeft w:val="0"/>
      <w:marRight w:val="0"/>
      <w:marTop w:val="0"/>
      <w:marBottom w:val="0"/>
      <w:divBdr>
        <w:top w:val="none" w:sz="0" w:space="0" w:color="auto"/>
        <w:left w:val="none" w:sz="0" w:space="0" w:color="auto"/>
        <w:bottom w:val="none" w:sz="0" w:space="0" w:color="auto"/>
        <w:right w:val="none" w:sz="0" w:space="0" w:color="auto"/>
      </w:divBdr>
    </w:div>
    <w:div w:id="1660576814">
      <w:bodyDiv w:val="1"/>
      <w:marLeft w:val="0"/>
      <w:marRight w:val="0"/>
      <w:marTop w:val="0"/>
      <w:marBottom w:val="0"/>
      <w:divBdr>
        <w:top w:val="none" w:sz="0" w:space="0" w:color="auto"/>
        <w:left w:val="none" w:sz="0" w:space="0" w:color="auto"/>
        <w:bottom w:val="none" w:sz="0" w:space="0" w:color="auto"/>
        <w:right w:val="none" w:sz="0" w:space="0" w:color="auto"/>
      </w:divBdr>
    </w:div>
    <w:div w:id="1663317165">
      <w:bodyDiv w:val="1"/>
      <w:marLeft w:val="0"/>
      <w:marRight w:val="0"/>
      <w:marTop w:val="0"/>
      <w:marBottom w:val="0"/>
      <w:divBdr>
        <w:top w:val="none" w:sz="0" w:space="0" w:color="auto"/>
        <w:left w:val="none" w:sz="0" w:space="0" w:color="auto"/>
        <w:bottom w:val="none" w:sz="0" w:space="0" w:color="auto"/>
        <w:right w:val="none" w:sz="0" w:space="0" w:color="auto"/>
      </w:divBdr>
    </w:div>
    <w:div w:id="1667631575">
      <w:bodyDiv w:val="1"/>
      <w:marLeft w:val="0"/>
      <w:marRight w:val="0"/>
      <w:marTop w:val="0"/>
      <w:marBottom w:val="0"/>
      <w:divBdr>
        <w:top w:val="none" w:sz="0" w:space="0" w:color="auto"/>
        <w:left w:val="none" w:sz="0" w:space="0" w:color="auto"/>
        <w:bottom w:val="none" w:sz="0" w:space="0" w:color="auto"/>
        <w:right w:val="none" w:sz="0" w:space="0" w:color="auto"/>
      </w:divBdr>
    </w:div>
    <w:div w:id="1676374026">
      <w:bodyDiv w:val="1"/>
      <w:marLeft w:val="0"/>
      <w:marRight w:val="0"/>
      <w:marTop w:val="0"/>
      <w:marBottom w:val="0"/>
      <w:divBdr>
        <w:top w:val="none" w:sz="0" w:space="0" w:color="auto"/>
        <w:left w:val="none" w:sz="0" w:space="0" w:color="auto"/>
        <w:bottom w:val="none" w:sz="0" w:space="0" w:color="auto"/>
        <w:right w:val="none" w:sz="0" w:space="0" w:color="auto"/>
      </w:divBdr>
    </w:div>
    <w:div w:id="1676415108">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7419551">
      <w:bodyDiv w:val="1"/>
      <w:marLeft w:val="0"/>
      <w:marRight w:val="0"/>
      <w:marTop w:val="0"/>
      <w:marBottom w:val="0"/>
      <w:divBdr>
        <w:top w:val="none" w:sz="0" w:space="0" w:color="auto"/>
        <w:left w:val="none" w:sz="0" w:space="0" w:color="auto"/>
        <w:bottom w:val="none" w:sz="0" w:space="0" w:color="auto"/>
        <w:right w:val="none" w:sz="0" w:space="0" w:color="auto"/>
      </w:divBdr>
    </w:div>
    <w:div w:id="1678384899">
      <w:bodyDiv w:val="1"/>
      <w:marLeft w:val="0"/>
      <w:marRight w:val="0"/>
      <w:marTop w:val="0"/>
      <w:marBottom w:val="0"/>
      <w:divBdr>
        <w:top w:val="none" w:sz="0" w:space="0" w:color="auto"/>
        <w:left w:val="none" w:sz="0" w:space="0" w:color="auto"/>
        <w:bottom w:val="none" w:sz="0" w:space="0" w:color="auto"/>
        <w:right w:val="none" w:sz="0" w:space="0" w:color="auto"/>
      </w:divBdr>
      <w:divsChild>
        <w:div w:id="483396766">
          <w:marLeft w:val="547"/>
          <w:marRight w:val="0"/>
          <w:marTop w:val="0"/>
          <w:marBottom w:val="0"/>
          <w:divBdr>
            <w:top w:val="none" w:sz="0" w:space="0" w:color="auto"/>
            <w:left w:val="none" w:sz="0" w:space="0" w:color="auto"/>
            <w:bottom w:val="none" w:sz="0" w:space="0" w:color="auto"/>
            <w:right w:val="none" w:sz="0" w:space="0" w:color="auto"/>
          </w:divBdr>
        </w:div>
        <w:div w:id="958953443">
          <w:marLeft w:val="1800"/>
          <w:marRight w:val="0"/>
          <w:marTop w:val="0"/>
          <w:marBottom w:val="0"/>
          <w:divBdr>
            <w:top w:val="none" w:sz="0" w:space="0" w:color="auto"/>
            <w:left w:val="none" w:sz="0" w:space="0" w:color="auto"/>
            <w:bottom w:val="none" w:sz="0" w:space="0" w:color="auto"/>
            <w:right w:val="none" w:sz="0" w:space="0" w:color="auto"/>
          </w:divBdr>
        </w:div>
        <w:div w:id="1254707010">
          <w:marLeft w:val="1166"/>
          <w:marRight w:val="0"/>
          <w:marTop w:val="0"/>
          <w:marBottom w:val="0"/>
          <w:divBdr>
            <w:top w:val="none" w:sz="0" w:space="0" w:color="auto"/>
            <w:left w:val="none" w:sz="0" w:space="0" w:color="auto"/>
            <w:bottom w:val="none" w:sz="0" w:space="0" w:color="auto"/>
            <w:right w:val="none" w:sz="0" w:space="0" w:color="auto"/>
          </w:divBdr>
        </w:div>
        <w:div w:id="1574201390">
          <w:marLeft w:val="1166"/>
          <w:marRight w:val="0"/>
          <w:marTop w:val="0"/>
          <w:marBottom w:val="0"/>
          <w:divBdr>
            <w:top w:val="none" w:sz="0" w:space="0" w:color="auto"/>
            <w:left w:val="none" w:sz="0" w:space="0" w:color="auto"/>
            <w:bottom w:val="none" w:sz="0" w:space="0" w:color="auto"/>
            <w:right w:val="none" w:sz="0" w:space="0" w:color="auto"/>
          </w:divBdr>
        </w:div>
      </w:divsChild>
    </w:div>
    <w:div w:id="1679968476">
      <w:bodyDiv w:val="1"/>
      <w:marLeft w:val="0"/>
      <w:marRight w:val="0"/>
      <w:marTop w:val="0"/>
      <w:marBottom w:val="0"/>
      <w:divBdr>
        <w:top w:val="none" w:sz="0" w:space="0" w:color="auto"/>
        <w:left w:val="none" w:sz="0" w:space="0" w:color="auto"/>
        <w:bottom w:val="none" w:sz="0" w:space="0" w:color="auto"/>
        <w:right w:val="none" w:sz="0" w:space="0" w:color="auto"/>
      </w:divBdr>
    </w:div>
    <w:div w:id="1681276420">
      <w:bodyDiv w:val="1"/>
      <w:marLeft w:val="0"/>
      <w:marRight w:val="0"/>
      <w:marTop w:val="0"/>
      <w:marBottom w:val="0"/>
      <w:divBdr>
        <w:top w:val="none" w:sz="0" w:space="0" w:color="auto"/>
        <w:left w:val="none" w:sz="0" w:space="0" w:color="auto"/>
        <w:bottom w:val="none" w:sz="0" w:space="0" w:color="auto"/>
        <w:right w:val="none" w:sz="0" w:space="0" w:color="auto"/>
      </w:divBdr>
    </w:div>
    <w:div w:id="1684014630">
      <w:bodyDiv w:val="1"/>
      <w:marLeft w:val="0"/>
      <w:marRight w:val="0"/>
      <w:marTop w:val="0"/>
      <w:marBottom w:val="0"/>
      <w:divBdr>
        <w:top w:val="none" w:sz="0" w:space="0" w:color="auto"/>
        <w:left w:val="none" w:sz="0" w:space="0" w:color="auto"/>
        <w:bottom w:val="none" w:sz="0" w:space="0" w:color="auto"/>
        <w:right w:val="none" w:sz="0" w:space="0" w:color="auto"/>
      </w:divBdr>
    </w:div>
    <w:div w:id="1687634690">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3798639">
      <w:bodyDiv w:val="1"/>
      <w:marLeft w:val="0"/>
      <w:marRight w:val="0"/>
      <w:marTop w:val="0"/>
      <w:marBottom w:val="0"/>
      <w:divBdr>
        <w:top w:val="none" w:sz="0" w:space="0" w:color="auto"/>
        <w:left w:val="none" w:sz="0" w:space="0" w:color="auto"/>
        <w:bottom w:val="none" w:sz="0" w:space="0" w:color="auto"/>
        <w:right w:val="none" w:sz="0" w:space="0" w:color="auto"/>
      </w:divBdr>
    </w:div>
    <w:div w:id="1695813308">
      <w:bodyDiv w:val="1"/>
      <w:marLeft w:val="0"/>
      <w:marRight w:val="0"/>
      <w:marTop w:val="0"/>
      <w:marBottom w:val="0"/>
      <w:divBdr>
        <w:top w:val="none" w:sz="0" w:space="0" w:color="auto"/>
        <w:left w:val="none" w:sz="0" w:space="0" w:color="auto"/>
        <w:bottom w:val="none" w:sz="0" w:space="0" w:color="auto"/>
        <w:right w:val="none" w:sz="0" w:space="0" w:color="auto"/>
      </w:divBdr>
    </w:div>
    <w:div w:id="1701511863">
      <w:bodyDiv w:val="1"/>
      <w:marLeft w:val="0"/>
      <w:marRight w:val="0"/>
      <w:marTop w:val="0"/>
      <w:marBottom w:val="0"/>
      <w:divBdr>
        <w:top w:val="none" w:sz="0" w:space="0" w:color="auto"/>
        <w:left w:val="none" w:sz="0" w:space="0" w:color="auto"/>
        <w:bottom w:val="none" w:sz="0" w:space="0" w:color="auto"/>
        <w:right w:val="none" w:sz="0" w:space="0" w:color="auto"/>
      </w:divBdr>
    </w:div>
    <w:div w:id="1704013596">
      <w:bodyDiv w:val="1"/>
      <w:marLeft w:val="0"/>
      <w:marRight w:val="0"/>
      <w:marTop w:val="0"/>
      <w:marBottom w:val="0"/>
      <w:divBdr>
        <w:top w:val="none" w:sz="0" w:space="0" w:color="auto"/>
        <w:left w:val="none" w:sz="0" w:space="0" w:color="auto"/>
        <w:bottom w:val="none" w:sz="0" w:space="0" w:color="auto"/>
        <w:right w:val="none" w:sz="0" w:space="0" w:color="auto"/>
      </w:divBdr>
    </w:div>
    <w:div w:id="1704789849">
      <w:bodyDiv w:val="1"/>
      <w:marLeft w:val="0"/>
      <w:marRight w:val="0"/>
      <w:marTop w:val="0"/>
      <w:marBottom w:val="0"/>
      <w:divBdr>
        <w:top w:val="none" w:sz="0" w:space="0" w:color="auto"/>
        <w:left w:val="none" w:sz="0" w:space="0" w:color="auto"/>
        <w:bottom w:val="none" w:sz="0" w:space="0" w:color="auto"/>
        <w:right w:val="none" w:sz="0" w:space="0" w:color="auto"/>
      </w:divBdr>
    </w:div>
    <w:div w:id="1707490399">
      <w:bodyDiv w:val="1"/>
      <w:marLeft w:val="0"/>
      <w:marRight w:val="0"/>
      <w:marTop w:val="0"/>
      <w:marBottom w:val="0"/>
      <w:divBdr>
        <w:top w:val="none" w:sz="0" w:space="0" w:color="auto"/>
        <w:left w:val="none" w:sz="0" w:space="0" w:color="auto"/>
        <w:bottom w:val="none" w:sz="0" w:space="0" w:color="auto"/>
        <w:right w:val="none" w:sz="0" w:space="0" w:color="auto"/>
      </w:divBdr>
    </w:div>
    <w:div w:id="1711564350">
      <w:bodyDiv w:val="1"/>
      <w:marLeft w:val="0"/>
      <w:marRight w:val="0"/>
      <w:marTop w:val="0"/>
      <w:marBottom w:val="0"/>
      <w:divBdr>
        <w:top w:val="none" w:sz="0" w:space="0" w:color="auto"/>
        <w:left w:val="none" w:sz="0" w:space="0" w:color="auto"/>
        <w:bottom w:val="none" w:sz="0" w:space="0" w:color="auto"/>
        <w:right w:val="none" w:sz="0" w:space="0" w:color="auto"/>
      </w:divBdr>
    </w:div>
    <w:div w:id="1713111669">
      <w:bodyDiv w:val="1"/>
      <w:marLeft w:val="0"/>
      <w:marRight w:val="0"/>
      <w:marTop w:val="0"/>
      <w:marBottom w:val="0"/>
      <w:divBdr>
        <w:top w:val="none" w:sz="0" w:space="0" w:color="auto"/>
        <w:left w:val="none" w:sz="0" w:space="0" w:color="auto"/>
        <w:bottom w:val="none" w:sz="0" w:space="0" w:color="auto"/>
        <w:right w:val="none" w:sz="0" w:space="0" w:color="auto"/>
      </w:divBdr>
    </w:div>
    <w:div w:id="1713457244">
      <w:bodyDiv w:val="1"/>
      <w:marLeft w:val="0"/>
      <w:marRight w:val="0"/>
      <w:marTop w:val="0"/>
      <w:marBottom w:val="0"/>
      <w:divBdr>
        <w:top w:val="none" w:sz="0" w:space="0" w:color="auto"/>
        <w:left w:val="none" w:sz="0" w:space="0" w:color="auto"/>
        <w:bottom w:val="none" w:sz="0" w:space="0" w:color="auto"/>
        <w:right w:val="none" w:sz="0" w:space="0" w:color="auto"/>
      </w:divBdr>
    </w:div>
    <w:div w:id="1713846377">
      <w:bodyDiv w:val="1"/>
      <w:marLeft w:val="0"/>
      <w:marRight w:val="0"/>
      <w:marTop w:val="0"/>
      <w:marBottom w:val="0"/>
      <w:divBdr>
        <w:top w:val="none" w:sz="0" w:space="0" w:color="auto"/>
        <w:left w:val="none" w:sz="0" w:space="0" w:color="auto"/>
        <w:bottom w:val="none" w:sz="0" w:space="0" w:color="auto"/>
        <w:right w:val="none" w:sz="0" w:space="0" w:color="auto"/>
      </w:divBdr>
    </w:div>
    <w:div w:id="1720859802">
      <w:bodyDiv w:val="1"/>
      <w:marLeft w:val="0"/>
      <w:marRight w:val="0"/>
      <w:marTop w:val="0"/>
      <w:marBottom w:val="0"/>
      <w:divBdr>
        <w:top w:val="none" w:sz="0" w:space="0" w:color="auto"/>
        <w:left w:val="none" w:sz="0" w:space="0" w:color="auto"/>
        <w:bottom w:val="none" w:sz="0" w:space="0" w:color="auto"/>
        <w:right w:val="none" w:sz="0" w:space="0" w:color="auto"/>
      </w:divBdr>
    </w:div>
    <w:div w:id="1727408236">
      <w:bodyDiv w:val="1"/>
      <w:marLeft w:val="0"/>
      <w:marRight w:val="0"/>
      <w:marTop w:val="0"/>
      <w:marBottom w:val="0"/>
      <w:divBdr>
        <w:top w:val="none" w:sz="0" w:space="0" w:color="auto"/>
        <w:left w:val="none" w:sz="0" w:space="0" w:color="auto"/>
        <w:bottom w:val="none" w:sz="0" w:space="0" w:color="auto"/>
        <w:right w:val="none" w:sz="0" w:space="0" w:color="auto"/>
      </w:divBdr>
    </w:div>
    <w:div w:id="1729380807">
      <w:bodyDiv w:val="1"/>
      <w:marLeft w:val="0"/>
      <w:marRight w:val="0"/>
      <w:marTop w:val="0"/>
      <w:marBottom w:val="0"/>
      <w:divBdr>
        <w:top w:val="none" w:sz="0" w:space="0" w:color="auto"/>
        <w:left w:val="none" w:sz="0" w:space="0" w:color="auto"/>
        <w:bottom w:val="none" w:sz="0" w:space="0" w:color="auto"/>
        <w:right w:val="none" w:sz="0" w:space="0" w:color="auto"/>
      </w:divBdr>
    </w:div>
    <w:div w:id="1738742214">
      <w:bodyDiv w:val="1"/>
      <w:marLeft w:val="0"/>
      <w:marRight w:val="0"/>
      <w:marTop w:val="0"/>
      <w:marBottom w:val="0"/>
      <w:divBdr>
        <w:top w:val="none" w:sz="0" w:space="0" w:color="auto"/>
        <w:left w:val="none" w:sz="0" w:space="0" w:color="auto"/>
        <w:bottom w:val="none" w:sz="0" w:space="0" w:color="auto"/>
        <w:right w:val="none" w:sz="0" w:space="0" w:color="auto"/>
      </w:divBdr>
    </w:div>
    <w:div w:id="1742554094">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411727">
      <w:bodyDiv w:val="1"/>
      <w:marLeft w:val="0"/>
      <w:marRight w:val="0"/>
      <w:marTop w:val="0"/>
      <w:marBottom w:val="0"/>
      <w:divBdr>
        <w:top w:val="none" w:sz="0" w:space="0" w:color="auto"/>
        <w:left w:val="none" w:sz="0" w:space="0" w:color="auto"/>
        <w:bottom w:val="none" w:sz="0" w:space="0" w:color="auto"/>
        <w:right w:val="none" w:sz="0" w:space="0" w:color="auto"/>
      </w:divBdr>
    </w:div>
    <w:div w:id="1747604067">
      <w:bodyDiv w:val="1"/>
      <w:marLeft w:val="0"/>
      <w:marRight w:val="0"/>
      <w:marTop w:val="0"/>
      <w:marBottom w:val="0"/>
      <w:divBdr>
        <w:top w:val="none" w:sz="0" w:space="0" w:color="auto"/>
        <w:left w:val="none" w:sz="0" w:space="0" w:color="auto"/>
        <w:bottom w:val="none" w:sz="0" w:space="0" w:color="auto"/>
        <w:right w:val="none" w:sz="0" w:space="0" w:color="auto"/>
      </w:divBdr>
    </w:div>
    <w:div w:id="1749571009">
      <w:bodyDiv w:val="1"/>
      <w:marLeft w:val="0"/>
      <w:marRight w:val="0"/>
      <w:marTop w:val="0"/>
      <w:marBottom w:val="0"/>
      <w:divBdr>
        <w:top w:val="none" w:sz="0" w:space="0" w:color="auto"/>
        <w:left w:val="none" w:sz="0" w:space="0" w:color="auto"/>
        <w:bottom w:val="none" w:sz="0" w:space="0" w:color="auto"/>
        <w:right w:val="none" w:sz="0" w:space="0" w:color="auto"/>
      </w:divBdr>
    </w:div>
    <w:div w:id="1750272789">
      <w:bodyDiv w:val="1"/>
      <w:marLeft w:val="0"/>
      <w:marRight w:val="0"/>
      <w:marTop w:val="0"/>
      <w:marBottom w:val="0"/>
      <w:divBdr>
        <w:top w:val="none" w:sz="0" w:space="0" w:color="auto"/>
        <w:left w:val="none" w:sz="0" w:space="0" w:color="auto"/>
        <w:bottom w:val="none" w:sz="0" w:space="0" w:color="auto"/>
        <w:right w:val="none" w:sz="0" w:space="0" w:color="auto"/>
      </w:divBdr>
    </w:div>
    <w:div w:id="1753625816">
      <w:bodyDiv w:val="1"/>
      <w:marLeft w:val="0"/>
      <w:marRight w:val="0"/>
      <w:marTop w:val="0"/>
      <w:marBottom w:val="0"/>
      <w:divBdr>
        <w:top w:val="none" w:sz="0" w:space="0" w:color="auto"/>
        <w:left w:val="none" w:sz="0" w:space="0" w:color="auto"/>
        <w:bottom w:val="none" w:sz="0" w:space="0" w:color="auto"/>
        <w:right w:val="none" w:sz="0" w:space="0" w:color="auto"/>
      </w:divBdr>
    </w:div>
    <w:div w:id="1756703012">
      <w:bodyDiv w:val="1"/>
      <w:marLeft w:val="0"/>
      <w:marRight w:val="0"/>
      <w:marTop w:val="0"/>
      <w:marBottom w:val="0"/>
      <w:divBdr>
        <w:top w:val="none" w:sz="0" w:space="0" w:color="auto"/>
        <w:left w:val="none" w:sz="0" w:space="0" w:color="auto"/>
        <w:bottom w:val="none" w:sz="0" w:space="0" w:color="auto"/>
        <w:right w:val="none" w:sz="0" w:space="0" w:color="auto"/>
      </w:divBdr>
    </w:div>
    <w:div w:id="1761482691">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63066040">
      <w:bodyDiv w:val="1"/>
      <w:marLeft w:val="0"/>
      <w:marRight w:val="0"/>
      <w:marTop w:val="0"/>
      <w:marBottom w:val="0"/>
      <w:divBdr>
        <w:top w:val="none" w:sz="0" w:space="0" w:color="auto"/>
        <w:left w:val="none" w:sz="0" w:space="0" w:color="auto"/>
        <w:bottom w:val="none" w:sz="0" w:space="0" w:color="auto"/>
        <w:right w:val="none" w:sz="0" w:space="0" w:color="auto"/>
      </w:divBdr>
    </w:div>
    <w:div w:id="1765607359">
      <w:bodyDiv w:val="1"/>
      <w:marLeft w:val="0"/>
      <w:marRight w:val="0"/>
      <w:marTop w:val="0"/>
      <w:marBottom w:val="0"/>
      <w:divBdr>
        <w:top w:val="none" w:sz="0" w:space="0" w:color="auto"/>
        <w:left w:val="none" w:sz="0" w:space="0" w:color="auto"/>
        <w:bottom w:val="none" w:sz="0" w:space="0" w:color="auto"/>
        <w:right w:val="none" w:sz="0" w:space="0" w:color="auto"/>
      </w:divBdr>
    </w:div>
    <w:div w:id="1766532058">
      <w:bodyDiv w:val="1"/>
      <w:marLeft w:val="0"/>
      <w:marRight w:val="0"/>
      <w:marTop w:val="0"/>
      <w:marBottom w:val="0"/>
      <w:divBdr>
        <w:top w:val="none" w:sz="0" w:space="0" w:color="auto"/>
        <w:left w:val="none" w:sz="0" w:space="0" w:color="auto"/>
        <w:bottom w:val="none" w:sz="0" w:space="0" w:color="auto"/>
        <w:right w:val="none" w:sz="0" w:space="0" w:color="auto"/>
      </w:divBdr>
    </w:div>
    <w:div w:id="1766806155">
      <w:bodyDiv w:val="1"/>
      <w:marLeft w:val="0"/>
      <w:marRight w:val="0"/>
      <w:marTop w:val="0"/>
      <w:marBottom w:val="0"/>
      <w:divBdr>
        <w:top w:val="none" w:sz="0" w:space="0" w:color="auto"/>
        <w:left w:val="none" w:sz="0" w:space="0" w:color="auto"/>
        <w:bottom w:val="none" w:sz="0" w:space="0" w:color="auto"/>
        <w:right w:val="none" w:sz="0" w:space="0" w:color="auto"/>
      </w:divBdr>
    </w:div>
    <w:div w:id="1768454397">
      <w:bodyDiv w:val="1"/>
      <w:marLeft w:val="0"/>
      <w:marRight w:val="0"/>
      <w:marTop w:val="0"/>
      <w:marBottom w:val="0"/>
      <w:divBdr>
        <w:top w:val="none" w:sz="0" w:space="0" w:color="auto"/>
        <w:left w:val="none" w:sz="0" w:space="0" w:color="auto"/>
        <w:bottom w:val="none" w:sz="0" w:space="0" w:color="auto"/>
        <w:right w:val="none" w:sz="0" w:space="0" w:color="auto"/>
      </w:divBdr>
    </w:div>
    <w:div w:id="1768891298">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3743726">
      <w:bodyDiv w:val="1"/>
      <w:marLeft w:val="0"/>
      <w:marRight w:val="0"/>
      <w:marTop w:val="0"/>
      <w:marBottom w:val="0"/>
      <w:divBdr>
        <w:top w:val="none" w:sz="0" w:space="0" w:color="auto"/>
        <w:left w:val="none" w:sz="0" w:space="0" w:color="auto"/>
        <w:bottom w:val="none" w:sz="0" w:space="0" w:color="auto"/>
        <w:right w:val="none" w:sz="0" w:space="0" w:color="auto"/>
      </w:divBdr>
      <w:divsChild>
        <w:div w:id="415369720">
          <w:marLeft w:val="1080"/>
          <w:marRight w:val="0"/>
          <w:marTop w:val="10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84879174">
      <w:bodyDiv w:val="1"/>
      <w:marLeft w:val="0"/>
      <w:marRight w:val="0"/>
      <w:marTop w:val="0"/>
      <w:marBottom w:val="0"/>
      <w:divBdr>
        <w:top w:val="none" w:sz="0" w:space="0" w:color="auto"/>
        <w:left w:val="none" w:sz="0" w:space="0" w:color="auto"/>
        <w:bottom w:val="none" w:sz="0" w:space="0" w:color="auto"/>
        <w:right w:val="none" w:sz="0" w:space="0" w:color="auto"/>
      </w:divBdr>
    </w:div>
    <w:div w:id="1784886914">
      <w:bodyDiv w:val="1"/>
      <w:marLeft w:val="0"/>
      <w:marRight w:val="0"/>
      <w:marTop w:val="0"/>
      <w:marBottom w:val="0"/>
      <w:divBdr>
        <w:top w:val="none" w:sz="0" w:space="0" w:color="auto"/>
        <w:left w:val="none" w:sz="0" w:space="0" w:color="auto"/>
        <w:bottom w:val="none" w:sz="0" w:space="0" w:color="auto"/>
        <w:right w:val="none" w:sz="0" w:space="0" w:color="auto"/>
      </w:divBdr>
    </w:div>
    <w:div w:id="1786077531">
      <w:bodyDiv w:val="1"/>
      <w:marLeft w:val="0"/>
      <w:marRight w:val="0"/>
      <w:marTop w:val="0"/>
      <w:marBottom w:val="0"/>
      <w:divBdr>
        <w:top w:val="none" w:sz="0" w:space="0" w:color="auto"/>
        <w:left w:val="none" w:sz="0" w:space="0" w:color="auto"/>
        <w:bottom w:val="none" w:sz="0" w:space="0" w:color="auto"/>
        <w:right w:val="none" w:sz="0" w:space="0" w:color="auto"/>
      </w:divBdr>
    </w:div>
    <w:div w:id="1790082449">
      <w:bodyDiv w:val="1"/>
      <w:marLeft w:val="0"/>
      <w:marRight w:val="0"/>
      <w:marTop w:val="0"/>
      <w:marBottom w:val="0"/>
      <w:divBdr>
        <w:top w:val="none" w:sz="0" w:space="0" w:color="auto"/>
        <w:left w:val="none" w:sz="0" w:space="0" w:color="auto"/>
        <w:bottom w:val="none" w:sz="0" w:space="0" w:color="auto"/>
        <w:right w:val="none" w:sz="0" w:space="0" w:color="auto"/>
      </w:divBdr>
    </w:div>
    <w:div w:id="1792167259">
      <w:bodyDiv w:val="1"/>
      <w:marLeft w:val="0"/>
      <w:marRight w:val="0"/>
      <w:marTop w:val="0"/>
      <w:marBottom w:val="0"/>
      <w:divBdr>
        <w:top w:val="none" w:sz="0" w:space="0" w:color="auto"/>
        <w:left w:val="none" w:sz="0" w:space="0" w:color="auto"/>
        <w:bottom w:val="none" w:sz="0" w:space="0" w:color="auto"/>
        <w:right w:val="none" w:sz="0" w:space="0" w:color="auto"/>
      </w:divBdr>
    </w:div>
    <w:div w:id="1794790884">
      <w:bodyDiv w:val="1"/>
      <w:marLeft w:val="0"/>
      <w:marRight w:val="0"/>
      <w:marTop w:val="0"/>
      <w:marBottom w:val="0"/>
      <w:divBdr>
        <w:top w:val="none" w:sz="0" w:space="0" w:color="auto"/>
        <w:left w:val="none" w:sz="0" w:space="0" w:color="auto"/>
        <w:bottom w:val="none" w:sz="0" w:space="0" w:color="auto"/>
        <w:right w:val="none" w:sz="0" w:space="0" w:color="auto"/>
      </w:divBdr>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796751923">
      <w:bodyDiv w:val="1"/>
      <w:marLeft w:val="0"/>
      <w:marRight w:val="0"/>
      <w:marTop w:val="0"/>
      <w:marBottom w:val="0"/>
      <w:divBdr>
        <w:top w:val="none" w:sz="0" w:space="0" w:color="auto"/>
        <w:left w:val="none" w:sz="0" w:space="0" w:color="auto"/>
        <w:bottom w:val="none" w:sz="0" w:space="0" w:color="auto"/>
        <w:right w:val="none" w:sz="0" w:space="0" w:color="auto"/>
      </w:divBdr>
    </w:div>
    <w:div w:id="1798256592">
      <w:bodyDiv w:val="1"/>
      <w:marLeft w:val="0"/>
      <w:marRight w:val="0"/>
      <w:marTop w:val="0"/>
      <w:marBottom w:val="0"/>
      <w:divBdr>
        <w:top w:val="none" w:sz="0" w:space="0" w:color="auto"/>
        <w:left w:val="none" w:sz="0" w:space="0" w:color="auto"/>
        <w:bottom w:val="none" w:sz="0" w:space="0" w:color="auto"/>
        <w:right w:val="none" w:sz="0" w:space="0" w:color="auto"/>
      </w:divBdr>
    </w:div>
    <w:div w:id="1798795367">
      <w:bodyDiv w:val="1"/>
      <w:marLeft w:val="0"/>
      <w:marRight w:val="0"/>
      <w:marTop w:val="0"/>
      <w:marBottom w:val="0"/>
      <w:divBdr>
        <w:top w:val="none" w:sz="0" w:space="0" w:color="auto"/>
        <w:left w:val="none" w:sz="0" w:space="0" w:color="auto"/>
        <w:bottom w:val="none" w:sz="0" w:space="0" w:color="auto"/>
        <w:right w:val="none" w:sz="0" w:space="0" w:color="auto"/>
      </w:divBdr>
    </w:div>
    <w:div w:id="1799109373">
      <w:bodyDiv w:val="1"/>
      <w:marLeft w:val="0"/>
      <w:marRight w:val="0"/>
      <w:marTop w:val="0"/>
      <w:marBottom w:val="0"/>
      <w:divBdr>
        <w:top w:val="none" w:sz="0" w:space="0" w:color="auto"/>
        <w:left w:val="none" w:sz="0" w:space="0" w:color="auto"/>
        <w:bottom w:val="none" w:sz="0" w:space="0" w:color="auto"/>
        <w:right w:val="none" w:sz="0" w:space="0" w:color="auto"/>
      </w:divBdr>
    </w:div>
    <w:div w:id="1801024145">
      <w:bodyDiv w:val="1"/>
      <w:marLeft w:val="0"/>
      <w:marRight w:val="0"/>
      <w:marTop w:val="0"/>
      <w:marBottom w:val="0"/>
      <w:divBdr>
        <w:top w:val="none" w:sz="0" w:space="0" w:color="auto"/>
        <w:left w:val="none" w:sz="0" w:space="0" w:color="auto"/>
        <w:bottom w:val="none" w:sz="0" w:space="0" w:color="auto"/>
        <w:right w:val="none" w:sz="0" w:space="0" w:color="auto"/>
      </w:divBdr>
    </w:div>
    <w:div w:id="1804611830">
      <w:bodyDiv w:val="1"/>
      <w:marLeft w:val="0"/>
      <w:marRight w:val="0"/>
      <w:marTop w:val="0"/>
      <w:marBottom w:val="0"/>
      <w:divBdr>
        <w:top w:val="none" w:sz="0" w:space="0" w:color="auto"/>
        <w:left w:val="none" w:sz="0" w:space="0" w:color="auto"/>
        <w:bottom w:val="none" w:sz="0" w:space="0" w:color="auto"/>
        <w:right w:val="none" w:sz="0" w:space="0" w:color="auto"/>
      </w:divBdr>
    </w:div>
    <w:div w:id="1805274684">
      <w:bodyDiv w:val="1"/>
      <w:marLeft w:val="0"/>
      <w:marRight w:val="0"/>
      <w:marTop w:val="0"/>
      <w:marBottom w:val="0"/>
      <w:divBdr>
        <w:top w:val="none" w:sz="0" w:space="0" w:color="auto"/>
        <w:left w:val="none" w:sz="0" w:space="0" w:color="auto"/>
        <w:bottom w:val="none" w:sz="0" w:space="0" w:color="auto"/>
        <w:right w:val="none" w:sz="0" w:space="0" w:color="auto"/>
      </w:divBdr>
    </w:div>
    <w:div w:id="1810321630">
      <w:bodyDiv w:val="1"/>
      <w:marLeft w:val="0"/>
      <w:marRight w:val="0"/>
      <w:marTop w:val="0"/>
      <w:marBottom w:val="0"/>
      <w:divBdr>
        <w:top w:val="none" w:sz="0" w:space="0" w:color="auto"/>
        <w:left w:val="none" w:sz="0" w:space="0" w:color="auto"/>
        <w:bottom w:val="none" w:sz="0" w:space="0" w:color="auto"/>
        <w:right w:val="none" w:sz="0" w:space="0" w:color="auto"/>
      </w:divBdr>
    </w:div>
    <w:div w:id="1812861978">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2945846">
      <w:bodyDiv w:val="1"/>
      <w:marLeft w:val="0"/>
      <w:marRight w:val="0"/>
      <w:marTop w:val="0"/>
      <w:marBottom w:val="0"/>
      <w:divBdr>
        <w:top w:val="none" w:sz="0" w:space="0" w:color="auto"/>
        <w:left w:val="none" w:sz="0" w:space="0" w:color="auto"/>
        <w:bottom w:val="none" w:sz="0" w:space="0" w:color="auto"/>
        <w:right w:val="none" w:sz="0" w:space="0" w:color="auto"/>
      </w:divBdr>
    </w:div>
    <w:div w:id="1813448274">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 w:id="2107387388">
          <w:marLeft w:val="547"/>
          <w:marRight w:val="0"/>
          <w:marTop w:val="0"/>
          <w:marBottom w:val="120"/>
          <w:divBdr>
            <w:top w:val="none" w:sz="0" w:space="0" w:color="auto"/>
            <w:left w:val="none" w:sz="0" w:space="0" w:color="auto"/>
            <w:bottom w:val="none" w:sz="0" w:space="0" w:color="auto"/>
            <w:right w:val="none" w:sz="0" w:space="0" w:color="auto"/>
          </w:divBdr>
        </w:div>
      </w:divsChild>
    </w:div>
    <w:div w:id="1817642568">
      <w:bodyDiv w:val="1"/>
      <w:marLeft w:val="0"/>
      <w:marRight w:val="0"/>
      <w:marTop w:val="0"/>
      <w:marBottom w:val="0"/>
      <w:divBdr>
        <w:top w:val="none" w:sz="0" w:space="0" w:color="auto"/>
        <w:left w:val="none" w:sz="0" w:space="0" w:color="auto"/>
        <w:bottom w:val="none" w:sz="0" w:space="0" w:color="auto"/>
        <w:right w:val="none" w:sz="0" w:space="0" w:color="auto"/>
      </w:divBdr>
    </w:div>
    <w:div w:id="1817988857">
      <w:bodyDiv w:val="1"/>
      <w:marLeft w:val="0"/>
      <w:marRight w:val="0"/>
      <w:marTop w:val="0"/>
      <w:marBottom w:val="0"/>
      <w:divBdr>
        <w:top w:val="none" w:sz="0" w:space="0" w:color="auto"/>
        <w:left w:val="none" w:sz="0" w:space="0" w:color="auto"/>
        <w:bottom w:val="none" w:sz="0" w:space="0" w:color="auto"/>
        <w:right w:val="none" w:sz="0" w:space="0" w:color="auto"/>
      </w:divBdr>
    </w:div>
    <w:div w:id="1820225457">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0362196">
      <w:bodyDiv w:val="1"/>
      <w:marLeft w:val="0"/>
      <w:marRight w:val="0"/>
      <w:marTop w:val="0"/>
      <w:marBottom w:val="0"/>
      <w:divBdr>
        <w:top w:val="none" w:sz="0" w:space="0" w:color="auto"/>
        <w:left w:val="none" w:sz="0" w:space="0" w:color="auto"/>
        <w:bottom w:val="none" w:sz="0" w:space="0" w:color="auto"/>
        <w:right w:val="none" w:sz="0" w:space="0" w:color="auto"/>
      </w:divBdr>
    </w:div>
    <w:div w:id="1830707696">
      <w:bodyDiv w:val="1"/>
      <w:marLeft w:val="0"/>
      <w:marRight w:val="0"/>
      <w:marTop w:val="0"/>
      <w:marBottom w:val="0"/>
      <w:divBdr>
        <w:top w:val="none" w:sz="0" w:space="0" w:color="auto"/>
        <w:left w:val="none" w:sz="0" w:space="0" w:color="auto"/>
        <w:bottom w:val="none" w:sz="0" w:space="0" w:color="auto"/>
        <w:right w:val="none" w:sz="0" w:space="0" w:color="auto"/>
      </w:divBdr>
    </w:div>
    <w:div w:id="1834758532">
      <w:bodyDiv w:val="1"/>
      <w:marLeft w:val="0"/>
      <w:marRight w:val="0"/>
      <w:marTop w:val="0"/>
      <w:marBottom w:val="0"/>
      <w:divBdr>
        <w:top w:val="none" w:sz="0" w:space="0" w:color="auto"/>
        <w:left w:val="none" w:sz="0" w:space="0" w:color="auto"/>
        <w:bottom w:val="none" w:sz="0" w:space="0" w:color="auto"/>
        <w:right w:val="none" w:sz="0" w:space="0" w:color="auto"/>
      </w:divBdr>
    </w:div>
    <w:div w:id="1838616159">
      <w:bodyDiv w:val="1"/>
      <w:marLeft w:val="0"/>
      <w:marRight w:val="0"/>
      <w:marTop w:val="0"/>
      <w:marBottom w:val="0"/>
      <w:divBdr>
        <w:top w:val="none" w:sz="0" w:space="0" w:color="auto"/>
        <w:left w:val="none" w:sz="0" w:space="0" w:color="auto"/>
        <w:bottom w:val="none" w:sz="0" w:space="0" w:color="auto"/>
        <w:right w:val="none" w:sz="0" w:space="0" w:color="auto"/>
      </w:divBdr>
    </w:div>
    <w:div w:id="1849522126">
      <w:bodyDiv w:val="1"/>
      <w:marLeft w:val="0"/>
      <w:marRight w:val="0"/>
      <w:marTop w:val="0"/>
      <w:marBottom w:val="0"/>
      <w:divBdr>
        <w:top w:val="none" w:sz="0" w:space="0" w:color="auto"/>
        <w:left w:val="none" w:sz="0" w:space="0" w:color="auto"/>
        <w:bottom w:val="none" w:sz="0" w:space="0" w:color="auto"/>
        <w:right w:val="none" w:sz="0" w:space="0" w:color="auto"/>
      </w:divBdr>
    </w:div>
    <w:div w:id="1849558484">
      <w:bodyDiv w:val="1"/>
      <w:marLeft w:val="0"/>
      <w:marRight w:val="0"/>
      <w:marTop w:val="0"/>
      <w:marBottom w:val="0"/>
      <w:divBdr>
        <w:top w:val="none" w:sz="0" w:space="0" w:color="auto"/>
        <w:left w:val="none" w:sz="0" w:space="0" w:color="auto"/>
        <w:bottom w:val="none" w:sz="0" w:space="0" w:color="auto"/>
        <w:right w:val="none" w:sz="0" w:space="0" w:color="auto"/>
      </w:divBdr>
    </w:div>
    <w:div w:id="1857184876">
      <w:bodyDiv w:val="1"/>
      <w:marLeft w:val="0"/>
      <w:marRight w:val="0"/>
      <w:marTop w:val="0"/>
      <w:marBottom w:val="0"/>
      <w:divBdr>
        <w:top w:val="none" w:sz="0" w:space="0" w:color="auto"/>
        <w:left w:val="none" w:sz="0" w:space="0" w:color="auto"/>
        <w:bottom w:val="none" w:sz="0" w:space="0" w:color="auto"/>
        <w:right w:val="none" w:sz="0" w:space="0" w:color="auto"/>
      </w:divBdr>
    </w:div>
    <w:div w:id="1857841602">
      <w:bodyDiv w:val="1"/>
      <w:marLeft w:val="0"/>
      <w:marRight w:val="0"/>
      <w:marTop w:val="0"/>
      <w:marBottom w:val="0"/>
      <w:divBdr>
        <w:top w:val="none" w:sz="0" w:space="0" w:color="auto"/>
        <w:left w:val="none" w:sz="0" w:space="0" w:color="auto"/>
        <w:bottom w:val="none" w:sz="0" w:space="0" w:color="auto"/>
        <w:right w:val="none" w:sz="0" w:space="0" w:color="auto"/>
      </w:divBdr>
    </w:div>
    <w:div w:id="1859351943">
      <w:bodyDiv w:val="1"/>
      <w:marLeft w:val="0"/>
      <w:marRight w:val="0"/>
      <w:marTop w:val="0"/>
      <w:marBottom w:val="0"/>
      <w:divBdr>
        <w:top w:val="none" w:sz="0" w:space="0" w:color="auto"/>
        <w:left w:val="none" w:sz="0" w:space="0" w:color="auto"/>
        <w:bottom w:val="none" w:sz="0" w:space="0" w:color="auto"/>
        <w:right w:val="none" w:sz="0" w:space="0" w:color="auto"/>
      </w:divBdr>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862628282">
      <w:bodyDiv w:val="1"/>
      <w:marLeft w:val="0"/>
      <w:marRight w:val="0"/>
      <w:marTop w:val="0"/>
      <w:marBottom w:val="0"/>
      <w:divBdr>
        <w:top w:val="none" w:sz="0" w:space="0" w:color="auto"/>
        <w:left w:val="none" w:sz="0" w:space="0" w:color="auto"/>
        <w:bottom w:val="none" w:sz="0" w:space="0" w:color="auto"/>
        <w:right w:val="none" w:sz="0" w:space="0" w:color="auto"/>
      </w:divBdr>
    </w:div>
    <w:div w:id="1864898908">
      <w:bodyDiv w:val="1"/>
      <w:marLeft w:val="0"/>
      <w:marRight w:val="0"/>
      <w:marTop w:val="0"/>
      <w:marBottom w:val="0"/>
      <w:divBdr>
        <w:top w:val="none" w:sz="0" w:space="0" w:color="auto"/>
        <w:left w:val="none" w:sz="0" w:space="0" w:color="auto"/>
        <w:bottom w:val="none" w:sz="0" w:space="0" w:color="auto"/>
        <w:right w:val="none" w:sz="0" w:space="0" w:color="auto"/>
      </w:divBdr>
    </w:div>
    <w:div w:id="1867715235">
      <w:bodyDiv w:val="1"/>
      <w:marLeft w:val="0"/>
      <w:marRight w:val="0"/>
      <w:marTop w:val="0"/>
      <w:marBottom w:val="0"/>
      <w:divBdr>
        <w:top w:val="none" w:sz="0" w:space="0" w:color="auto"/>
        <w:left w:val="none" w:sz="0" w:space="0" w:color="auto"/>
        <w:bottom w:val="none" w:sz="0" w:space="0" w:color="auto"/>
        <w:right w:val="none" w:sz="0" w:space="0" w:color="auto"/>
      </w:divBdr>
    </w:div>
    <w:div w:id="1868640657">
      <w:bodyDiv w:val="1"/>
      <w:marLeft w:val="0"/>
      <w:marRight w:val="0"/>
      <w:marTop w:val="0"/>
      <w:marBottom w:val="0"/>
      <w:divBdr>
        <w:top w:val="none" w:sz="0" w:space="0" w:color="auto"/>
        <w:left w:val="none" w:sz="0" w:space="0" w:color="auto"/>
        <w:bottom w:val="none" w:sz="0" w:space="0" w:color="auto"/>
        <w:right w:val="none" w:sz="0" w:space="0" w:color="auto"/>
      </w:divBdr>
    </w:div>
    <w:div w:id="1870220673">
      <w:bodyDiv w:val="1"/>
      <w:marLeft w:val="0"/>
      <w:marRight w:val="0"/>
      <w:marTop w:val="0"/>
      <w:marBottom w:val="0"/>
      <w:divBdr>
        <w:top w:val="none" w:sz="0" w:space="0" w:color="auto"/>
        <w:left w:val="none" w:sz="0" w:space="0" w:color="auto"/>
        <w:bottom w:val="none" w:sz="0" w:space="0" w:color="auto"/>
        <w:right w:val="none" w:sz="0" w:space="0" w:color="auto"/>
      </w:divBdr>
    </w:div>
    <w:div w:id="1870991222">
      <w:bodyDiv w:val="1"/>
      <w:marLeft w:val="0"/>
      <w:marRight w:val="0"/>
      <w:marTop w:val="0"/>
      <w:marBottom w:val="0"/>
      <w:divBdr>
        <w:top w:val="none" w:sz="0" w:space="0" w:color="auto"/>
        <w:left w:val="none" w:sz="0" w:space="0" w:color="auto"/>
        <w:bottom w:val="none" w:sz="0" w:space="0" w:color="auto"/>
        <w:right w:val="none" w:sz="0" w:space="0" w:color="auto"/>
      </w:divBdr>
    </w:div>
    <w:div w:id="1873807137">
      <w:bodyDiv w:val="1"/>
      <w:marLeft w:val="0"/>
      <w:marRight w:val="0"/>
      <w:marTop w:val="0"/>
      <w:marBottom w:val="0"/>
      <w:divBdr>
        <w:top w:val="none" w:sz="0" w:space="0" w:color="auto"/>
        <w:left w:val="none" w:sz="0" w:space="0" w:color="auto"/>
        <w:bottom w:val="none" w:sz="0" w:space="0" w:color="auto"/>
        <w:right w:val="none" w:sz="0" w:space="0" w:color="auto"/>
      </w:divBdr>
    </w:div>
    <w:div w:id="1875652383">
      <w:bodyDiv w:val="1"/>
      <w:marLeft w:val="0"/>
      <w:marRight w:val="0"/>
      <w:marTop w:val="0"/>
      <w:marBottom w:val="0"/>
      <w:divBdr>
        <w:top w:val="none" w:sz="0" w:space="0" w:color="auto"/>
        <w:left w:val="none" w:sz="0" w:space="0" w:color="auto"/>
        <w:bottom w:val="none" w:sz="0" w:space="0" w:color="auto"/>
        <w:right w:val="none" w:sz="0" w:space="0" w:color="auto"/>
      </w:divBdr>
    </w:div>
    <w:div w:id="1879587755">
      <w:bodyDiv w:val="1"/>
      <w:marLeft w:val="0"/>
      <w:marRight w:val="0"/>
      <w:marTop w:val="0"/>
      <w:marBottom w:val="0"/>
      <w:divBdr>
        <w:top w:val="none" w:sz="0" w:space="0" w:color="auto"/>
        <w:left w:val="none" w:sz="0" w:space="0" w:color="auto"/>
        <w:bottom w:val="none" w:sz="0" w:space="0" w:color="auto"/>
        <w:right w:val="none" w:sz="0" w:space="0" w:color="auto"/>
      </w:divBdr>
    </w:div>
    <w:div w:id="1880051088">
      <w:bodyDiv w:val="1"/>
      <w:marLeft w:val="0"/>
      <w:marRight w:val="0"/>
      <w:marTop w:val="0"/>
      <w:marBottom w:val="0"/>
      <w:divBdr>
        <w:top w:val="none" w:sz="0" w:space="0" w:color="auto"/>
        <w:left w:val="none" w:sz="0" w:space="0" w:color="auto"/>
        <w:bottom w:val="none" w:sz="0" w:space="0" w:color="auto"/>
        <w:right w:val="none" w:sz="0" w:space="0" w:color="auto"/>
      </w:divBdr>
    </w:div>
    <w:div w:id="1880700353">
      <w:bodyDiv w:val="1"/>
      <w:marLeft w:val="0"/>
      <w:marRight w:val="0"/>
      <w:marTop w:val="0"/>
      <w:marBottom w:val="0"/>
      <w:divBdr>
        <w:top w:val="none" w:sz="0" w:space="0" w:color="auto"/>
        <w:left w:val="none" w:sz="0" w:space="0" w:color="auto"/>
        <w:bottom w:val="none" w:sz="0" w:space="0" w:color="auto"/>
        <w:right w:val="none" w:sz="0" w:space="0" w:color="auto"/>
      </w:divBdr>
    </w:div>
    <w:div w:id="1882983626">
      <w:bodyDiv w:val="1"/>
      <w:marLeft w:val="0"/>
      <w:marRight w:val="0"/>
      <w:marTop w:val="0"/>
      <w:marBottom w:val="0"/>
      <w:divBdr>
        <w:top w:val="none" w:sz="0" w:space="0" w:color="auto"/>
        <w:left w:val="none" w:sz="0" w:space="0" w:color="auto"/>
        <w:bottom w:val="none" w:sz="0" w:space="0" w:color="auto"/>
        <w:right w:val="none" w:sz="0" w:space="0" w:color="auto"/>
      </w:divBdr>
    </w:div>
    <w:div w:id="1883441121">
      <w:bodyDiv w:val="1"/>
      <w:marLeft w:val="0"/>
      <w:marRight w:val="0"/>
      <w:marTop w:val="0"/>
      <w:marBottom w:val="0"/>
      <w:divBdr>
        <w:top w:val="none" w:sz="0" w:space="0" w:color="auto"/>
        <w:left w:val="none" w:sz="0" w:space="0" w:color="auto"/>
        <w:bottom w:val="none" w:sz="0" w:space="0" w:color="auto"/>
        <w:right w:val="none" w:sz="0" w:space="0" w:color="auto"/>
      </w:divBdr>
    </w:div>
    <w:div w:id="1889563116">
      <w:bodyDiv w:val="1"/>
      <w:marLeft w:val="0"/>
      <w:marRight w:val="0"/>
      <w:marTop w:val="0"/>
      <w:marBottom w:val="0"/>
      <w:divBdr>
        <w:top w:val="none" w:sz="0" w:space="0" w:color="auto"/>
        <w:left w:val="none" w:sz="0" w:space="0" w:color="auto"/>
        <w:bottom w:val="none" w:sz="0" w:space="0" w:color="auto"/>
        <w:right w:val="none" w:sz="0" w:space="0" w:color="auto"/>
      </w:divBdr>
    </w:div>
    <w:div w:id="1889564998">
      <w:bodyDiv w:val="1"/>
      <w:marLeft w:val="0"/>
      <w:marRight w:val="0"/>
      <w:marTop w:val="0"/>
      <w:marBottom w:val="0"/>
      <w:divBdr>
        <w:top w:val="none" w:sz="0" w:space="0" w:color="auto"/>
        <w:left w:val="none" w:sz="0" w:space="0" w:color="auto"/>
        <w:bottom w:val="none" w:sz="0" w:space="0" w:color="auto"/>
        <w:right w:val="none" w:sz="0" w:space="0" w:color="auto"/>
      </w:divBdr>
    </w:div>
    <w:div w:id="1895700162">
      <w:bodyDiv w:val="1"/>
      <w:marLeft w:val="0"/>
      <w:marRight w:val="0"/>
      <w:marTop w:val="0"/>
      <w:marBottom w:val="0"/>
      <w:divBdr>
        <w:top w:val="none" w:sz="0" w:space="0" w:color="auto"/>
        <w:left w:val="none" w:sz="0" w:space="0" w:color="auto"/>
        <w:bottom w:val="none" w:sz="0" w:space="0" w:color="auto"/>
        <w:right w:val="none" w:sz="0" w:space="0" w:color="auto"/>
      </w:divBdr>
    </w:div>
    <w:div w:id="1897665945">
      <w:bodyDiv w:val="1"/>
      <w:marLeft w:val="0"/>
      <w:marRight w:val="0"/>
      <w:marTop w:val="0"/>
      <w:marBottom w:val="0"/>
      <w:divBdr>
        <w:top w:val="none" w:sz="0" w:space="0" w:color="auto"/>
        <w:left w:val="none" w:sz="0" w:space="0" w:color="auto"/>
        <w:bottom w:val="none" w:sz="0" w:space="0" w:color="auto"/>
        <w:right w:val="none" w:sz="0" w:space="0" w:color="auto"/>
      </w:divBdr>
    </w:div>
    <w:div w:id="1898935744">
      <w:bodyDiv w:val="1"/>
      <w:marLeft w:val="0"/>
      <w:marRight w:val="0"/>
      <w:marTop w:val="0"/>
      <w:marBottom w:val="0"/>
      <w:divBdr>
        <w:top w:val="none" w:sz="0" w:space="0" w:color="auto"/>
        <w:left w:val="none" w:sz="0" w:space="0" w:color="auto"/>
        <w:bottom w:val="none" w:sz="0" w:space="0" w:color="auto"/>
        <w:right w:val="none" w:sz="0" w:space="0" w:color="auto"/>
      </w:divBdr>
    </w:div>
    <w:div w:id="1899591109">
      <w:bodyDiv w:val="1"/>
      <w:marLeft w:val="0"/>
      <w:marRight w:val="0"/>
      <w:marTop w:val="0"/>
      <w:marBottom w:val="0"/>
      <w:divBdr>
        <w:top w:val="none" w:sz="0" w:space="0" w:color="auto"/>
        <w:left w:val="none" w:sz="0" w:space="0" w:color="auto"/>
        <w:bottom w:val="none" w:sz="0" w:space="0" w:color="auto"/>
        <w:right w:val="none" w:sz="0" w:space="0" w:color="auto"/>
      </w:divBdr>
    </w:div>
    <w:div w:id="1902404901">
      <w:bodyDiv w:val="1"/>
      <w:marLeft w:val="0"/>
      <w:marRight w:val="0"/>
      <w:marTop w:val="0"/>
      <w:marBottom w:val="0"/>
      <w:divBdr>
        <w:top w:val="none" w:sz="0" w:space="0" w:color="auto"/>
        <w:left w:val="none" w:sz="0" w:space="0" w:color="auto"/>
        <w:bottom w:val="none" w:sz="0" w:space="0" w:color="auto"/>
        <w:right w:val="none" w:sz="0" w:space="0" w:color="auto"/>
      </w:divBdr>
    </w:div>
    <w:div w:id="1909414249">
      <w:bodyDiv w:val="1"/>
      <w:marLeft w:val="0"/>
      <w:marRight w:val="0"/>
      <w:marTop w:val="0"/>
      <w:marBottom w:val="0"/>
      <w:divBdr>
        <w:top w:val="none" w:sz="0" w:space="0" w:color="auto"/>
        <w:left w:val="none" w:sz="0" w:space="0" w:color="auto"/>
        <w:bottom w:val="none" w:sz="0" w:space="0" w:color="auto"/>
        <w:right w:val="none" w:sz="0" w:space="0" w:color="auto"/>
      </w:divBdr>
    </w:div>
    <w:div w:id="1909727313">
      <w:bodyDiv w:val="1"/>
      <w:marLeft w:val="0"/>
      <w:marRight w:val="0"/>
      <w:marTop w:val="0"/>
      <w:marBottom w:val="0"/>
      <w:divBdr>
        <w:top w:val="none" w:sz="0" w:space="0" w:color="auto"/>
        <w:left w:val="none" w:sz="0" w:space="0" w:color="auto"/>
        <w:bottom w:val="none" w:sz="0" w:space="0" w:color="auto"/>
        <w:right w:val="none" w:sz="0" w:space="0" w:color="auto"/>
      </w:divBdr>
    </w:div>
    <w:div w:id="1912694819">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14313308">
      <w:bodyDiv w:val="1"/>
      <w:marLeft w:val="0"/>
      <w:marRight w:val="0"/>
      <w:marTop w:val="0"/>
      <w:marBottom w:val="0"/>
      <w:divBdr>
        <w:top w:val="none" w:sz="0" w:space="0" w:color="auto"/>
        <w:left w:val="none" w:sz="0" w:space="0" w:color="auto"/>
        <w:bottom w:val="none" w:sz="0" w:space="0" w:color="auto"/>
        <w:right w:val="none" w:sz="0" w:space="0" w:color="auto"/>
      </w:divBdr>
    </w:div>
    <w:div w:id="1915504650">
      <w:bodyDiv w:val="1"/>
      <w:marLeft w:val="0"/>
      <w:marRight w:val="0"/>
      <w:marTop w:val="0"/>
      <w:marBottom w:val="0"/>
      <w:divBdr>
        <w:top w:val="none" w:sz="0" w:space="0" w:color="auto"/>
        <w:left w:val="none" w:sz="0" w:space="0" w:color="auto"/>
        <w:bottom w:val="none" w:sz="0" w:space="0" w:color="auto"/>
        <w:right w:val="none" w:sz="0" w:space="0" w:color="auto"/>
      </w:divBdr>
    </w:div>
    <w:div w:id="1917740086">
      <w:bodyDiv w:val="1"/>
      <w:marLeft w:val="0"/>
      <w:marRight w:val="0"/>
      <w:marTop w:val="0"/>
      <w:marBottom w:val="0"/>
      <w:divBdr>
        <w:top w:val="none" w:sz="0" w:space="0" w:color="auto"/>
        <w:left w:val="none" w:sz="0" w:space="0" w:color="auto"/>
        <w:bottom w:val="none" w:sz="0" w:space="0" w:color="auto"/>
        <w:right w:val="none" w:sz="0" w:space="0" w:color="auto"/>
      </w:divBdr>
    </w:div>
    <w:div w:id="1927029432">
      <w:bodyDiv w:val="1"/>
      <w:marLeft w:val="0"/>
      <w:marRight w:val="0"/>
      <w:marTop w:val="0"/>
      <w:marBottom w:val="0"/>
      <w:divBdr>
        <w:top w:val="none" w:sz="0" w:space="0" w:color="auto"/>
        <w:left w:val="none" w:sz="0" w:space="0" w:color="auto"/>
        <w:bottom w:val="none" w:sz="0" w:space="0" w:color="auto"/>
        <w:right w:val="none" w:sz="0" w:space="0" w:color="auto"/>
      </w:divBdr>
    </w:div>
    <w:div w:id="1929996378">
      <w:bodyDiv w:val="1"/>
      <w:marLeft w:val="0"/>
      <w:marRight w:val="0"/>
      <w:marTop w:val="0"/>
      <w:marBottom w:val="0"/>
      <w:divBdr>
        <w:top w:val="none" w:sz="0" w:space="0" w:color="auto"/>
        <w:left w:val="none" w:sz="0" w:space="0" w:color="auto"/>
        <w:bottom w:val="none" w:sz="0" w:space="0" w:color="auto"/>
        <w:right w:val="none" w:sz="0" w:space="0" w:color="auto"/>
      </w:divBdr>
    </w:div>
    <w:div w:id="1930502661">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36286238">
      <w:bodyDiv w:val="1"/>
      <w:marLeft w:val="0"/>
      <w:marRight w:val="0"/>
      <w:marTop w:val="0"/>
      <w:marBottom w:val="0"/>
      <w:divBdr>
        <w:top w:val="none" w:sz="0" w:space="0" w:color="auto"/>
        <w:left w:val="none" w:sz="0" w:space="0" w:color="auto"/>
        <w:bottom w:val="none" w:sz="0" w:space="0" w:color="auto"/>
        <w:right w:val="none" w:sz="0" w:space="0" w:color="auto"/>
      </w:divBdr>
    </w:div>
    <w:div w:id="1943218953">
      <w:bodyDiv w:val="1"/>
      <w:marLeft w:val="0"/>
      <w:marRight w:val="0"/>
      <w:marTop w:val="0"/>
      <w:marBottom w:val="0"/>
      <w:divBdr>
        <w:top w:val="none" w:sz="0" w:space="0" w:color="auto"/>
        <w:left w:val="none" w:sz="0" w:space="0" w:color="auto"/>
        <w:bottom w:val="none" w:sz="0" w:space="0" w:color="auto"/>
        <w:right w:val="none" w:sz="0" w:space="0" w:color="auto"/>
      </w:divBdr>
    </w:div>
    <w:div w:id="1944335155">
      <w:bodyDiv w:val="1"/>
      <w:marLeft w:val="0"/>
      <w:marRight w:val="0"/>
      <w:marTop w:val="0"/>
      <w:marBottom w:val="0"/>
      <w:divBdr>
        <w:top w:val="none" w:sz="0" w:space="0" w:color="auto"/>
        <w:left w:val="none" w:sz="0" w:space="0" w:color="auto"/>
        <w:bottom w:val="none" w:sz="0" w:space="0" w:color="auto"/>
        <w:right w:val="none" w:sz="0" w:space="0" w:color="auto"/>
      </w:divBdr>
    </w:div>
    <w:div w:id="1944603327">
      <w:bodyDiv w:val="1"/>
      <w:marLeft w:val="0"/>
      <w:marRight w:val="0"/>
      <w:marTop w:val="0"/>
      <w:marBottom w:val="0"/>
      <w:divBdr>
        <w:top w:val="none" w:sz="0" w:space="0" w:color="auto"/>
        <w:left w:val="none" w:sz="0" w:space="0" w:color="auto"/>
        <w:bottom w:val="none" w:sz="0" w:space="0" w:color="auto"/>
        <w:right w:val="none" w:sz="0" w:space="0" w:color="auto"/>
      </w:divBdr>
    </w:div>
    <w:div w:id="1944649776">
      <w:bodyDiv w:val="1"/>
      <w:marLeft w:val="0"/>
      <w:marRight w:val="0"/>
      <w:marTop w:val="0"/>
      <w:marBottom w:val="0"/>
      <w:divBdr>
        <w:top w:val="none" w:sz="0" w:space="0" w:color="auto"/>
        <w:left w:val="none" w:sz="0" w:space="0" w:color="auto"/>
        <w:bottom w:val="none" w:sz="0" w:space="0" w:color="auto"/>
        <w:right w:val="none" w:sz="0" w:space="0" w:color="auto"/>
      </w:divBdr>
    </w:div>
    <w:div w:id="1948074433">
      <w:bodyDiv w:val="1"/>
      <w:marLeft w:val="0"/>
      <w:marRight w:val="0"/>
      <w:marTop w:val="0"/>
      <w:marBottom w:val="0"/>
      <w:divBdr>
        <w:top w:val="none" w:sz="0" w:space="0" w:color="auto"/>
        <w:left w:val="none" w:sz="0" w:space="0" w:color="auto"/>
        <w:bottom w:val="none" w:sz="0" w:space="0" w:color="auto"/>
        <w:right w:val="none" w:sz="0" w:space="0" w:color="auto"/>
      </w:divBdr>
    </w:div>
    <w:div w:id="1951207085">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717667">
      <w:bodyDiv w:val="1"/>
      <w:marLeft w:val="0"/>
      <w:marRight w:val="0"/>
      <w:marTop w:val="0"/>
      <w:marBottom w:val="0"/>
      <w:divBdr>
        <w:top w:val="none" w:sz="0" w:space="0" w:color="auto"/>
        <w:left w:val="none" w:sz="0" w:space="0" w:color="auto"/>
        <w:bottom w:val="none" w:sz="0" w:space="0" w:color="auto"/>
        <w:right w:val="none" w:sz="0" w:space="0" w:color="auto"/>
      </w:divBdr>
    </w:div>
    <w:div w:id="1960523464">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61838213">
      <w:bodyDiv w:val="1"/>
      <w:marLeft w:val="0"/>
      <w:marRight w:val="0"/>
      <w:marTop w:val="0"/>
      <w:marBottom w:val="0"/>
      <w:divBdr>
        <w:top w:val="none" w:sz="0" w:space="0" w:color="auto"/>
        <w:left w:val="none" w:sz="0" w:space="0" w:color="auto"/>
        <w:bottom w:val="none" w:sz="0" w:space="0" w:color="auto"/>
        <w:right w:val="none" w:sz="0" w:space="0" w:color="auto"/>
      </w:divBdr>
    </w:div>
    <w:div w:id="1962029580">
      <w:bodyDiv w:val="1"/>
      <w:marLeft w:val="0"/>
      <w:marRight w:val="0"/>
      <w:marTop w:val="0"/>
      <w:marBottom w:val="0"/>
      <w:divBdr>
        <w:top w:val="none" w:sz="0" w:space="0" w:color="auto"/>
        <w:left w:val="none" w:sz="0" w:space="0" w:color="auto"/>
        <w:bottom w:val="none" w:sz="0" w:space="0" w:color="auto"/>
        <w:right w:val="none" w:sz="0" w:space="0" w:color="auto"/>
      </w:divBdr>
    </w:div>
    <w:div w:id="1963614432">
      <w:bodyDiv w:val="1"/>
      <w:marLeft w:val="0"/>
      <w:marRight w:val="0"/>
      <w:marTop w:val="0"/>
      <w:marBottom w:val="0"/>
      <w:divBdr>
        <w:top w:val="none" w:sz="0" w:space="0" w:color="auto"/>
        <w:left w:val="none" w:sz="0" w:space="0" w:color="auto"/>
        <w:bottom w:val="none" w:sz="0" w:space="0" w:color="auto"/>
        <w:right w:val="none" w:sz="0" w:space="0" w:color="auto"/>
      </w:divBdr>
    </w:div>
    <w:div w:id="1964268052">
      <w:bodyDiv w:val="1"/>
      <w:marLeft w:val="0"/>
      <w:marRight w:val="0"/>
      <w:marTop w:val="0"/>
      <w:marBottom w:val="0"/>
      <w:divBdr>
        <w:top w:val="none" w:sz="0" w:space="0" w:color="auto"/>
        <w:left w:val="none" w:sz="0" w:space="0" w:color="auto"/>
        <w:bottom w:val="none" w:sz="0" w:space="0" w:color="auto"/>
        <w:right w:val="none" w:sz="0" w:space="0" w:color="auto"/>
      </w:divBdr>
    </w:div>
    <w:div w:id="1965236708">
      <w:bodyDiv w:val="1"/>
      <w:marLeft w:val="0"/>
      <w:marRight w:val="0"/>
      <w:marTop w:val="0"/>
      <w:marBottom w:val="0"/>
      <w:divBdr>
        <w:top w:val="none" w:sz="0" w:space="0" w:color="auto"/>
        <w:left w:val="none" w:sz="0" w:space="0" w:color="auto"/>
        <w:bottom w:val="none" w:sz="0" w:space="0" w:color="auto"/>
        <w:right w:val="none" w:sz="0" w:space="0" w:color="auto"/>
      </w:divBdr>
    </w:div>
    <w:div w:id="1967858356">
      <w:bodyDiv w:val="1"/>
      <w:marLeft w:val="0"/>
      <w:marRight w:val="0"/>
      <w:marTop w:val="0"/>
      <w:marBottom w:val="0"/>
      <w:divBdr>
        <w:top w:val="none" w:sz="0" w:space="0" w:color="auto"/>
        <w:left w:val="none" w:sz="0" w:space="0" w:color="auto"/>
        <w:bottom w:val="none" w:sz="0" w:space="0" w:color="auto"/>
        <w:right w:val="none" w:sz="0" w:space="0" w:color="auto"/>
      </w:divBdr>
    </w:div>
    <w:div w:id="1968121328">
      <w:bodyDiv w:val="1"/>
      <w:marLeft w:val="0"/>
      <w:marRight w:val="0"/>
      <w:marTop w:val="0"/>
      <w:marBottom w:val="0"/>
      <w:divBdr>
        <w:top w:val="none" w:sz="0" w:space="0" w:color="auto"/>
        <w:left w:val="none" w:sz="0" w:space="0" w:color="auto"/>
        <w:bottom w:val="none" w:sz="0" w:space="0" w:color="auto"/>
        <w:right w:val="none" w:sz="0" w:space="0" w:color="auto"/>
      </w:divBdr>
    </w:div>
    <w:div w:id="1971016782">
      <w:bodyDiv w:val="1"/>
      <w:marLeft w:val="0"/>
      <w:marRight w:val="0"/>
      <w:marTop w:val="0"/>
      <w:marBottom w:val="0"/>
      <w:divBdr>
        <w:top w:val="none" w:sz="0" w:space="0" w:color="auto"/>
        <w:left w:val="none" w:sz="0" w:space="0" w:color="auto"/>
        <w:bottom w:val="none" w:sz="0" w:space="0" w:color="auto"/>
        <w:right w:val="none" w:sz="0" w:space="0" w:color="auto"/>
      </w:divBdr>
    </w:div>
    <w:div w:id="1972248504">
      <w:bodyDiv w:val="1"/>
      <w:marLeft w:val="0"/>
      <w:marRight w:val="0"/>
      <w:marTop w:val="0"/>
      <w:marBottom w:val="0"/>
      <w:divBdr>
        <w:top w:val="none" w:sz="0" w:space="0" w:color="auto"/>
        <w:left w:val="none" w:sz="0" w:space="0" w:color="auto"/>
        <w:bottom w:val="none" w:sz="0" w:space="0" w:color="auto"/>
        <w:right w:val="none" w:sz="0" w:space="0" w:color="auto"/>
      </w:divBdr>
    </w:div>
    <w:div w:id="1974172347">
      <w:bodyDiv w:val="1"/>
      <w:marLeft w:val="0"/>
      <w:marRight w:val="0"/>
      <w:marTop w:val="0"/>
      <w:marBottom w:val="0"/>
      <w:divBdr>
        <w:top w:val="none" w:sz="0" w:space="0" w:color="auto"/>
        <w:left w:val="none" w:sz="0" w:space="0" w:color="auto"/>
        <w:bottom w:val="none" w:sz="0" w:space="0" w:color="auto"/>
        <w:right w:val="none" w:sz="0" w:space="0" w:color="auto"/>
      </w:divBdr>
    </w:div>
    <w:div w:id="1979333202">
      <w:bodyDiv w:val="1"/>
      <w:marLeft w:val="0"/>
      <w:marRight w:val="0"/>
      <w:marTop w:val="0"/>
      <w:marBottom w:val="0"/>
      <w:divBdr>
        <w:top w:val="none" w:sz="0" w:space="0" w:color="auto"/>
        <w:left w:val="none" w:sz="0" w:space="0" w:color="auto"/>
        <w:bottom w:val="none" w:sz="0" w:space="0" w:color="auto"/>
        <w:right w:val="none" w:sz="0" w:space="0" w:color="auto"/>
      </w:divBdr>
    </w:div>
    <w:div w:id="1982348828">
      <w:bodyDiv w:val="1"/>
      <w:marLeft w:val="0"/>
      <w:marRight w:val="0"/>
      <w:marTop w:val="0"/>
      <w:marBottom w:val="0"/>
      <w:divBdr>
        <w:top w:val="none" w:sz="0" w:space="0" w:color="auto"/>
        <w:left w:val="none" w:sz="0" w:space="0" w:color="auto"/>
        <w:bottom w:val="none" w:sz="0" w:space="0" w:color="auto"/>
        <w:right w:val="none" w:sz="0" w:space="0" w:color="auto"/>
      </w:divBdr>
    </w:div>
    <w:div w:id="1984502999">
      <w:bodyDiv w:val="1"/>
      <w:marLeft w:val="0"/>
      <w:marRight w:val="0"/>
      <w:marTop w:val="0"/>
      <w:marBottom w:val="0"/>
      <w:divBdr>
        <w:top w:val="none" w:sz="0" w:space="0" w:color="auto"/>
        <w:left w:val="none" w:sz="0" w:space="0" w:color="auto"/>
        <w:bottom w:val="none" w:sz="0" w:space="0" w:color="auto"/>
        <w:right w:val="none" w:sz="0" w:space="0" w:color="auto"/>
      </w:divBdr>
    </w:div>
    <w:div w:id="1990817359">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94792">
      <w:bodyDiv w:val="1"/>
      <w:marLeft w:val="0"/>
      <w:marRight w:val="0"/>
      <w:marTop w:val="0"/>
      <w:marBottom w:val="0"/>
      <w:divBdr>
        <w:top w:val="none" w:sz="0" w:space="0" w:color="auto"/>
        <w:left w:val="none" w:sz="0" w:space="0" w:color="auto"/>
        <w:bottom w:val="none" w:sz="0" w:space="0" w:color="auto"/>
        <w:right w:val="none" w:sz="0" w:space="0" w:color="auto"/>
      </w:divBdr>
    </w:div>
    <w:div w:id="2002276013">
      <w:bodyDiv w:val="1"/>
      <w:marLeft w:val="0"/>
      <w:marRight w:val="0"/>
      <w:marTop w:val="0"/>
      <w:marBottom w:val="0"/>
      <w:divBdr>
        <w:top w:val="none" w:sz="0" w:space="0" w:color="auto"/>
        <w:left w:val="none" w:sz="0" w:space="0" w:color="auto"/>
        <w:bottom w:val="none" w:sz="0" w:space="0" w:color="auto"/>
        <w:right w:val="none" w:sz="0" w:space="0" w:color="auto"/>
      </w:divBdr>
    </w:div>
    <w:div w:id="2005081382">
      <w:bodyDiv w:val="1"/>
      <w:marLeft w:val="0"/>
      <w:marRight w:val="0"/>
      <w:marTop w:val="0"/>
      <w:marBottom w:val="0"/>
      <w:divBdr>
        <w:top w:val="none" w:sz="0" w:space="0" w:color="auto"/>
        <w:left w:val="none" w:sz="0" w:space="0" w:color="auto"/>
        <w:bottom w:val="none" w:sz="0" w:space="0" w:color="auto"/>
        <w:right w:val="none" w:sz="0" w:space="0" w:color="auto"/>
      </w:divBdr>
    </w:div>
    <w:div w:id="2005431070">
      <w:bodyDiv w:val="1"/>
      <w:marLeft w:val="0"/>
      <w:marRight w:val="0"/>
      <w:marTop w:val="0"/>
      <w:marBottom w:val="0"/>
      <w:divBdr>
        <w:top w:val="none" w:sz="0" w:space="0" w:color="auto"/>
        <w:left w:val="none" w:sz="0" w:space="0" w:color="auto"/>
        <w:bottom w:val="none" w:sz="0" w:space="0" w:color="auto"/>
        <w:right w:val="none" w:sz="0" w:space="0" w:color="auto"/>
      </w:divBdr>
    </w:div>
    <w:div w:id="2010988085">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 w:id="2020348797">
      <w:bodyDiv w:val="1"/>
      <w:marLeft w:val="0"/>
      <w:marRight w:val="0"/>
      <w:marTop w:val="0"/>
      <w:marBottom w:val="0"/>
      <w:divBdr>
        <w:top w:val="none" w:sz="0" w:space="0" w:color="auto"/>
        <w:left w:val="none" w:sz="0" w:space="0" w:color="auto"/>
        <w:bottom w:val="none" w:sz="0" w:space="0" w:color="auto"/>
        <w:right w:val="none" w:sz="0" w:space="0" w:color="auto"/>
      </w:divBdr>
    </w:div>
    <w:div w:id="2026247551">
      <w:bodyDiv w:val="1"/>
      <w:marLeft w:val="0"/>
      <w:marRight w:val="0"/>
      <w:marTop w:val="0"/>
      <w:marBottom w:val="0"/>
      <w:divBdr>
        <w:top w:val="none" w:sz="0" w:space="0" w:color="auto"/>
        <w:left w:val="none" w:sz="0" w:space="0" w:color="auto"/>
        <w:bottom w:val="none" w:sz="0" w:space="0" w:color="auto"/>
        <w:right w:val="none" w:sz="0" w:space="0" w:color="auto"/>
      </w:divBdr>
    </w:div>
    <w:div w:id="2027513773">
      <w:bodyDiv w:val="1"/>
      <w:marLeft w:val="0"/>
      <w:marRight w:val="0"/>
      <w:marTop w:val="0"/>
      <w:marBottom w:val="0"/>
      <w:divBdr>
        <w:top w:val="none" w:sz="0" w:space="0" w:color="auto"/>
        <w:left w:val="none" w:sz="0" w:space="0" w:color="auto"/>
        <w:bottom w:val="none" w:sz="0" w:space="0" w:color="auto"/>
        <w:right w:val="none" w:sz="0" w:space="0" w:color="auto"/>
      </w:divBdr>
    </w:div>
    <w:div w:id="2041512844">
      <w:bodyDiv w:val="1"/>
      <w:marLeft w:val="0"/>
      <w:marRight w:val="0"/>
      <w:marTop w:val="0"/>
      <w:marBottom w:val="0"/>
      <w:divBdr>
        <w:top w:val="none" w:sz="0" w:space="0" w:color="auto"/>
        <w:left w:val="none" w:sz="0" w:space="0" w:color="auto"/>
        <w:bottom w:val="none" w:sz="0" w:space="0" w:color="auto"/>
        <w:right w:val="none" w:sz="0" w:space="0" w:color="auto"/>
      </w:divBdr>
    </w:div>
    <w:div w:id="2043702338">
      <w:bodyDiv w:val="1"/>
      <w:marLeft w:val="0"/>
      <w:marRight w:val="0"/>
      <w:marTop w:val="0"/>
      <w:marBottom w:val="0"/>
      <w:divBdr>
        <w:top w:val="none" w:sz="0" w:space="0" w:color="auto"/>
        <w:left w:val="none" w:sz="0" w:space="0" w:color="auto"/>
        <w:bottom w:val="none" w:sz="0" w:space="0" w:color="auto"/>
        <w:right w:val="none" w:sz="0" w:space="0" w:color="auto"/>
      </w:divBdr>
    </w:div>
    <w:div w:id="2054691852">
      <w:bodyDiv w:val="1"/>
      <w:marLeft w:val="0"/>
      <w:marRight w:val="0"/>
      <w:marTop w:val="0"/>
      <w:marBottom w:val="0"/>
      <w:divBdr>
        <w:top w:val="none" w:sz="0" w:space="0" w:color="auto"/>
        <w:left w:val="none" w:sz="0" w:space="0" w:color="auto"/>
        <w:bottom w:val="none" w:sz="0" w:space="0" w:color="auto"/>
        <w:right w:val="none" w:sz="0" w:space="0" w:color="auto"/>
      </w:divBdr>
    </w:div>
    <w:div w:id="2055496211">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59359608">
      <w:bodyDiv w:val="1"/>
      <w:marLeft w:val="0"/>
      <w:marRight w:val="0"/>
      <w:marTop w:val="0"/>
      <w:marBottom w:val="0"/>
      <w:divBdr>
        <w:top w:val="none" w:sz="0" w:space="0" w:color="auto"/>
        <w:left w:val="none" w:sz="0" w:space="0" w:color="auto"/>
        <w:bottom w:val="none" w:sz="0" w:space="0" w:color="auto"/>
        <w:right w:val="none" w:sz="0" w:space="0" w:color="auto"/>
      </w:divBdr>
    </w:div>
    <w:div w:id="2060392463">
      <w:bodyDiv w:val="1"/>
      <w:marLeft w:val="0"/>
      <w:marRight w:val="0"/>
      <w:marTop w:val="0"/>
      <w:marBottom w:val="0"/>
      <w:divBdr>
        <w:top w:val="none" w:sz="0" w:space="0" w:color="auto"/>
        <w:left w:val="none" w:sz="0" w:space="0" w:color="auto"/>
        <w:bottom w:val="none" w:sz="0" w:space="0" w:color="auto"/>
        <w:right w:val="none" w:sz="0" w:space="0" w:color="auto"/>
      </w:divBdr>
    </w:div>
    <w:div w:id="2061901627">
      <w:bodyDiv w:val="1"/>
      <w:marLeft w:val="0"/>
      <w:marRight w:val="0"/>
      <w:marTop w:val="0"/>
      <w:marBottom w:val="0"/>
      <w:divBdr>
        <w:top w:val="none" w:sz="0" w:space="0" w:color="auto"/>
        <w:left w:val="none" w:sz="0" w:space="0" w:color="auto"/>
        <w:bottom w:val="none" w:sz="0" w:space="0" w:color="auto"/>
        <w:right w:val="none" w:sz="0" w:space="0" w:color="auto"/>
      </w:divBdr>
    </w:div>
    <w:div w:id="2066949042">
      <w:bodyDiv w:val="1"/>
      <w:marLeft w:val="0"/>
      <w:marRight w:val="0"/>
      <w:marTop w:val="0"/>
      <w:marBottom w:val="0"/>
      <w:divBdr>
        <w:top w:val="none" w:sz="0" w:space="0" w:color="auto"/>
        <w:left w:val="none" w:sz="0" w:space="0" w:color="auto"/>
        <w:bottom w:val="none" w:sz="0" w:space="0" w:color="auto"/>
        <w:right w:val="none" w:sz="0" w:space="0" w:color="auto"/>
      </w:divBdr>
    </w:div>
    <w:div w:id="2075929034">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78622179">
      <w:bodyDiv w:val="1"/>
      <w:marLeft w:val="0"/>
      <w:marRight w:val="0"/>
      <w:marTop w:val="0"/>
      <w:marBottom w:val="0"/>
      <w:divBdr>
        <w:top w:val="none" w:sz="0" w:space="0" w:color="auto"/>
        <w:left w:val="none" w:sz="0" w:space="0" w:color="auto"/>
        <w:bottom w:val="none" w:sz="0" w:space="0" w:color="auto"/>
        <w:right w:val="none" w:sz="0" w:space="0" w:color="auto"/>
      </w:divBdr>
    </w:div>
    <w:div w:id="2078625563">
      <w:bodyDiv w:val="1"/>
      <w:marLeft w:val="0"/>
      <w:marRight w:val="0"/>
      <w:marTop w:val="0"/>
      <w:marBottom w:val="0"/>
      <w:divBdr>
        <w:top w:val="none" w:sz="0" w:space="0" w:color="auto"/>
        <w:left w:val="none" w:sz="0" w:space="0" w:color="auto"/>
        <w:bottom w:val="none" w:sz="0" w:space="0" w:color="auto"/>
        <w:right w:val="none" w:sz="0" w:space="0" w:color="auto"/>
      </w:divBdr>
    </w:div>
    <w:div w:id="2080713155">
      <w:bodyDiv w:val="1"/>
      <w:marLeft w:val="0"/>
      <w:marRight w:val="0"/>
      <w:marTop w:val="0"/>
      <w:marBottom w:val="0"/>
      <w:divBdr>
        <w:top w:val="none" w:sz="0" w:space="0" w:color="auto"/>
        <w:left w:val="none" w:sz="0" w:space="0" w:color="auto"/>
        <w:bottom w:val="none" w:sz="0" w:space="0" w:color="auto"/>
        <w:right w:val="none" w:sz="0" w:space="0" w:color="auto"/>
      </w:divBdr>
    </w:div>
    <w:div w:id="2082562210">
      <w:bodyDiv w:val="1"/>
      <w:marLeft w:val="0"/>
      <w:marRight w:val="0"/>
      <w:marTop w:val="0"/>
      <w:marBottom w:val="0"/>
      <w:divBdr>
        <w:top w:val="none" w:sz="0" w:space="0" w:color="auto"/>
        <w:left w:val="none" w:sz="0" w:space="0" w:color="auto"/>
        <w:bottom w:val="none" w:sz="0" w:space="0" w:color="auto"/>
        <w:right w:val="none" w:sz="0" w:space="0" w:color="auto"/>
      </w:divBdr>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88259887">
      <w:bodyDiv w:val="1"/>
      <w:marLeft w:val="0"/>
      <w:marRight w:val="0"/>
      <w:marTop w:val="0"/>
      <w:marBottom w:val="0"/>
      <w:divBdr>
        <w:top w:val="none" w:sz="0" w:space="0" w:color="auto"/>
        <w:left w:val="none" w:sz="0" w:space="0" w:color="auto"/>
        <w:bottom w:val="none" w:sz="0" w:space="0" w:color="auto"/>
        <w:right w:val="none" w:sz="0" w:space="0" w:color="auto"/>
      </w:divBdr>
    </w:div>
    <w:div w:id="2090997232">
      <w:bodyDiv w:val="1"/>
      <w:marLeft w:val="0"/>
      <w:marRight w:val="0"/>
      <w:marTop w:val="0"/>
      <w:marBottom w:val="0"/>
      <w:divBdr>
        <w:top w:val="none" w:sz="0" w:space="0" w:color="auto"/>
        <w:left w:val="none" w:sz="0" w:space="0" w:color="auto"/>
        <w:bottom w:val="none" w:sz="0" w:space="0" w:color="auto"/>
        <w:right w:val="none" w:sz="0" w:space="0" w:color="auto"/>
      </w:divBdr>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5392808">
      <w:bodyDiv w:val="1"/>
      <w:marLeft w:val="0"/>
      <w:marRight w:val="0"/>
      <w:marTop w:val="0"/>
      <w:marBottom w:val="0"/>
      <w:divBdr>
        <w:top w:val="none" w:sz="0" w:space="0" w:color="auto"/>
        <w:left w:val="none" w:sz="0" w:space="0" w:color="auto"/>
        <w:bottom w:val="none" w:sz="0" w:space="0" w:color="auto"/>
        <w:right w:val="none" w:sz="0" w:space="0" w:color="auto"/>
      </w:divBdr>
      <w:divsChild>
        <w:div w:id="922186122">
          <w:marLeft w:val="547"/>
          <w:marRight w:val="0"/>
          <w:marTop w:val="0"/>
          <w:marBottom w:val="180"/>
          <w:divBdr>
            <w:top w:val="none" w:sz="0" w:space="0" w:color="auto"/>
            <w:left w:val="none" w:sz="0" w:space="0" w:color="auto"/>
            <w:bottom w:val="none" w:sz="0" w:space="0" w:color="auto"/>
            <w:right w:val="none" w:sz="0" w:space="0" w:color="auto"/>
          </w:divBdr>
        </w:div>
        <w:div w:id="158156815">
          <w:marLeft w:val="547"/>
          <w:marRight w:val="0"/>
          <w:marTop w:val="0"/>
          <w:marBottom w:val="180"/>
          <w:divBdr>
            <w:top w:val="none" w:sz="0" w:space="0" w:color="auto"/>
            <w:left w:val="none" w:sz="0" w:space="0" w:color="auto"/>
            <w:bottom w:val="none" w:sz="0" w:space="0" w:color="auto"/>
            <w:right w:val="none" w:sz="0" w:space="0" w:color="auto"/>
          </w:divBdr>
        </w:div>
      </w:divsChild>
    </w:div>
    <w:div w:id="2097356980">
      <w:bodyDiv w:val="1"/>
      <w:marLeft w:val="0"/>
      <w:marRight w:val="0"/>
      <w:marTop w:val="0"/>
      <w:marBottom w:val="0"/>
      <w:divBdr>
        <w:top w:val="none" w:sz="0" w:space="0" w:color="auto"/>
        <w:left w:val="none" w:sz="0" w:space="0" w:color="auto"/>
        <w:bottom w:val="none" w:sz="0" w:space="0" w:color="auto"/>
        <w:right w:val="none" w:sz="0" w:space="0" w:color="auto"/>
      </w:divBdr>
    </w:div>
    <w:div w:id="2097894310">
      <w:bodyDiv w:val="1"/>
      <w:marLeft w:val="0"/>
      <w:marRight w:val="0"/>
      <w:marTop w:val="0"/>
      <w:marBottom w:val="0"/>
      <w:divBdr>
        <w:top w:val="none" w:sz="0" w:space="0" w:color="auto"/>
        <w:left w:val="none" w:sz="0" w:space="0" w:color="auto"/>
        <w:bottom w:val="none" w:sz="0" w:space="0" w:color="auto"/>
        <w:right w:val="none" w:sz="0" w:space="0" w:color="auto"/>
      </w:divBdr>
    </w:div>
    <w:div w:id="2110660948">
      <w:bodyDiv w:val="1"/>
      <w:marLeft w:val="0"/>
      <w:marRight w:val="0"/>
      <w:marTop w:val="0"/>
      <w:marBottom w:val="0"/>
      <w:divBdr>
        <w:top w:val="none" w:sz="0" w:space="0" w:color="auto"/>
        <w:left w:val="none" w:sz="0" w:space="0" w:color="auto"/>
        <w:bottom w:val="none" w:sz="0" w:space="0" w:color="auto"/>
        <w:right w:val="none" w:sz="0" w:space="0" w:color="auto"/>
      </w:divBdr>
    </w:div>
    <w:div w:id="2111117680">
      <w:bodyDiv w:val="1"/>
      <w:marLeft w:val="0"/>
      <w:marRight w:val="0"/>
      <w:marTop w:val="0"/>
      <w:marBottom w:val="0"/>
      <w:divBdr>
        <w:top w:val="none" w:sz="0" w:space="0" w:color="auto"/>
        <w:left w:val="none" w:sz="0" w:space="0" w:color="auto"/>
        <w:bottom w:val="none" w:sz="0" w:space="0" w:color="auto"/>
        <w:right w:val="none" w:sz="0" w:space="0" w:color="auto"/>
      </w:divBdr>
    </w:div>
    <w:div w:id="2111123336">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3769223">
      <w:bodyDiv w:val="1"/>
      <w:marLeft w:val="0"/>
      <w:marRight w:val="0"/>
      <w:marTop w:val="0"/>
      <w:marBottom w:val="0"/>
      <w:divBdr>
        <w:top w:val="none" w:sz="0" w:space="0" w:color="auto"/>
        <w:left w:val="none" w:sz="0" w:space="0" w:color="auto"/>
        <w:bottom w:val="none" w:sz="0" w:space="0" w:color="auto"/>
        <w:right w:val="none" w:sz="0" w:space="0" w:color="auto"/>
      </w:divBdr>
    </w:div>
    <w:div w:id="2124687948">
      <w:bodyDiv w:val="1"/>
      <w:marLeft w:val="0"/>
      <w:marRight w:val="0"/>
      <w:marTop w:val="0"/>
      <w:marBottom w:val="0"/>
      <w:divBdr>
        <w:top w:val="none" w:sz="0" w:space="0" w:color="auto"/>
        <w:left w:val="none" w:sz="0" w:space="0" w:color="auto"/>
        <w:bottom w:val="none" w:sz="0" w:space="0" w:color="auto"/>
        <w:right w:val="none" w:sz="0" w:space="0" w:color="auto"/>
      </w:divBdr>
    </w:div>
    <w:div w:id="2125684845">
      <w:bodyDiv w:val="1"/>
      <w:marLeft w:val="0"/>
      <w:marRight w:val="0"/>
      <w:marTop w:val="0"/>
      <w:marBottom w:val="0"/>
      <w:divBdr>
        <w:top w:val="none" w:sz="0" w:space="0" w:color="auto"/>
        <w:left w:val="none" w:sz="0" w:space="0" w:color="auto"/>
        <w:bottom w:val="none" w:sz="0" w:space="0" w:color="auto"/>
        <w:right w:val="none" w:sz="0" w:space="0" w:color="auto"/>
      </w:divBdr>
    </w:div>
    <w:div w:id="2132358495">
      <w:bodyDiv w:val="1"/>
      <w:marLeft w:val="0"/>
      <w:marRight w:val="0"/>
      <w:marTop w:val="0"/>
      <w:marBottom w:val="0"/>
      <w:divBdr>
        <w:top w:val="none" w:sz="0" w:space="0" w:color="auto"/>
        <w:left w:val="none" w:sz="0" w:space="0" w:color="auto"/>
        <w:bottom w:val="none" w:sz="0" w:space="0" w:color="auto"/>
        <w:right w:val="none" w:sz="0" w:space="0" w:color="auto"/>
      </w:divBdr>
    </w:div>
    <w:div w:id="2133090645">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487665">
      <w:bodyDiv w:val="1"/>
      <w:marLeft w:val="0"/>
      <w:marRight w:val="0"/>
      <w:marTop w:val="0"/>
      <w:marBottom w:val="0"/>
      <w:divBdr>
        <w:top w:val="none" w:sz="0" w:space="0" w:color="auto"/>
        <w:left w:val="none" w:sz="0" w:space="0" w:color="auto"/>
        <w:bottom w:val="none" w:sz="0" w:space="0" w:color="auto"/>
        <w:right w:val="none" w:sz="0" w:space="0" w:color="auto"/>
      </w:divBdr>
    </w:div>
    <w:div w:id="2136680769">
      <w:bodyDiv w:val="1"/>
      <w:marLeft w:val="0"/>
      <w:marRight w:val="0"/>
      <w:marTop w:val="0"/>
      <w:marBottom w:val="0"/>
      <w:divBdr>
        <w:top w:val="none" w:sz="0" w:space="0" w:color="auto"/>
        <w:left w:val="none" w:sz="0" w:space="0" w:color="auto"/>
        <w:bottom w:val="none" w:sz="0" w:space="0" w:color="auto"/>
        <w:right w:val="none" w:sz="0" w:space="0" w:color="auto"/>
      </w:divBdr>
      <w:divsChild>
        <w:div w:id="1342203220">
          <w:marLeft w:val="432"/>
          <w:marRight w:val="0"/>
          <w:marTop w:val="240"/>
          <w:marBottom w:val="0"/>
          <w:divBdr>
            <w:top w:val="none" w:sz="0" w:space="0" w:color="auto"/>
            <w:left w:val="none" w:sz="0" w:space="0" w:color="auto"/>
            <w:bottom w:val="none" w:sz="0" w:space="0" w:color="auto"/>
            <w:right w:val="none" w:sz="0" w:space="0" w:color="auto"/>
          </w:divBdr>
        </w:div>
      </w:divsChild>
    </w:div>
    <w:div w:id="2143227304">
      <w:bodyDiv w:val="1"/>
      <w:marLeft w:val="0"/>
      <w:marRight w:val="0"/>
      <w:marTop w:val="0"/>
      <w:marBottom w:val="0"/>
      <w:divBdr>
        <w:top w:val="none" w:sz="0" w:space="0" w:color="auto"/>
        <w:left w:val="none" w:sz="0" w:space="0" w:color="auto"/>
        <w:bottom w:val="none" w:sz="0" w:space="0" w:color="auto"/>
        <w:right w:val="none" w:sz="0" w:space="0" w:color="auto"/>
      </w:divBdr>
    </w:div>
    <w:div w:id="2143767747">
      <w:bodyDiv w:val="1"/>
      <w:marLeft w:val="0"/>
      <w:marRight w:val="0"/>
      <w:marTop w:val="0"/>
      <w:marBottom w:val="0"/>
      <w:divBdr>
        <w:top w:val="none" w:sz="0" w:space="0" w:color="auto"/>
        <w:left w:val="none" w:sz="0" w:space="0" w:color="auto"/>
        <w:bottom w:val="none" w:sz="0" w:space="0" w:color="auto"/>
        <w:right w:val="none" w:sz="0" w:space="0" w:color="auto"/>
      </w:divBdr>
    </w:div>
    <w:div w:id="2144346000">
      <w:bodyDiv w:val="1"/>
      <w:marLeft w:val="0"/>
      <w:marRight w:val="0"/>
      <w:marTop w:val="0"/>
      <w:marBottom w:val="0"/>
      <w:divBdr>
        <w:top w:val="none" w:sz="0" w:space="0" w:color="auto"/>
        <w:left w:val="none" w:sz="0" w:space="0" w:color="auto"/>
        <w:bottom w:val="none" w:sz="0" w:space="0" w:color="auto"/>
        <w:right w:val="none" w:sz="0" w:space="0" w:color="auto"/>
      </w:divBdr>
    </w:div>
    <w:div w:id="2144348551">
      <w:bodyDiv w:val="1"/>
      <w:marLeft w:val="0"/>
      <w:marRight w:val="0"/>
      <w:marTop w:val="0"/>
      <w:marBottom w:val="0"/>
      <w:divBdr>
        <w:top w:val="none" w:sz="0" w:space="0" w:color="auto"/>
        <w:left w:val="none" w:sz="0" w:space="0" w:color="auto"/>
        <w:bottom w:val="none" w:sz="0" w:space="0" w:color="auto"/>
        <w:right w:val="none" w:sz="0" w:space="0" w:color="auto"/>
      </w:divBdr>
    </w:div>
    <w:div w:id="2146384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5518</Words>
  <Characters>31454</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2024-10-04T07:58:00Z</dcterms:created>
  <dcterms:modified xsi:type="dcterms:W3CDTF">2025-05-09T04:38:00Z</dcterms:modified>
</cp:coreProperties>
</file>