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35663E56"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w:t>
      </w:r>
      <w:r w:rsidR="00874F8C">
        <w:rPr>
          <w:rFonts w:ascii="Times New Roman" w:hAnsi="Times New Roman" w:cs="Times New Roman"/>
          <w:b/>
          <w:kern w:val="2"/>
        </w:rPr>
        <w:t>1</w:t>
      </w:r>
      <w:r w:rsidRPr="001167EE">
        <w:rPr>
          <w:rFonts w:ascii="Times New Roman" w:hAnsi="Times New Roman" w:cs="Times New Roman"/>
          <w:b/>
          <w:kern w:val="2"/>
        </w:rPr>
        <w:tab/>
        <w:t>R1-</w:t>
      </w:r>
      <w:r w:rsidR="00DD292A">
        <w:rPr>
          <w:rFonts w:ascii="Times New Roman" w:hAnsi="Times New Roman" w:cs="Times New Roman"/>
          <w:b/>
          <w:kern w:val="2"/>
        </w:rPr>
        <w:t>2</w:t>
      </w:r>
      <w:r w:rsidR="004A0BE9">
        <w:rPr>
          <w:rFonts w:ascii="Times New Roman" w:hAnsi="Times New Roman" w:cs="Times New Roman"/>
          <w:b/>
          <w:kern w:val="2"/>
        </w:rPr>
        <w:t>503287</w:t>
      </w:r>
    </w:p>
    <w:p w14:paraId="186FB27B" w14:textId="527970AF" w:rsidR="008A4FFC" w:rsidRPr="001167EE" w:rsidRDefault="00874F8C" w:rsidP="008A4FFC">
      <w:pPr>
        <w:rPr>
          <w:rFonts w:ascii="Times New Roman" w:hAnsi="Times New Roman" w:cs="Times New Roman"/>
          <w:b/>
        </w:rPr>
      </w:pPr>
      <w:r w:rsidRPr="00874F8C">
        <w:rPr>
          <w:rFonts w:ascii="Times New Roman" w:hAnsi="Times New Roman" w:cs="Times New Roman"/>
          <w:b/>
          <w:kern w:val="2"/>
        </w:rPr>
        <w:t>St Julian’s, Malta, May 19th – 23rd,</w:t>
      </w:r>
      <w:r w:rsidR="008A4FFC" w:rsidRPr="001167EE">
        <w:rPr>
          <w:rFonts w:ascii="Times New Roman" w:hAnsi="Times New Roman" w:cs="Times New Roman"/>
          <w:b/>
          <w:kern w:val="2"/>
        </w:rPr>
        <w:t xml:space="preserve">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6218535D"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9.1</w:t>
      </w:r>
      <w:r w:rsidR="00CF7147">
        <w:rPr>
          <w:rFonts w:ascii="Times New Roman" w:hAnsi="Times New Roman" w:cs="Times New Roman"/>
          <w:b/>
        </w:rPr>
        <w:t>5</w:t>
      </w:r>
      <w:r w:rsidRPr="001167EE">
        <w:rPr>
          <w:rFonts w:ascii="Times New Roman" w:hAnsi="Times New Roman" w:cs="Times New Roman"/>
          <w:b/>
        </w:rPr>
        <w:t>.</w:t>
      </w:r>
      <w:r w:rsidR="00CF7147">
        <w:rPr>
          <w:rFonts w:ascii="Times New Roman" w:hAnsi="Times New Roman" w:cs="Times New Roman"/>
          <w:b/>
        </w:rPr>
        <w:t>10</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Huawei, HiSilicon</w:t>
      </w:r>
    </w:p>
    <w:p w14:paraId="3B9B4CA0" w14:textId="1B92D53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9C337E" w:rsidRPr="009C337E">
        <w:rPr>
          <w:rFonts w:ascii="Times New Roman" w:hAnsi="Times New Roman" w:cs="Times New Roman"/>
          <w:b/>
        </w:rPr>
        <w:t>UE features for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1"/>
        <w:ind w:left="431" w:hanging="431"/>
        <w:rPr>
          <w:rFonts w:eastAsiaTheme="minorEastAsia"/>
        </w:rPr>
      </w:pPr>
      <w:r w:rsidRPr="00E61D7C">
        <w:rPr>
          <w:rFonts w:eastAsiaTheme="minorEastAsia"/>
        </w:rPr>
        <w:t>Introduction</w:t>
      </w:r>
    </w:p>
    <w:p w14:paraId="03AF65D0" w14:textId="3F0602B2" w:rsidR="008A4FFC" w:rsidRPr="000C0210" w:rsidRDefault="00AF05FE" w:rsidP="008A4FFC">
      <w:pPr>
        <w:pStyle w:val="a8"/>
        <w:rPr>
          <w:rFonts w:eastAsia="宋体"/>
          <w:bCs/>
          <w:iCs/>
          <w:sz w:val="22"/>
          <w:szCs w:val="22"/>
          <w:lang w:eastAsia="zh-CN"/>
        </w:rPr>
      </w:pPr>
      <w:r>
        <w:rPr>
          <w:rFonts w:eastAsia="宋体"/>
          <w:bCs/>
          <w:iCs/>
          <w:sz w:val="22"/>
          <w:szCs w:val="22"/>
          <w:lang w:eastAsia="zh-CN"/>
        </w:rPr>
        <w:t>In RAN1#120bis meeting, the agreement about initial UE features for IoT-NTN TDD mode is achieved</w:t>
      </w:r>
      <w:r w:rsidR="006835E0">
        <w:rPr>
          <w:rFonts w:eastAsia="宋体"/>
          <w:bCs/>
          <w:iCs/>
          <w:sz w:val="22"/>
          <w:szCs w:val="22"/>
          <w:lang w:eastAsia="zh-CN"/>
        </w:rPr>
        <w:t xml:space="preserve"> [1]</w:t>
      </w:r>
      <w:r>
        <w:rPr>
          <w:rFonts w:eastAsia="宋体"/>
          <w:bCs/>
          <w:iCs/>
          <w:sz w:val="22"/>
          <w:szCs w:val="22"/>
          <w:lang w:eastAsia="zh-CN"/>
        </w:rPr>
        <w:t xml:space="preserve">. </w:t>
      </w:r>
      <w:r w:rsidR="005A1C0D">
        <w:rPr>
          <w:rFonts w:eastAsia="宋体"/>
          <w:bCs/>
          <w:iCs/>
          <w:sz w:val="22"/>
          <w:szCs w:val="22"/>
          <w:lang w:eastAsia="zh-CN"/>
        </w:rPr>
        <w:t xml:space="preserve">In this contribution, we will </w:t>
      </w:r>
      <w:r>
        <w:rPr>
          <w:rFonts w:eastAsia="宋体"/>
          <w:bCs/>
          <w:iCs/>
          <w:sz w:val="22"/>
          <w:szCs w:val="22"/>
          <w:lang w:eastAsia="zh-CN"/>
        </w:rPr>
        <w:t>continue to discuss and provide an updated list in the Appendix A.</w:t>
      </w:r>
    </w:p>
    <w:p w14:paraId="7AE17E80" w14:textId="77777777" w:rsidR="008A4FFC" w:rsidRPr="000C0210" w:rsidRDefault="008A4FFC" w:rsidP="008A4FFC">
      <w:pPr>
        <w:pStyle w:val="a8"/>
        <w:rPr>
          <w:rFonts w:eastAsia="宋体"/>
          <w:bCs/>
          <w:iCs/>
          <w:sz w:val="22"/>
          <w:szCs w:val="22"/>
          <w:lang w:eastAsia="zh-CN"/>
        </w:rPr>
      </w:pPr>
    </w:p>
    <w:p w14:paraId="1725BDE1" w14:textId="3F5F565F" w:rsidR="007C2CC6" w:rsidRPr="00F73144" w:rsidRDefault="008A4FFC" w:rsidP="008A4FFC">
      <w:pPr>
        <w:pStyle w:val="1"/>
        <w:tabs>
          <w:tab w:val="clear" w:pos="4827"/>
          <w:tab w:val="num" w:pos="4395"/>
        </w:tabs>
        <w:ind w:left="426"/>
        <w:rPr>
          <w:rFonts w:eastAsia="宋体"/>
          <w:lang w:val="en-US" w:eastAsia="zh-CN"/>
        </w:rPr>
      </w:pPr>
      <w:r w:rsidRPr="000C0210">
        <w:rPr>
          <w:rFonts w:eastAsia="宋体"/>
          <w:lang w:val="en-US" w:eastAsia="zh-CN"/>
        </w:rPr>
        <w:t>Discussion</w:t>
      </w:r>
    </w:p>
    <w:p w14:paraId="1EB22978" w14:textId="777E1E82" w:rsidR="00D64527" w:rsidRDefault="00480F5A" w:rsidP="00480F5A">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Release-17/18, a set of NB-IoT feature groups were introduced for IoT NTN operation with FDD mode. A basic FG (FG2-1b) introduced in Release-17 is referred to as prerequisite for the rest of feature groups. </w:t>
      </w:r>
      <w:r w:rsidR="006835E0">
        <w:rPr>
          <w:rFonts w:ascii="Times New Roman" w:hAnsi="Times New Roman" w:cs="Times New Roman" w:hint="eastAsia"/>
        </w:rPr>
        <w:t xml:space="preserve"> </w:t>
      </w:r>
      <w:r>
        <w:rPr>
          <w:rFonts w:ascii="Times New Roman" w:hAnsi="Times New Roman" w:cs="Times New Roman"/>
        </w:rPr>
        <w:t xml:space="preserve">In our perspective, Release-19 IoT NTN TDD UE can work independently of IoT NTN FDD features. </w:t>
      </w:r>
      <w:r w:rsidR="00F40611">
        <w:rPr>
          <w:rFonts w:ascii="Times New Roman" w:hAnsi="Times New Roman" w:cs="Times New Roman"/>
        </w:rPr>
        <w:t>Considering that FDD is not explicitly defined as a component of FG2-1b, we can accept FG2-1b as prerequisite with a note to clarify that it does not imply to support FDD. In such case the c</w:t>
      </w:r>
      <w:r w:rsidR="00F40611" w:rsidRPr="00F40611">
        <w:rPr>
          <w:rFonts w:ascii="Times New Roman" w:hAnsi="Times New Roman" w:cs="Times New Roman"/>
        </w:rPr>
        <w:t xml:space="preserve">omponents in Release-17 feature group 2-1b which are common for TDD and FDD operation </w:t>
      </w:r>
      <w:r w:rsidR="00F40611">
        <w:rPr>
          <w:rFonts w:ascii="Times New Roman" w:hAnsi="Times New Roman" w:cs="Times New Roman"/>
        </w:rPr>
        <w:t xml:space="preserve">are not required to be copied in the FG for TDD. </w:t>
      </w:r>
    </w:p>
    <w:p w14:paraId="01B9F87E" w14:textId="38CD105B" w:rsidR="003B7D38" w:rsidRPr="003B7D38" w:rsidRDefault="003B7D38" w:rsidP="00480F5A">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 xml:space="preserve">Release-17 </w:t>
      </w:r>
      <w:r w:rsidRPr="003B7D38">
        <w:rPr>
          <w:rFonts w:ascii="Times New Roman" w:hAnsi="Times New Roman" w:cs="Times New Roman"/>
          <w:b/>
          <w:bCs/>
          <w:i/>
          <w:iCs/>
        </w:rPr>
        <w:t>feature group 2-1b</w:t>
      </w:r>
      <w:r>
        <w:rPr>
          <w:rFonts w:ascii="Times New Roman" w:hAnsi="Times New Roman" w:cs="Times New Roman"/>
          <w:b/>
          <w:bCs/>
          <w:i/>
          <w:iCs/>
        </w:rPr>
        <w:t xml:space="preserve"> </w:t>
      </w:r>
      <w:r w:rsidR="00F40611">
        <w:rPr>
          <w:rFonts w:ascii="Times New Roman" w:hAnsi="Times New Roman" w:cs="Times New Roman"/>
          <w:b/>
          <w:bCs/>
          <w:i/>
          <w:iCs/>
        </w:rPr>
        <w:t xml:space="preserve">can be the prerequisite of FG2-1 with a note to clarify that it does not imply a TDD UE should always support FDD operation. </w:t>
      </w:r>
    </w:p>
    <w:p w14:paraId="3E83EF1F" w14:textId="2F0AAD41" w:rsidR="00D64527" w:rsidRDefault="0006788E" w:rsidP="0006788E">
      <w:pPr>
        <w:jc w:val="both"/>
        <w:rPr>
          <w:rFonts w:ascii="Times New Roman" w:hAnsi="Times New Roman" w:cs="Times New Roman"/>
        </w:rPr>
      </w:pPr>
      <w:r>
        <w:rPr>
          <w:rFonts w:ascii="Times New Roman" w:hAnsi="Times New Roman" w:cs="Times New Roman"/>
        </w:rPr>
        <w:t>In RAN1#120bis meeting [2], RAN1 agreed that “</w:t>
      </w:r>
      <w:r w:rsidRPr="0006788E">
        <w:rPr>
          <w:rFonts w:ascii="Times New Roman" w:hAnsi="Times New Roman" w:cs="Times New Roman"/>
        </w:rPr>
        <w:t>SIB1-NB is dropped in non-D NB-IoT subframes</w:t>
      </w:r>
      <w:r>
        <w:rPr>
          <w:rFonts w:ascii="Times New Roman" w:hAnsi="Times New Roman" w:cs="Times New Roman"/>
        </w:rPr>
        <w:t>” and “</w:t>
      </w:r>
      <w:r w:rsidRPr="0006788E">
        <w:rPr>
          <w:rFonts w:ascii="Times New Roman" w:hAnsi="Times New Roman" w:cs="Times New Roman"/>
        </w:rPr>
        <w:t>NPRACH periodicities of 40ms and 80ms are not supported in NB-IoT NTN TDD mode</w:t>
      </w:r>
      <w:r>
        <w:rPr>
          <w:rFonts w:ascii="Times New Roman" w:hAnsi="Times New Roman" w:cs="Times New Roman" w:hint="eastAsia"/>
        </w:rPr>
        <w:t>,</w:t>
      </w:r>
      <w:r>
        <w:rPr>
          <w:rFonts w:ascii="Times New Roman" w:hAnsi="Times New Roman" w:cs="Times New Roman"/>
        </w:rPr>
        <w:t xml:space="preserve"> i</w:t>
      </w:r>
      <w:r w:rsidRPr="0006788E">
        <w:rPr>
          <w:rFonts w:ascii="Times New Roman" w:hAnsi="Times New Roman" w:cs="Times New Roman"/>
        </w:rPr>
        <w:t>nstead, periodicities of 90ms and 180ms are supported</w:t>
      </w:r>
      <w:r>
        <w:rPr>
          <w:rFonts w:ascii="Times New Roman" w:hAnsi="Times New Roman" w:cs="Times New Roman"/>
        </w:rPr>
        <w:t>”</w:t>
      </w:r>
      <w:r w:rsidRPr="005D3A6D">
        <w:rPr>
          <w:rFonts w:ascii="Times New Roman" w:hAnsi="Times New Roman" w:cs="Times New Roman"/>
        </w:rPr>
        <w:t>. Th</w:t>
      </w:r>
      <w:r>
        <w:rPr>
          <w:rFonts w:ascii="Times New Roman" w:hAnsi="Times New Roman" w:cs="Times New Roman"/>
        </w:rPr>
        <w:t>ese</w:t>
      </w:r>
      <w:r w:rsidRPr="005D3A6D">
        <w:rPr>
          <w:rFonts w:ascii="Times New Roman" w:hAnsi="Times New Roman" w:cs="Times New Roman"/>
        </w:rPr>
        <w:t xml:space="preserve"> can be the component of the basic UE feature</w:t>
      </w:r>
      <w:r>
        <w:rPr>
          <w:rFonts w:ascii="Times New Roman" w:hAnsi="Times New Roman" w:cs="Times New Roman"/>
        </w:rPr>
        <w:t xml:space="preserve"> group</w:t>
      </w:r>
      <w:r w:rsidRPr="005D3A6D">
        <w:rPr>
          <w:rFonts w:ascii="Times New Roman" w:hAnsi="Times New Roman" w:cs="Times New Roman"/>
        </w:rPr>
        <w:t>.</w:t>
      </w:r>
    </w:p>
    <w:p w14:paraId="4747A7DF" w14:textId="157092AC" w:rsidR="0006788E" w:rsidRDefault="0006788E" w:rsidP="0006788E">
      <w:pPr>
        <w:jc w:val="both"/>
        <w:rPr>
          <w:rFonts w:ascii="Times New Roman" w:hAnsi="Times New Roman" w:cs="Times New Roman"/>
          <w:b/>
          <w:bCs/>
          <w:i/>
          <w:iCs/>
        </w:rPr>
      </w:pPr>
      <w:r w:rsidRPr="001167EE">
        <w:rPr>
          <w:rFonts w:ascii="Times New Roman" w:hAnsi="Times New Roman" w:cs="Times New Roman"/>
          <w:b/>
          <w:bCs/>
          <w:i/>
          <w:iCs/>
        </w:rPr>
        <w:t xml:space="preserve">Proposal </w:t>
      </w:r>
      <w:r w:rsidR="003B7D38">
        <w:rPr>
          <w:rFonts w:ascii="Times New Roman" w:hAnsi="Times New Roman" w:cs="Times New Roman"/>
          <w:b/>
          <w:bCs/>
          <w:i/>
          <w:iCs/>
        </w:rPr>
        <w:t>2</w:t>
      </w:r>
      <w:r w:rsidRPr="001167EE">
        <w:rPr>
          <w:rFonts w:ascii="Times New Roman" w:hAnsi="Times New Roman" w:cs="Times New Roman"/>
          <w:b/>
          <w:bCs/>
          <w:i/>
          <w:iCs/>
        </w:rPr>
        <w:t xml:space="preserve">: </w:t>
      </w:r>
      <w:r w:rsidR="00486459">
        <w:rPr>
          <w:rFonts w:ascii="Times New Roman" w:hAnsi="Times New Roman" w:cs="Times New Roman"/>
          <w:b/>
          <w:bCs/>
          <w:i/>
          <w:iCs/>
        </w:rPr>
        <w:t xml:space="preserve">The following components are added </w:t>
      </w:r>
      <w:r w:rsidR="003B7D38">
        <w:rPr>
          <w:rFonts w:ascii="Times New Roman" w:hAnsi="Times New Roman" w:cs="Times New Roman"/>
          <w:b/>
          <w:bCs/>
          <w:i/>
          <w:iCs/>
        </w:rPr>
        <w:t>for the basic feature groups</w:t>
      </w:r>
      <w:r>
        <w:rPr>
          <w:rFonts w:ascii="Times New Roman" w:hAnsi="Times New Roman" w:cs="Times New Roman"/>
          <w:b/>
          <w:bCs/>
          <w:i/>
          <w:iCs/>
        </w:rPr>
        <w:t>:</w:t>
      </w:r>
    </w:p>
    <w:p w14:paraId="1E5B96EF" w14:textId="6D913200" w:rsidR="003B7D38" w:rsidRDefault="003B7D38" w:rsidP="0006788E">
      <w:pPr>
        <w:pStyle w:val="aa"/>
        <w:numPr>
          <w:ilvl w:val="0"/>
          <w:numId w:val="39"/>
        </w:numPr>
        <w:rPr>
          <w:b/>
          <w:i/>
          <w:lang w:eastAsia="zh-CN"/>
        </w:rPr>
      </w:pPr>
      <w:r w:rsidRPr="003B7D38">
        <w:rPr>
          <w:b/>
          <w:i/>
          <w:lang w:eastAsia="zh-CN"/>
        </w:rPr>
        <w:t>SIB1-NB is dropped in non-D NB-IoT subframes</w:t>
      </w:r>
      <w:r>
        <w:rPr>
          <w:b/>
          <w:i/>
          <w:lang w:eastAsia="zh-CN"/>
        </w:rPr>
        <w:t>;</w:t>
      </w:r>
    </w:p>
    <w:p w14:paraId="5829F74A" w14:textId="2D3D06D2" w:rsidR="00D64527" w:rsidRPr="0013147C" w:rsidRDefault="003B7D38" w:rsidP="008F192A">
      <w:pPr>
        <w:pStyle w:val="aa"/>
        <w:numPr>
          <w:ilvl w:val="0"/>
          <w:numId w:val="39"/>
        </w:numPr>
        <w:rPr>
          <w:b/>
          <w:i/>
          <w:lang w:eastAsia="zh-CN"/>
        </w:rPr>
      </w:pPr>
      <w:r w:rsidRPr="003B7D38">
        <w:rPr>
          <w:b/>
          <w:i/>
          <w:lang w:eastAsia="zh-CN"/>
        </w:rPr>
        <w:t>NPRACH periodicities of 40ms and 80ms are not supported in NB-IoT NTN TDD mode</w:t>
      </w:r>
      <w:r>
        <w:rPr>
          <w:b/>
          <w:i/>
          <w:lang w:eastAsia="zh-CN"/>
        </w:rPr>
        <w:t xml:space="preserve">, </w:t>
      </w:r>
      <w:r>
        <w:rPr>
          <w:b/>
          <w:i/>
        </w:rPr>
        <w:t>i</w:t>
      </w:r>
      <w:r w:rsidRPr="003B7D38">
        <w:rPr>
          <w:b/>
          <w:i/>
        </w:rPr>
        <w:t>nstead, periodicities of 90ms and 180ms are supported</w:t>
      </w:r>
      <w:r>
        <w:rPr>
          <w:b/>
          <w:i/>
        </w:rPr>
        <w:t>.</w:t>
      </w:r>
    </w:p>
    <w:p w14:paraId="080CF615" w14:textId="67DDC9A9" w:rsidR="0013147C" w:rsidRPr="000203DA" w:rsidRDefault="0013147C" w:rsidP="0013147C">
      <w:pPr>
        <w:jc w:val="both"/>
        <w:rPr>
          <w:rFonts w:ascii="Times New Roman" w:hAnsi="Times New Roman" w:cs="Times New Roman"/>
        </w:rPr>
      </w:pPr>
      <w:r>
        <w:rPr>
          <w:rFonts w:ascii="Times New Roman" w:hAnsi="Times New Roman" w:cs="Times New Roman"/>
        </w:rPr>
        <w:t>For the rest of FGs introduced in previous releases for IoT NTN FDD, it should be discussed one by one whether to inherit by IoT NTN TDD. Release-17 FG 2-2a for enhancing timing relationships and Release-17 FG 2-3a for TA compensation reporting can be introduced as the optional capabilities to reduce the delay of scheduling. Release-17 FG 2-1c (</w:t>
      </w:r>
      <w:r w:rsidRPr="007000A9">
        <w:rPr>
          <w:rFonts w:ascii="Times New Roman" w:hAnsi="Times New Roman" w:cs="Times New Roman"/>
        </w:rPr>
        <w:t>Segmented UL transmission for NB-IoT</w:t>
      </w:r>
      <w:r>
        <w:rPr>
          <w:rFonts w:ascii="Times New Roman" w:hAnsi="Times New Roman" w:cs="Times New Roman"/>
        </w:rPr>
        <w:t>) and FG 2-1e (</w:t>
      </w:r>
      <w:r w:rsidRPr="007000A9">
        <w:rPr>
          <w:rFonts w:ascii="Times New Roman" w:hAnsi="Times New Roman" w:cs="Times New Roman"/>
        </w:rPr>
        <w:t xml:space="preserve">Gaps for </w:t>
      </w:r>
      <w:r>
        <w:rPr>
          <w:rFonts w:ascii="Times New Roman" w:hAnsi="Times New Roman" w:cs="Times New Roman"/>
        </w:rPr>
        <w:t>s</w:t>
      </w:r>
      <w:r w:rsidRPr="007000A9">
        <w:rPr>
          <w:rFonts w:ascii="Times New Roman" w:hAnsi="Times New Roman" w:cs="Times New Roman"/>
        </w:rPr>
        <w:t>egmented UL transmission for NB-IoT</w:t>
      </w:r>
      <w:r>
        <w:rPr>
          <w:rFonts w:ascii="Times New Roman" w:hAnsi="Times New Roman" w:cs="Times New Roman"/>
        </w:rPr>
        <w:t>) are not needed because UE had sufficient time to adjust its TA and CFO during non-U subframes. Among Release-18 UE features, we think the FG for HARQ disabling are necessary considering the short duration available for DL reception and UL transmission. These feature groups include Release-18 FG2-1e-1 (</w:t>
      </w:r>
      <w:r w:rsidRPr="00A747A9">
        <w:rPr>
          <w:rFonts w:ascii="Times New Roman" w:hAnsi="Times New Roman" w:cs="Times New Roman"/>
        </w:rPr>
        <w:t>Semi-static HARQ feedback disabling for NB-IoT in single TB case</w:t>
      </w:r>
      <w:r>
        <w:rPr>
          <w:rFonts w:ascii="Times New Roman" w:hAnsi="Times New Roman" w:cs="Times New Roman"/>
        </w:rPr>
        <w:t>), FG</w:t>
      </w:r>
      <w:r w:rsidRPr="00A747A9">
        <w:rPr>
          <w:rFonts w:ascii="Times New Roman" w:hAnsi="Times New Roman" w:cs="Times New Roman"/>
        </w:rPr>
        <w:t>2-1f-1</w:t>
      </w:r>
      <w:r>
        <w:rPr>
          <w:rFonts w:ascii="Times New Roman" w:hAnsi="Times New Roman" w:cs="Times New Roman"/>
        </w:rPr>
        <w:t xml:space="preserve"> (</w:t>
      </w:r>
      <w:r w:rsidRPr="00A747A9">
        <w:rPr>
          <w:rFonts w:ascii="Times New Roman" w:hAnsi="Times New Roman" w:cs="Times New Roman"/>
        </w:rPr>
        <w:t>Dynamic HARQ feedback disabling by DCI-based direct indication for NB-IoT in single TB case</w:t>
      </w:r>
      <w:r>
        <w:rPr>
          <w:rFonts w:ascii="Times New Roman" w:hAnsi="Times New Roman" w:cs="Times New Roman"/>
        </w:rPr>
        <w:t>), FG</w:t>
      </w:r>
      <w:r w:rsidRPr="00A747A9">
        <w:rPr>
          <w:rFonts w:ascii="Times New Roman" w:hAnsi="Times New Roman" w:cs="Times New Roman"/>
        </w:rPr>
        <w:t>2-1g-1</w:t>
      </w:r>
      <w:r>
        <w:rPr>
          <w:rFonts w:ascii="Times New Roman" w:hAnsi="Times New Roman" w:cs="Times New Roman"/>
        </w:rPr>
        <w:t xml:space="preserve"> (</w:t>
      </w:r>
      <w:r w:rsidRPr="00A747A9">
        <w:rPr>
          <w:rFonts w:ascii="Times New Roman" w:hAnsi="Times New Roman" w:cs="Times New Roman"/>
        </w:rPr>
        <w:t>Dynamic HARQ feedback disabling by DCI-based overridden indication for NB-IoT in single TB case</w:t>
      </w:r>
      <w:r>
        <w:rPr>
          <w:rFonts w:ascii="Times New Roman" w:hAnsi="Times New Roman" w:cs="Times New Roman"/>
        </w:rPr>
        <w:t>), FG</w:t>
      </w:r>
      <w:r w:rsidRPr="00A747A9">
        <w:rPr>
          <w:rFonts w:ascii="Times New Roman" w:hAnsi="Times New Roman" w:cs="Times New Roman"/>
        </w:rPr>
        <w:t>2-1e-2</w:t>
      </w:r>
      <w:r>
        <w:rPr>
          <w:rFonts w:ascii="Times New Roman" w:hAnsi="Times New Roman" w:cs="Times New Roman"/>
        </w:rPr>
        <w:t xml:space="preserve"> (</w:t>
      </w:r>
      <w:r w:rsidRPr="00A747A9">
        <w:rPr>
          <w:rFonts w:ascii="Times New Roman" w:hAnsi="Times New Roman" w:cs="Times New Roman"/>
        </w:rPr>
        <w:t>Semi-static HARQ feedback disabling for NB-IoT in multi TB case</w:t>
      </w:r>
      <w:r>
        <w:rPr>
          <w:rFonts w:ascii="Times New Roman" w:hAnsi="Times New Roman" w:cs="Times New Roman"/>
        </w:rPr>
        <w:t>), FG</w:t>
      </w:r>
      <w:r w:rsidRPr="008F192A">
        <w:rPr>
          <w:rFonts w:ascii="Times New Roman" w:hAnsi="Times New Roman" w:cs="Times New Roman"/>
        </w:rPr>
        <w:t>2-1f-2</w:t>
      </w:r>
      <w:r>
        <w:rPr>
          <w:rFonts w:ascii="Times New Roman" w:hAnsi="Times New Roman" w:cs="Times New Roman"/>
        </w:rPr>
        <w:t xml:space="preserve"> (</w:t>
      </w:r>
      <w:r w:rsidRPr="00A747A9">
        <w:rPr>
          <w:rFonts w:ascii="Times New Roman" w:hAnsi="Times New Roman" w:cs="Times New Roman"/>
        </w:rPr>
        <w:t>Dynamic HARQ feedback disabling by DCI-based direct indication for NB-IoT in multi TB case</w:t>
      </w:r>
      <w:r>
        <w:rPr>
          <w:rFonts w:ascii="Times New Roman" w:hAnsi="Times New Roman" w:cs="Times New Roman"/>
        </w:rPr>
        <w:t xml:space="preserve">) and </w:t>
      </w:r>
      <w:r w:rsidRPr="008F192A">
        <w:rPr>
          <w:rFonts w:ascii="Times New Roman" w:hAnsi="Times New Roman" w:cs="Times New Roman"/>
        </w:rPr>
        <w:t xml:space="preserve"> </w:t>
      </w:r>
      <w:r>
        <w:rPr>
          <w:rFonts w:ascii="Times New Roman" w:hAnsi="Times New Roman" w:cs="Times New Roman"/>
        </w:rPr>
        <w:t>FG</w:t>
      </w:r>
      <w:r w:rsidRPr="008F192A">
        <w:rPr>
          <w:rFonts w:ascii="Times New Roman" w:hAnsi="Times New Roman" w:cs="Times New Roman"/>
        </w:rPr>
        <w:t>2-1g-2</w:t>
      </w:r>
      <w:r>
        <w:rPr>
          <w:rFonts w:ascii="Times New Roman" w:hAnsi="Times New Roman" w:cs="Times New Roman"/>
        </w:rPr>
        <w:t xml:space="preserve"> (</w:t>
      </w:r>
      <w:r w:rsidRPr="00A747A9">
        <w:rPr>
          <w:rFonts w:ascii="Times New Roman" w:hAnsi="Times New Roman" w:cs="Times New Roman"/>
        </w:rPr>
        <w:t>Dynamic HARQ feedback disabling by DCI-based overridden indication for NB-IoT in multi TB case</w:t>
      </w:r>
      <w:r>
        <w:rPr>
          <w:rFonts w:ascii="Times New Roman" w:hAnsi="Times New Roman" w:cs="Times New Roman"/>
        </w:rPr>
        <w:t>).  Considering the constellation of iridium is NGSO, the Release-18 FG2-2b (</w:t>
      </w:r>
      <w:r w:rsidRPr="00E301CD">
        <w:rPr>
          <w:rFonts w:ascii="Times New Roman" w:hAnsi="Times New Roman" w:cs="Times New Roman"/>
        </w:rPr>
        <w:t>NGSO for HARQ disabling for NB-IoT</w:t>
      </w:r>
      <w:r>
        <w:rPr>
          <w:rFonts w:ascii="Times New Roman" w:hAnsi="Times New Roman" w:cs="Times New Roman"/>
        </w:rPr>
        <w:t xml:space="preserve">) should be inherited. How to capture the inherited FGs from previous releases (e.g. copy as new FGs or modify the existing FGs) can be further discussed. </w:t>
      </w:r>
    </w:p>
    <w:p w14:paraId="74494989" w14:textId="1AE8C114" w:rsidR="0013147C" w:rsidRPr="004C404C" w:rsidRDefault="0013147C" w:rsidP="0013147C">
      <w:pPr>
        <w:rPr>
          <w:rFonts w:ascii="Times New Roman" w:hAnsi="Times New Roman" w:cs="Times New Roman"/>
          <w:b/>
          <w:bCs/>
          <w:i/>
          <w:iCs/>
        </w:rPr>
      </w:pPr>
      <w:r w:rsidRPr="004C404C">
        <w:rPr>
          <w:rFonts w:ascii="Times New Roman" w:hAnsi="Times New Roman" w:cs="Times New Roman"/>
          <w:b/>
          <w:bCs/>
          <w:i/>
          <w:iCs/>
        </w:rPr>
        <w:lastRenderedPageBreak/>
        <w:t xml:space="preserve">Proposal </w:t>
      </w:r>
      <w:r>
        <w:rPr>
          <w:rFonts w:ascii="Times New Roman" w:hAnsi="Times New Roman" w:cs="Times New Roman"/>
          <w:b/>
          <w:bCs/>
          <w:i/>
          <w:iCs/>
        </w:rPr>
        <w:t>3</w:t>
      </w:r>
      <w:r w:rsidRPr="004C404C">
        <w:rPr>
          <w:rFonts w:ascii="Times New Roman" w:hAnsi="Times New Roman" w:cs="Times New Roman"/>
          <w:b/>
          <w:bCs/>
          <w:i/>
          <w:iCs/>
        </w:rPr>
        <w:t xml:space="preserve">: </w:t>
      </w:r>
      <w:r>
        <w:rPr>
          <w:rFonts w:ascii="Times New Roman" w:hAnsi="Times New Roman" w:cs="Times New Roman"/>
          <w:b/>
          <w:bCs/>
          <w:i/>
          <w:iCs/>
        </w:rPr>
        <w:t>Release-17 feature groups 2-2a and 2-3a can be inherited in Release-19 IoT-NTN TDD.</w:t>
      </w:r>
    </w:p>
    <w:p w14:paraId="7F156192" w14:textId="32241612" w:rsidR="0013147C" w:rsidRDefault="0013147C" w:rsidP="0013147C">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4</w:t>
      </w:r>
      <w:r w:rsidRPr="004C404C">
        <w:rPr>
          <w:rFonts w:ascii="Times New Roman" w:hAnsi="Times New Roman" w:cs="Times New Roman"/>
          <w:b/>
          <w:bCs/>
          <w:i/>
          <w:iCs/>
        </w:rPr>
        <w:t xml:space="preserve">: </w:t>
      </w:r>
      <w:r>
        <w:rPr>
          <w:rFonts w:ascii="Times New Roman" w:hAnsi="Times New Roman" w:cs="Times New Roman"/>
          <w:b/>
          <w:bCs/>
          <w:i/>
          <w:iCs/>
        </w:rPr>
        <w:t xml:space="preserve">Release-18 feature groups </w:t>
      </w:r>
      <w:r w:rsidRPr="008F192A">
        <w:rPr>
          <w:rFonts w:ascii="Times New Roman" w:hAnsi="Times New Roman" w:cs="Times New Roman"/>
          <w:b/>
          <w:bCs/>
          <w:i/>
          <w:iCs/>
        </w:rPr>
        <w:t xml:space="preserve">2-1e-1, 2-1f-1, 2-1g-1, 2-1e-2, 2-1f-2, 2-1g-2 and 2-2b can be inherited in </w:t>
      </w:r>
      <w:r>
        <w:rPr>
          <w:rFonts w:ascii="Times New Roman" w:hAnsi="Times New Roman" w:cs="Times New Roman"/>
          <w:b/>
          <w:bCs/>
          <w:i/>
          <w:iCs/>
        </w:rPr>
        <w:t>Release-19 IoT-NTN TDD mode.</w:t>
      </w:r>
    </w:p>
    <w:p w14:paraId="14967660" w14:textId="6CF325E8" w:rsidR="0013147C" w:rsidRPr="00E24DF2" w:rsidRDefault="0013147C" w:rsidP="00E24DF2">
      <w:pPr>
        <w:jc w:val="both"/>
        <w:rPr>
          <w:rFonts w:ascii="Times New Roman" w:hAnsi="Times New Roman" w:cs="Times New Roman"/>
        </w:rPr>
      </w:pPr>
      <w:r w:rsidRPr="00E24DF2">
        <w:rPr>
          <w:rFonts w:ascii="Times New Roman" w:hAnsi="Times New Roman" w:cs="Times New Roman" w:hint="eastAsia"/>
        </w:rPr>
        <w:t>F</w:t>
      </w:r>
      <w:r w:rsidRPr="00E24DF2">
        <w:rPr>
          <w:rFonts w:ascii="Times New Roman" w:hAnsi="Times New Roman" w:cs="Times New Roman"/>
        </w:rPr>
        <w:t xml:space="preserve">or the granularity of feature groups, per UE is preferred. </w:t>
      </w:r>
      <w:r w:rsidR="00E24DF2" w:rsidRPr="00E24DF2">
        <w:rPr>
          <w:rFonts w:ascii="Times New Roman" w:hAnsi="Times New Roman" w:cs="Times New Roman"/>
        </w:rPr>
        <w:t>Because this feature only applies to a single band, per band granularity is not essential.</w:t>
      </w:r>
    </w:p>
    <w:p w14:paraId="724DE20F" w14:textId="4B8FEF6B" w:rsidR="00E24DF2" w:rsidRDefault="00E24DF2" w:rsidP="00E24DF2">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5</w:t>
      </w:r>
      <w:r w:rsidRPr="004C404C">
        <w:rPr>
          <w:rFonts w:ascii="Times New Roman" w:hAnsi="Times New Roman" w:cs="Times New Roman"/>
          <w:b/>
          <w:bCs/>
          <w:i/>
          <w:iCs/>
        </w:rPr>
        <w:t xml:space="preserve">: </w:t>
      </w:r>
      <w:r>
        <w:rPr>
          <w:rFonts w:ascii="Times New Roman" w:hAnsi="Times New Roman" w:cs="Times New Roman"/>
          <w:b/>
          <w:bCs/>
          <w:i/>
          <w:iCs/>
        </w:rPr>
        <w:t xml:space="preserve">For </w:t>
      </w:r>
      <w:r w:rsidRPr="00E24DF2">
        <w:rPr>
          <w:rFonts w:ascii="Times New Roman" w:hAnsi="Times New Roman" w:cs="Times New Roman"/>
          <w:b/>
          <w:bCs/>
          <w:i/>
          <w:iCs/>
        </w:rPr>
        <w:t>the granularity of feature groups, per UE is preferred.</w:t>
      </w:r>
    </w:p>
    <w:p w14:paraId="47021617" w14:textId="579E50F2" w:rsidR="00E24DF2" w:rsidRDefault="00703128" w:rsidP="00703128">
      <w:pPr>
        <w:jc w:val="both"/>
        <w:rPr>
          <w:rFonts w:ascii="Times New Roman" w:hAnsi="Times New Roman" w:cs="Times New Roman"/>
        </w:rPr>
      </w:pPr>
      <w:r w:rsidRPr="00703128">
        <w:rPr>
          <w:rFonts w:ascii="Times New Roman" w:hAnsi="Times New Roman" w:cs="Times New Roman" w:hint="eastAsia"/>
        </w:rPr>
        <w:t>F</w:t>
      </w:r>
      <w:r w:rsidRPr="00703128">
        <w:rPr>
          <w:rFonts w:ascii="Times New Roman" w:hAnsi="Times New Roman" w:cs="Times New Roman"/>
        </w:rPr>
        <w:t xml:space="preserve">or the issue of mandatory or optional, </w:t>
      </w:r>
      <w:r>
        <w:rPr>
          <w:rFonts w:ascii="Times New Roman" w:hAnsi="Times New Roman" w:cs="Times New Roman"/>
        </w:rPr>
        <w:t xml:space="preserve">we think the basic feature groups should be optional </w:t>
      </w:r>
      <w:r w:rsidRPr="00703128">
        <w:rPr>
          <w:rFonts w:ascii="Times New Roman" w:hAnsi="Times New Roman" w:cs="Times New Roman"/>
        </w:rPr>
        <w:t>with capability signaling, and a UE must indicate the support of this FG if it supports IoT NTN TDD in 1616-1625.5 MHz MSS band.</w:t>
      </w:r>
    </w:p>
    <w:p w14:paraId="045DE481" w14:textId="288AA796" w:rsidR="00703128" w:rsidRDefault="00703128" w:rsidP="00703128">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6</w:t>
      </w:r>
      <w:r w:rsidRPr="004C404C">
        <w:rPr>
          <w:rFonts w:ascii="Times New Roman" w:hAnsi="Times New Roman" w:cs="Times New Roman"/>
          <w:b/>
          <w:bCs/>
          <w:i/>
          <w:iCs/>
        </w:rPr>
        <w:t xml:space="preserve">: </w:t>
      </w:r>
      <w:r>
        <w:rPr>
          <w:rFonts w:ascii="Times New Roman" w:hAnsi="Times New Roman" w:cs="Times New Roman"/>
          <w:b/>
          <w:bCs/>
          <w:i/>
          <w:iCs/>
        </w:rPr>
        <w:t xml:space="preserve">The basic feature group should be </w:t>
      </w:r>
      <w:r w:rsidRPr="00703128">
        <w:rPr>
          <w:rFonts w:ascii="Times New Roman" w:hAnsi="Times New Roman" w:cs="Times New Roman"/>
          <w:b/>
          <w:bCs/>
          <w:i/>
          <w:iCs/>
        </w:rPr>
        <w:t>optional with capability signaling, and a UE must indicate the support of this FG if it supports IoT NTN TDD in 1616-1625.5 MHz MSS band.</w:t>
      </w:r>
    </w:p>
    <w:p w14:paraId="441F5F3A" w14:textId="02951183" w:rsidR="0013147C" w:rsidRDefault="0013147C" w:rsidP="0013147C">
      <w:pPr>
        <w:rPr>
          <w:rFonts w:ascii="Times New Roman" w:hAnsi="Times New Roman" w:cs="Times New Roman"/>
          <w:b/>
          <w:bCs/>
          <w:i/>
          <w:iCs/>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423A28BB" w:rsidR="008A4FFC" w:rsidRPr="007D5A74" w:rsidRDefault="008A4FFC" w:rsidP="008A4FFC">
      <w:pPr>
        <w:rPr>
          <w:rFonts w:ascii="Times New Roman" w:hAnsi="Times New Roman" w:cs="Times New Roman"/>
        </w:rPr>
      </w:pPr>
      <w:r w:rsidRPr="007D5A74">
        <w:rPr>
          <w:rFonts w:ascii="Times New Roman" w:hAnsi="Times New Roman" w:cs="Times New Roman"/>
        </w:rPr>
        <w:t>The proposals made in this contribution are summarized below:</w:t>
      </w:r>
    </w:p>
    <w:p w14:paraId="53E91199" w14:textId="77777777" w:rsidR="00A20B6C" w:rsidRPr="003B7D38" w:rsidRDefault="00A20B6C" w:rsidP="00A20B6C">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 xml:space="preserve">Release-17 </w:t>
      </w:r>
      <w:r w:rsidRPr="003B7D38">
        <w:rPr>
          <w:rFonts w:ascii="Times New Roman" w:hAnsi="Times New Roman" w:cs="Times New Roman"/>
          <w:b/>
          <w:bCs/>
          <w:i/>
          <w:iCs/>
        </w:rPr>
        <w:t>feature group 2-1b</w:t>
      </w:r>
      <w:r>
        <w:rPr>
          <w:rFonts w:ascii="Times New Roman" w:hAnsi="Times New Roman" w:cs="Times New Roman"/>
          <w:b/>
          <w:bCs/>
          <w:i/>
          <w:iCs/>
        </w:rPr>
        <w:t xml:space="preserve"> can be the prerequisite of FG2-1 with a note to clarify that it does not imply a TDD UE should always support FDD operation. </w:t>
      </w:r>
    </w:p>
    <w:p w14:paraId="2F54F326" w14:textId="77777777" w:rsidR="00A20B6C" w:rsidRDefault="00A20B6C" w:rsidP="00A20B6C">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b/>
          <w:bCs/>
          <w:i/>
          <w:iCs/>
        </w:rPr>
        <w:t>The following components are added for the basic feature groups:</w:t>
      </w:r>
    </w:p>
    <w:p w14:paraId="6900C71A" w14:textId="77777777" w:rsidR="00A20B6C" w:rsidRDefault="00A20B6C" w:rsidP="00A20B6C">
      <w:pPr>
        <w:pStyle w:val="aa"/>
        <w:numPr>
          <w:ilvl w:val="0"/>
          <w:numId w:val="39"/>
        </w:numPr>
        <w:rPr>
          <w:b/>
          <w:i/>
          <w:lang w:eastAsia="zh-CN"/>
        </w:rPr>
      </w:pPr>
      <w:r w:rsidRPr="003B7D38">
        <w:rPr>
          <w:b/>
          <w:i/>
          <w:lang w:eastAsia="zh-CN"/>
        </w:rPr>
        <w:t>SIB1-NB is dropped in non-D NB-IoT subframes</w:t>
      </w:r>
      <w:r>
        <w:rPr>
          <w:b/>
          <w:i/>
          <w:lang w:eastAsia="zh-CN"/>
        </w:rPr>
        <w:t>;</w:t>
      </w:r>
    </w:p>
    <w:p w14:paraId="5DE32987" w14:textId="77777777" w:rsidR="00A20B6C" w:rsidRPr="0013147C" w:rsidRDefault="00A20B6C" w:rsidP="00A20B6C">
      <w:pPr>
        <w:pStyle w:val="aa"/>
        <w:numPr>
          <w:ilvl w:val="0"/>
          <w:numId w:val="39"/>
        </w:numPr>
        <w:rPr>
          <w:b/>
          <w:i/>
          <w:lang w:eastAsia="zh-CN"/>
        </w:rPr>
      </w:pPr>
      <w:r w:rsidRPr="003B7D38">
        <w:rPr>
          <w:b/>
          <w:i/>
          <w:lang w:eastAsia="zh-CN"/>
        </w:rPr>
        <w:t>NPRACH periodicities of 40ms and 80ms are not supported in NB-IoT NTN TDD mode</w:t>
      </w:r>
      <w:r>
        <w:rPr>
          <w:b/>
          <w:i/>
          <w:lang w:eastAsia="zh-CN"/>
        </w:rPr>
        <w:t xml:space="preserve">, </w:t>
      </w:r>
      <w:r>
        <w:rPr>
          <w:b/>
          <w:i/>
        </w:rPr>
        <w:t>i</w:t>
      </w:r>
      <w:r w:rsidRPr="003B7D38">
        <w:rPr>
          <w:b/>
          <w:i/>
        </w:rPr>
        <w:t>nstead, periodicities of 90ms and 180ms are supported</w:t>
      </w:r>
      <w:r>
        <w:rPr>
          <w:b/>
          <w:i/>
        </w:rPr>
        <w:t>.</w:t>
      </w:r>
    </w:p>
    <w:p w14:paraId="6EBD0E43" w14:textId="77777777" w:rsidR="00A20B6C" w:rsidRPr="004C404C" w:rsidRDefault="00A20B6C" w:rsidP="00A20B6C">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3</w:t>
      </w:r>
      <w:r w:rsidRPr="004C404C">
        <w:rPr>
          <w:rFonts w:ascii="Times New Roman" w:hAnsi="Times New Roman" w:cs="Times New Roman"/>
          <w:b/>
          <w:bCs/>
          <w:i/>
          <w:iCs/>
        </w:rPr>
        <w:t xml:space="preserve">: </w:t>
      </w:r>
      <w:r>
        <w:rPr>
          <w:rFonts w:ascii="Times New Roman" w:hAnsi="Times New Roman" w:cs="Times New Roman"/>
          <w:b/>
          <w:bCs/>
          <w:i/>
          <w:iCs/>
        </w:rPr>
        <w:t>Release-17 feature groups 2-2a and 2-3a can be inherited in Release-19 IoT-NTN TDD.</w:t>
      </w:r>
    </w:p>
    <w:p w14:paraId="65D90198" w14:textId="77777777" w:rsidR="00A20B6C" w:rsidRDefault="00A20B6C" w:rsidP="00A20B6C">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4</w:t>
      </w:r>
      <w:r w:rsidRPr="004C404C">
        <w:rPr>
          <w:rFonts w:ascii="Times New Roman" w:hAnsi="Times New Roman" w:cs="Times New Roman"/>
          <w:b/>
          <w:bCs/>
          <w:i/>
          <w:iCs/>
        </w:rPr>
        <w:t xml:space="preserve">: </w:t>
      </w:r>
      <w:r>
        <w:rPr>
          <w:rFonts w:ascii="Times New Roman" w:hAnsi="Times New Roman" w:cs="Times New Roman"/>
          <w:b/>
          <w:bCs/>
          <w:i/>
          <w:iCs/>
        </w:rPr>
        <w:t xml:space="preserve">Release-18 feature groups </w:t>
      </w:r>
      <w:r w:rsidRPr="008F192A">
        <w:rPr>
          <w:rFonts w:ascii="Times New Roman" w:hAnsi="Times New Roman" w:cs="Times New Roman"/>
          <w:b/>
          <w:bCs/>
          <w:i/>
          <w:iCs/>
        </w:rPr>
        <w:t xml:space="preserve">2-1e-1, 2-1f-1, 2-1g-1, 2-1e-2, 2-1f-2, 2-1g-2 and 2-2b can be inherited in </w:t>
      </w:r>
      <w:r>
        <w:rPr>
          <w:rFonts w:ascii="Times New Roman" w:hAnsi="Times New Roman" w:cs="Times New Roman"/>
          <w:b/>
          <w:bCs/>
          <w:i/>
          <w:iCs/>
        </w:rPr>
        <w:t>Release-19 IoT-NTN TDD mode.</w:t>
      </w:r>
    </w:p>
    <w:p w14:paraId="511F1BBB" w14:textId="77777777" w:rsidR="00A20B6C" w:rsidRDefault="00A20B6C" w:rsidP="00A20B6C">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5</w:t>
      </w:r>
      <w:r w:rsidRPr="004C404C">
        <w:rPr>
          <w:rFonts w:ascii="Times New Roman" w:hAnsi="Times New Roman" w:cs="Times New Roman"/>
          <w:b/>
          <w:bCs/>
          <w:i/>
          <w:iCs/>
        </w:rPr>
        <w:t xml:space="preserve">: </w:t>
      </w:r>
      <w:r>
        <w:rPr>
          <w:rFonts w:ascii="Times New Roman" w:hAnsi="Times New Roman" w:cs="Times New Roman"/>
          <w:b/>
          <w:bCs/>
          <w:i/>
          <w:iCs/>
        </w:rPr>
        <w:t xml:space="preserve">For </w:t>
      </w:r>
      <w:r w:rsidRPr="00E24DF2">
        <w:rPr>
          <w:rFonts w:ascii="Times New Roman" w:hAnsi="Times New Roman" w:cs="Times New Roman"/>
          <w:b/>
          <w:bCs/>
          <w:i/>
          <w:iCs/>
        </w:rPr>
        <w:t>the granularity of feature groups, per UE is preferred.</w:t>
      </w:r>
    </w:p>
    <w:p w14:paraId="3177A3E9" w14:textId="6A4BF6CA" w:rsidR="00A20B6C" w:rsidRDefault="00A20B6C" w:rsidP="00A20B6C">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6</w:t>
      </w:r>
      <w:r w:rsidRPr="004C404C">
        <w:rPr>
          <w:rFonts w:ascii="Times New Roman" w:hAnsi="Times New Roman" w:cs="Times New Roman"/>
          <w:b/>
          <w:bCs/>
          <w:i/>
          <w:iCs/>
        </w:rPr>
        <w:t xml:space="preserve">: </w:t>
      </w:r>
      <w:r>
        <w:rPr>
          <w:rFonts w:ascii="Times New Roman" w:hAnsi="Times New Roman" w:cs="Times New Roman"/>
          <w:b/>
          <w:bCs/>
          <w:i/>
          <w:iCs/>
        </w:rPr>
        <w:t xml:space="preserve">The basic feature group should be </w:t>
      </w:r>
      <w:r w:rsidRPr="00703128">
        <w:rPr>
          <w:rFonts w:ascii="Times New Roman" w:hAnsi="Times New Roman" w:cs="Times New Roman"/>
          <w:b/>
          <w:bCs/>
          <w:i/>
          <w:iCs/>
        </w:rPr>
        <w:t>optional with capability signaling, and a UE must indicate the support of this FG if it supports IoT NTN TDD in 1616-1625.5 MHz MSS band.</w:t>
      </w:r>
    </w:p>
    <w:p w14:paraId="1951B47B" w14:textId="77777777" w:rsidR="004C404C" w:rsidRPr="00A20B6C" w:rsidRDefault="004C404C" w:rsidP="004C404C">
      <w:pPr>
        <w:rPr>
          <w:rFonts w:ascii="Times New Roman" w:hAnsi="Times New Roman" w:cs="Times New Roman"/>
          <w:b/>
          <w:bCs/>
          <w:i/>
          <w:iCs/>
        </w:rPr>
      </w:pPr>
    </w:p>
    <w:p w14:paraId="0656194E" w14:textId="6E62D551"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p w14:paraId="4C38A59C" w14:textId="1B2905E3" w:rsidR="00AF05FE" w:rsidRDefault="00AF05FE" w:rsidP="008B3450">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R1-2502969, </w:t>
      </w:r>
      <w:r w:rsidRPr="00AF05FE">
        <w:rPr>
          <w:rFonts w:ascii="Times New Roman" w:eastAsia="宋体" w:hAnsi="Times New Roman" w:cs="Times New Roman"/>
        </w:rPr>
        <w:t>Session Notes of AI 9.15.10</w:t>
      </w:r>
      <w:r>
        <w:rPr>
          <w:rFonts w:ascii="Times New Roman" w:eastAsia="宋体" w:hAnsi="Times New Roman" w:cs="Times New Roman"/>
        </w:rPr>
        <w:t xml:space="preserve">, </w:t>
      </w:r>
      <w:r w:rsidRPr="00AF05FE">
        <w:rPr>
          <w:rFonts w:ascii="Times New Roman" w:eastAsia="宋体" w:hAnsi="Times New Roman" w:cs="Times New Roman"/>
        </w:rPr>
        <w:t>Ad-Hoc Chair (NTT DOCOMO)</w:t>
      </w:r>
    </w:p>
    <w:p w14:paraId="16B660D3" w14:textId="49ECDA33" w:rsidR="005D3A6D" w:rsidRPr="007D5A74" w:rsidRDefault="003B7D38" w:rsidP="00D64892">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Pr="003B7D38">
        <w:rPr>
          <w:rFonts w:ascii="Times New Roman" w:eastAsia="宋体" w:hAnsi="Times New Roman" w:cs="Times New Roman"/>
        </w:rPr>
        <w:t>Chair’s notes for RAN1 #120bis, Wuhan, China, April 7th – 11th, 2025</w:t>
      </w:r>
      <w:bookmarkEnd w:id="1"/>
    </w:p>
    <w:p w14:paraId="0F5F8BE1" w14:textId="77777777" w:rsidR="006B6F92" w:rsidRDefault="006B6F92" w:rsidP="008A4FFC">
      <w:pPr>
        <w:rPr>
          <w:rFonts w:ascii="Times New Roman" w:hAnsi="Times New Roman" w:cs="Times New Roman"/>
        </w:rPr>
        <w:sectPr w:rsidR="006B6F92" w:rsidSect="00AE15D5">
          <w:endnotePr>
            <w:numFmt w:val="decimal"/>
          </w:endnotePr>
          <w:pgSz w:w="11907" w:h="16840" w:code="9"/>
          <w:pgMar w:top="1440" w:right="1151" w:bottom="1440" w:left="1440" w:header="709" w:footer="709" w:gutter="0"/>
          <w:cols w:space="708"/>
          <w:docGrid w:linePitch="360"/>
        </w:sectPr>
      </w:pPr>
    </w:p>
    <w:p w14:paraId="39118EFC" w14:textId="4120A6F3" w:rsidR="00AF05FE" w:rsidRDefault="006B6F92" w:rsidP="006B6F92">
      <w:pPr>
        <w:autoSpaceDE w:val="0"/>
        <w:autoSpaceDN w:val="0"/>
        <w:adjustRightInd w:val="0"/>
        <w:snapToGrid w:val="0"/>
        <w:spacing w:before="93" w:after="93" w:line="240" w:lineRule="auto"/>
        <w:jc w:val="both"/>
        <w:outlineLvl w:val="0"/>
        <w:rPr>
          <w:rFonts w:ascii="Times New Roman" w:eastAsia="宋体" w:hAnsi="Times New Roman" w:cs="Times New Roman"/>
          <w:b/>
          <w:bCs/>
          <w:sz w:val="28"/>
          <w:szCs w:val="28"/>
        </w:rPr>
      </w:pPr>
      <w:r w:rsidRPr="006B6F92">
        <w:rPr>
          <w:rFonts w:ascii="Times New Roman" w:eastAsia="宋体" w:hAnsi="Times New Roman" w:cs="Times New Roman" w:hint="eastAsia"/>
          <w:b/>
          <w:bCs/>
          <w:sz w:val="28"/>
          <w:szCs w:val="28"/>
        </w:rPr>
        <w:lastRenderedPageBreak/>
        <w:t>A</w:t>
      </w:r>
      <w:r w:rsidR="00AF05FE">
        <w:rPr>
          <w:rFonts w:ascii="Times New Roman" w:eastAsia="宋体" w:hAnsi="Times New Roman" w:cs="Times New Roman"/>
          <w:b/>
          <w:bCs/>
          <w:sz w:val="28"/>
          <w:szCs w:val="28"/>
        </w:rPr>
        <w:t>ppendix A</w:t>
      </w:r>
    </w:p>
    <w:p w14:paraId="3C314680" w14:textId="05017E2D" w:rsidR="006B6F92" w:rsidRDefault="00AF05FE" w:rsidP="008A4FFC">
      <w:pPr>
        <w:rPr>
          <w:rFonts w:ascii="Times New Roman" w:hAnsi="Times New Roman" w:cs="Times New Roman"/>
        </w:rPr>
      </w:pPr>
      <w:r w:rsidRPr="00AF05FE">
        <w:rPr>
          <w:rFonts w:ascii="Times New Roman" w:hAnsi="Times New Roman" w:cs="Times New Roman"/>
        </w:rPr>
        <w:t xml:space="preserve">Proposed revision for RAN1 UE features list for </w:t>
      </w:r>
      <w:r>
        <w:rPr>
          <w:rFonts w:ascii="Times New Roman" w:hAnsi="Times New Roman" w:cs="Times New Roman" w:hint="eastAsia"/>
        </w:rPr>
        <w:t>IoT</w:t>
      </w:r>
      <w:r>
        <w:rPr>
          <w:rFonts w:ascii="Times New Roman" w:hAnsi="Times New Roman" w:cs="Times New Roman"/>
        </w:rPr>
        <w:t>-NTN TDD mode</w:t>
      </w:r>
      <w:r w:rsidRPr="00AF05FE">
        <w:rPr>
          <w:rFonts w:ascii="Times New Roman" w:hAnsi="Times New Roman" w:cs="Times New Roman"/>
        </w:rPr>
        <w:t xml:space="preserve"> after RAN1#</w:t>
      </w:r>
      <w:r>
        <w:rPr>
          <w:rFonts w:ascii="Times New Roman" w:hAnsi="Times New Roman" w:cs="Times New Roman"/>
        </w:rPr>
        <w:t>120bis</w:t>
      </w:r>
      <w:r w:rsidRPr="00AF05FE">
        <w:rPr>
          <w:rFonts w:ascii="Times New Roman" w:hAnsi="Times New Roman" w:cs="Times New Roman"/>
        </w:rPr>
        <w:t xml:space="preserve">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75"/>
        <w:gridCol w:w="3971"/>
        <w:gridCol w:w="1248"/>
        <w:gridCol w:w="1322"/>
        <w:gridCol w:w="2005"/>
        <w:gridCol w:w="1535"/>
        <w:gridCol w:w="2054"/>
        <w:gridCol w:w="1453"/>
        <w:gridCol w:w="1552"/>
        <w:gridCol w:w="1424"/>
        <w:gridCol w:w="2750"/>
      </w:tblGrid>
      <w:tr w:rsidR="00535D30" w14:paraId="2917D053" w14:textId="77777777" w:rsidTr="00AF05FE">
        <w:trPr>
          <w:trHeight w:val="20"/>
        </w:trPr>
        <w:tc>
          <w:tcPr>
            <w:tcW w:w="0" w:type="auto"/>
            <w:tcBorders>
              <w:top w:val="single" w:sz="4" w:space="0" w:color="auto"/>
              <w:left w:val="single" w:sz="4" w:space="0" w:color="auto"/>
              <w:bottom w:val="single" w:sz="4" w:space="0" w:color="auto"/>
              <w:right w:val="single" w:sz="4" w:space="0" w:color="auto"/>
            </w:tcBorders>
            <w:hideMark/>
          </w:tcPr>
          <w:p w14:paraId="48E7546E"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bookmarkStart w:id="2" w:name="_Hlk194579587"/>
            <w:r>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D9EDE25"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2BD17A6"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B40E57E"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B0D05D"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367C77"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251C4AA" w14:textId="77777777" w:rsidR="00AF05FE" w:rsidRDefault="00AF05FE">
            <w:pPr>
              <w:keepNext/>
              <w:keepLines/>
              <w:spacing w:after="0" w:line="240" w:lineRule="auto"/>
              <w:rPr>
                <w:rFonts w:eastAsia="宋体" w:cs="Arial"/>
                <w:b/>
                <w:color w:val="000000"/>
                <w:sz w:val="18"/>
                <w:szCs w:val="18"/>
                <w:lang w:val="en-GB" w:eastAsia="ja-JP"/>
              </w:rPr>
            </w:pPr>
            <w:r>
              <w:rPr>
                <w:rFonts w:eastAsia="宋体"/>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F262A9" w14:textId="77777777" w:rsidR="00AF05FE" w:rsidRDefault="00AF05FE">
            <w:pPr>
              <w:keepNext/>
              <w:keepLines/>
              <w:spacing w:after="0" w:line="240" w:lineRule="auto"/>
              <w:rPr>
                <w:rFonts w:eastAsia="宋体" w:cs="Times New Roman"/>
                <w:b/>
                <w:sz w:val="18"/>
                <w:szCs w:val="20"/>
                <w:lang w:val="en-GB" w:eastAsia="ja-JP"/>
              </w:rPr>
            </w:pPr>
            <w:r>
              <w:rPr>
                <w:rFonts w:eastAsia="宋体"/>
                <w:b/>
                <w:sz w:val="18"/>
                <w:lang w:val="en-GB" w:eastAsia="ja-JP"/>
              </w:rPr>
              <w:t>Type</w:t>
            </w:r>
          </w:p>
          <w:p w14:paraId="0EBFAA04" w14:textId="77777777" w:rsidR="00AF05FE" w:rsidRDefault="00AF05FE">
            <w:pPr>
              <w:keepNext/>
              <w:keepLines/>
              <w:spacing w:after="0" w:line="240" w:lineRule="auto"/>
              <w:rPr>
                <w:rFonts w:eastAsia="宋体" w:cs="Arial"/>
                <w:b/>
                <w:color w:val="000000"/>
                <w:sz w:val="18"/>
                <w:szCs w:val="18"/>
                <w:lang w:val="en-GB" w:eastAsia="ja-JP"/>
              </w:rPr>
            </w:pPr>
            <w:r>
              <w:rPr>
                <w:rFonts w:eastAsia="宋体"/>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EA23E8" w14:textId="77777777" w:rsidR="00AF05FE" w:rsidRDefault="00AF05FE">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706DEC"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235CD21"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50B2F06" w14:textId="77777777" w:rsidR="00AF05FE" w:rsidRDefault="00AF05FE">
            <w:pPr>
              <w:keepNext/>
              <w:keepLines/>
              <w:overflowPunct w:val="0"/>
              <w:autoSpaceDE w:val="0"/>
              <w:autoSpaceDN w:val="0"/>
              <w:adjustRightInd w:val="0"/>
              <w:spacing w:after="0" w:line="240" w:lineRule="auto"/>
              <w:jc w:val="center"/>
              <w:textAlignment w:val="baseline"/>
              <w:rPr>
                <w:rFonts w:cs="Arial"/>
                <w:b/>
                <w:color w:val="000000"/>
                <w:sz w:val="18"/>
                <w:szCs w:val="18"/>
                <w:lang w:val="en-GB" w:eastAsia="ja-JP"/>
              </w:rPr>
            </w:pPr>
            <w:r>
              <w:rPr>
                <w:b/>
                <w:sz w:val="18"/>
                <w:lang w:val="en-GB" w:eastAsia="ja-JP"/>
              </w:rPr>
              <w:t>Mandatory/Optional</w:t>
            </w:r>
          </w:p>
        </w:tc>
      </w:tr>
      <w:tr w:rsidR="00535D30" w14:paraId="486D3AED" w14:textId="77777777" w:rsidTr="00AF05FE">
        <w:trPr>
          <w:trHeight w:val="20"/>
        </w:trPr>
        <w:tc>
          <w:tcPr>
            <w:tcW w:w="0" w:type="auto"/>
            <w:tcBorders>
              <w:top w:val="single" w:sz="4" w:space="0" w:color="auto"/>
              <w:left w:val="single" w:sz="4" w:space="0" w:color="auto"/>
              <w:bottom w:val="single" w:sz="4" w:space="0" w:color="auto"/>
              <w:right w:val="single" w:sz="4" w:space="0" w:color="auto"/>
            </w:tcBorders>
            <w:hideMark/>
          </w:tcPr>
          <w:p w14:paraId="119FBD26" w14:textId="77777777" w:rsidR="00AF05FE" w:rsidRDefault="00AF05FE">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382808BD" w14:textId="77777777" w:rsidR="00AF05FE" w:rsidRDefault="00AF05FE">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72E3FB65" w14:textId="77777777" w:rsidR="00AF05FE" w:rsidRDefault="00AF05FE">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2F304F7F" w14:textId="77777777" w:rsidR="00AF05FE" w:rsidRDefault="00AF05FE">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2. The DL subframes of pattern are fixed to subframes [3 4 5 6 7 8 9 0] across two consecutive radio frames.</w:t>
            </w:r>
          </w:p>
          <w:p w14:paraId="6B669413" w14:textId="77777777" w:rsidR="00AF05FE" w:rsidRDefault="00AF05FE">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3. The non-U NB-IoT subframes are not considered by the UE as “NB-IoT UL subframes”</w:t>
            </w:r>
          </w:p>
          <w:p w14:paraId="594B8E0B" w14:textId="77777777" w:rsidR="00AF05FE" w:rsidRDefault="00AF05FE">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4. The non-D NB-IoT subframes are not considered by the UE as “NB-IoT DL subframes”</w:t>
            </w:r>
          </w:p>
          <w:p w14:paraId="429520A0" w14:textId="6EB6D1E3" w:rsidR="00AF05FE" w:rsidRDefault="00AF05FE">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5. Support NPSS/NSSS/NPBCH</w:t>
            </w:r>
            <w:r w:rsidR="00535D30">
              <w:rPr>
                <w:rFonts w:eastAsia="MS Gothic" w:cs="Arial"/>
                <w:color w:val="000000"/>
                <w:sz w:val="18"/>
                <w:szCs w:val="18"/>
                <w:lang w:val="en-GB" w:eastAsia="ja-JP"/>
              </w:rPr>
              <w:t>/SIB1-NB</w:t>
            </w:r>
            <w:r>
              <w:rPr>
                <w:rFonts w:eastAsia="MS Gothic" w:cs="Arial"/>
                <w:color w:val="000000"/>
                <w:sz w:val="18"/>
                <w:szCs w:val="18"/>
                <w:lang w:val="en-GB" w:eastAsia="ja-JP"/>
              </w:rPr>
              <w:t xml:space="preserve"> transmissions dropped in non-D NB-IoT subframes</w:t>
            </w:r>
          </w:p>
          <w:p w14:paraId="2E474027" w14:textId="61E9D643" w:rsidR="00AF05FE" w:rsidRDefault="00AF05FE" w:rsidP="0006788E">
            <w:pPr>
              <w:spacing w:after="0" w:line="240" w:lineRule="auto"/>
              <w:rPr>
                <w:rFonts w:eastAsia="MS Gothic" w:cs="Arial"/>
                <w:color w:val="FF0000"/>
                <w:sz w:val="18"/>
                <w:szCs w:val="18"/>
                <w:lang w:val="en-GB" w:eastAsia="ja-JP"/>
              </w:rPr>
            </w:pPr>
            <w:r>
              <w:rPr>
                <w:rFonts w:eastAsia="MS Gothic" w:cs="Arial"/>
                <w:color w:val="000000"/>
                <w:sz w:val="18"/>
                <w:szCs w:val="18"/>
                <w:lang w:val="en-GB" w:eastAsia="ja-JP"/>
              </w:rPr>
              <w:t xml:space="preserve">6. </w:t>
            </w:r>
            <w:r w:rsidR="00535D30">
              <w:rPr>
                <w:rFonts w:eastAsia="MS Gothic" w:cs="Arial"/>
                <w:color w:val="000000"/>
                <w:sz w:val="18"/>
                <w:szCs w:val="18"/>
                <w:lang w:val="en-GB" w:eastAsia="ja-JP"/>
              </w:rPr>
              <w:t xml:space="preserve">Support NPRACH periodicity of </w:t>
            </w:r>
            <w:r w:rsidR="00535D30" w:rsidRPr="00535D30">
              <w:rPr>
                <w:rFonts w:eastAsia="MS Gothic" w:cs="Arial"/>
                <w:color w:val="000000"/>
                <w:sz w:val="18"/>
                <w:szCs w:val="18"/>
                <w:lang w:val="en-GB" w:eastAsia="ja-JP"/>
              </w:rPr>
              <w:t>ms90, ms180, ms160, ms240, ms320, ms640,</w:t>
            </w:r>
            <w:r w:rsidR="00535D30">
              <w:rPr>
                <w:rFonts w:eastAsia="MS Gothic" w:cs="Arial"/>
                <w:color w:val="000000"/>
                <w:sz w:val="18"/>
                <w:szCs w:val="18"/>
                <w:lang w:val="en-GB" w:eastAsia="ja-JP"/>
              </w:rPr>
              <w:t xml:space="preserve"> </w:t>
            </w:r>
            <w:r w:rsidR="00535D30" w:rsidRPr="00535D30">
              <w:rPr>
                <w:rFonts w:eastAsia="MS Gothic" w:cs="Arial"/>
                <w:color w:val="000000"/>
                <w:sz w:val="18"/>
                <w:szCs w:val="18"/>
                <w:lang w:val="en-GB" w:eastAsia="ja-JP"/>
              </w:rPr>
              <w:t>ms1280,</w:t>
            </w:r>
            <w:r w:rsidR="00535D30">
              <w:rPr>
                <w:rFonts w:eastAsia="MS Gothic" w:cs="Arial"/>
                <w:color w:val="000000"/>
                <w:sz w:val="18"/>
                <w:szCs w:val="18"/>
                <w:lang w:val="en-GB" w:eastAsia="ja-JP"/>
              </w:rPr>
              <w:t xml:space="preserve"> m</w:t>
            </w:r>
            <w:r w:rsidR="00535D30" w:rsidRPr="00535D30">
              <w:rPr>
                <w:rFonts w:eastAsia="MS Gothic" w:cs="Arial"/>
                <w:color w:val="000000"/>
                <w:sz w:val="18"/>
                <w:szCs w:val="18"/>
                <w:lang w:val="en-GB" w:eastAsia="ja-JP"/>
              </w:rPr>
              <w:t>s2560</w:t>
            </w:r>
            <w:r w:rsidR="00535D30">
              <w:rPr>
                <w:rFonts w:eastAsia="MS Gothic" w:cs="Arial"/>
                <w:color w:val="000000"/>
                <w:sz w:val="18"/>
                <w:szCs w:val="18"/>
                <w:lang w:val="en-GB" w:eastAsia="ja-JP"/>
              </w:rPr>
              <w:t xml:space="preserve">. </w:t>
            </w:r>
            <w:r>
              <w:rPr>
                <w:rFonts w:eastAsia="MS Gothic" w:cs="Arial"/>
                <w:color w:val="000000"/>
                <w:sz w:val="18"/>
                <w:szCs w:val="18"/>
                <w:lang w:val="en-GB" w:eastAsia="ja-JP"/>
              </w:rPr>
              <w:t>Postponement of NPRACH transmissions in non-U NB-IoT subframes until the next U NB-IoT subframe(s), where the unit of postponement is one PRU.</w:t>
            </w:r>
          </w:p>
          <w:p w14:paraId="7E74F60D" w14:textId="53BB5E43" w:rsidR="00AF05FE" w:rsidRPr="0006788E" w:rsidRDefault="00845412">
            <w:pPr>
              <w:spacing w:after="0" w:line="240" w:lineRule="auto"/>
              <w:rPr>
                <w:rFonts w:eastAsia="MS Gothic" w:cs="Arial"/>
                <w:strike/>
                <w:color w:val="FF0000"/>
                <w:sz w:val="18"/>
                <w:szCs w:val="18"/>
                <w:lang w:val="en-GB" w:eastAsia="ja-JP"/>
              </w:rPr>
            </w:pPr>
            <w:r w:rsidDel="00845412">
              <w:rPr>
                <w:rFonts w:cs="Arial" w:hint="eastAsia"/>
                <w:color w:val="FF0000"/>
                <w:sz w:val="18"/>
                <w:szCs w:val="18"/>
                <w:lang w:val="en-GB"/>
              </w:rPr>
              <w:t xml:space="preserve"> </w:t>
            </w:r>
            <w:r w:rsidR="00AF05FE" w:rsidRPr="0006788E">
              <w:rPr>
                <w:rFonts w:eastAsia="MS Gothic" w:cs="Arial"/>
                <w:strike/>
                <w:color w:val="FF0000"/>
                <w:sz w:val="18"/>
                <w:szCs w:val="18"/>
                <w:highlight w:val="yellow"/>
                <w:lang w:val="en-GB" w:eastAsia="ja-JP"/>
              </w:rPr>
              <w:t>[FFS Whether/how to capture components in Rel-17 2-1b, in case the FG is not defined to be the prerequisite one.]</w:t>
            </w:r>
          </w:p>
          <w:p w14:paraId="6810416A" w14:textId="77777777" w:rsidR="00AF05FE" w:rsidRPr="0006788E" w:rsidRDefault="00AF05FE">
            <w:pPr>
              <w:spacing w:after="0" w:line="240" w:lineRule="auto"/>
              <w:rPr>
                <w:rFonts w:eastAsia="MS Gothic" w:cs="Arial"/>
                <w:strike/>
                <w:color w:val="000000"/>
                <w:sz w:val="18"/>
                <w:szCs w:val="18"/>
                <w:lang w:val="en-GB" w:eastAsia="ja-JP"/>
              </w:rPr>
            </w:pPr>
            <w:r w:rsidRPr="0006788E">
              <w:rPr>
                <w:rFonts w:eastAsia="MS Gothic" w:cs="Arial"/>
                <w:strike/>
                <w:color w:val="FF0000"/>
                <w:sz w:val="18"/>
                <w:szCs w:val="18"/>
                <w:highlight w:val="yellow"/>
                <w:lang w:val="en-GB" w:eastAsia="ja-JP"/>
              </w:rPr>
              <w:t>[FFS other component(s)/FG(s)]</w:t>
            </w:r>
          </w:p>
        </w:tc>
        <w:tc>
          <w:tcPr>
            <w:tcW w:w="0" w:type="auto"/>
            <w:tcBorders>
              <w:top w:val="single" w:sz="4" w:space="0" w:color="auto"/>
              <w:left w:val="single" w:sz="4" w:space="0" w:color="auto"/>
              <w:bottom w:val="single" w:sz="4" w:space="0" w:color="auto"/>
              <w:right w:val="single" w:sz="4" w:space="0" w:color="auto"/>
            </w:tcBorders>
            <w:hideMark/>
          </w:tcPr>
          <w:p w14:paraId="52AA608A" w14:textId="77777777" w:rsidR="00AF05FE" w:rsidRPr="007A22F9" w:rsidRDefault="00AF05FE">
            <w:pPr>
              <w:keepNext/>
              <w:keepLines/>
              <w:spacing w:after="0" w:line="240" w:lineRule="auto"/>
              <w:rPr>
                <w:rFonts w:eastAsia="MS Mincho" w:cs="Arial"/>
                <w:strike/>
                <w:sz w:val="18"/>
                <w:szCs w:val="18"/>
                <w:lang w:val="en-GB" w:eastAsia="ja-JP"/>
              </w:rPr>
            </w:pPr>
            <w:r w:rsidRPr="007A22F9">
              <w:rPr>
                <w:rFonts w:eastAsia="MS Mincho" w:cs="Arial"/>
                <w:strike/>
                <w:color w:val="FF0000"/>
                <w:sz w:val="18"/>
                <w:szCs w:val="18"/>
                <w:highlight w:val="yellow"/>
                <w:lang w:val="en-GB" w:eastAsia="ja-JP"/>
              </w:rPr>
              <w:t>[</w:t>
            </w:r>
            <w:r w:rsidRPr="007A22F9">
              <w:rPr>
                <w:rFonts w:eastAsia="MS Mincho" w:cs="Arial"/>
                <w:sz w:val="18"/>
                <w:szCs w:val="18"/>
                <w:highlight w:val="yellow"/>
                <w:lang w:val="en-GB" w:eastAsia="ja-JP"/>
              </w:rPr>
              <w:t>Rel-17 2-1b</w:t>
            </w:r>
            <w:r w:rsidRPr="007A22F9">
              <w:rPr>
                <w:rFonts w:eastAsia="MS Mincho"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D467096" w14:textId="77777777" w:rsidR="00AF05FE" w:rsidRDefault="00AF05FE">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25A1E42" w14:textId="77777777" w:rsidR="00AF05FE" w:rsidRDefault="00AF05FE">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64795E2" w14:textId="77777777" w:rsidR="00AF05FE" w:rsidRDefault="00AF05FE">
            <w:pPr>
              <w:keepNext/>
              <w:keepLines/>
              <w:spacing w:after="0" w:line="240" w:lineRule="auto"/>
              <w:rPr>
                <w:rFonts w:eastAsia="MS Mincho" w:cs="Arial"/>
                <w:color w:val="000000"/>
                <w:sz w:val="18"/>
                <w:szCs w:val="18"/>
                <w:lang w:eastAsia="ja-JP"/>
              </w:rPr>
            </w:pPr>
            <w:r>
              <w:rPr>
                <w:rFonts w:eastAsia="MS Mincho" w:cs="Arial"/>
                <w:color w:val="000000"/>
                <w:sz w:val="18"/>
                <w:szCs w:val="18"/>
                <w:lang w:eastAsia="ja-JP"/>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534DB2A7" w14:textId="77777777" w:rsidR="00AF05FE" w:rsidRDefault="00AF05FE">
            <w:pPr>
              <w:keepNext/>
              <w:keepLines/>
              <w:spacing w:after="0" w:line="240" w:lineRule="auto"/>
              <w:rPr>
                <w:rFonts w:eastAsia="MS Mincho" w:cs="Arial"/>
                <w:color w:val="000000"/>
                <w:sz w:val="18"/>
                <w:szCs w:val="18"/>
                <w:lang w:val="en-GB" w:eastAsia="ja-JP"/>
              </w:rPr>
            </w:pPr>
            <w:r w:rsidRPr="00E24DF2">
              <w:rPr>
                <w:rFonts w:eastAsia="MS Mincho" w:cs="Arial"/>
                <w:strike/>
                <w:color w:val="FF0000"/>
                <w:sz w:val="18"/>
                <w:szCs w:val="18"/>
                <w:highlight w:val="yellow"/>
                <w:lang w:val="en-GB" w:eastAsia="ja-JP"/>
              </w:rPr>
              <w:t>[</w:t>
            </w:r>
            <w:r>
              <w:rPr>
                <w:rFonts w:eastAsia="MS Mincho" w:cs="Arial"/>
                <w:color w:val="000000"/>
                <w:sz w:val="18"/>
                <w:szCs w:val="18"/>
                <w:highlight w:val="yellow"/>
                <w:lang w:val="en-GB" w:eastAsia="ja-JP"/>
              </w:rPr>
              <w:t xml:space="preserve">Per UE </w:t>
            </w:r>
            <w:r w:rsidRPr="00E24DF2">
              <w:rPr>
                <w:rFonts w:eastAsia="MS Mincho" w:cs="Arial"/>
                <w:strike/>
                <w:color w:val="FF0000"/>
                <w:sz w:val="18"/>
                <w:szCs w:val="18"/>
                <w:highlight w:val="yellow"/>
                <w:lang w:val="en-GB" w:eastAsia="ja-JP"/>
              </w:rPr>
              <w:t>or Per band]</w:t>
            </w:r>
          </w:p>
        </w:tc>
        <w:tc>
          <w:tcPr>
            <w:tcW w:w="0" w:type="auto"/>
            <w:tcBorders>
              <w:top w:val="single" w:sz="4" w:space="0" w:color="auto"/>
              <w:left w:val="single" w:sz="4" w:space="0" w:color="auto"/>
              <w:bottom w:val="single" w:sz="4" w:space="0" w:color="auto"/>
              <w:right w:val="single" w:sz="4" w:space="0" w:color="auto"/>
            </w:tcBorders>
            <w:hideMark/>
          </w:tcPr>
          <w:p w14:paraId="66CB894E" w14:textId="77777777" w:rsidR="00AF05FE" w:rsidRDefault="00AF05FE">
            <w:pPr>
              <w:keepNext/>
              <w:keepLines/>
              <w:spacing w:after="0" w:line="240" w:lineRule="auto"/>
              <w:rPr>
                <w:rFonts w:eastAsia="MS Mincho" w:cs="Arial"/>
                <w:color w:val="000000"/>
                <w:sz w:val="18"/>
                <w:szCs w:val="18"/>
                <w:lang w:val="en-GB" w:eastAsia="ja-JP"/>
              </w:rPr>
            </w:pPr>
            <w:r w:rsidRPr="00703128">
              <w:rPr>
                <w:rFonts w:eastAsia="MS Mincho" w:cs="Arial"/>
                <w:strike/>
                <w:color w:val="FF0000"/>
                <w:sz w:val="18"/>
                <w:szCs w:val="18"/>
                <w:highlight w:val="yellow"/>
                <w:lang w:val="en-GB" w:eastAsia="ja-JP"/>
              </w:rPr>
              <w:t>[</w:t>
            </w:r>
            <w:r>
              <w:rPr>
                <w:rFonts w:eastAsia="MS Mincho" w:cs="Arial"/>
                <w:color w:val="000000"/>
                <w:sz w:val="18"/>
                <w:szCs w:val="18"/>
                <w:highlight w:val="yellow"/>
                <w:lang w:val="en-GB" w:eastAsia="ja-JP"/>
              </w:rPr>
              <w:t>TDD only</w:t>
            </w:r>
            <w:r w:rsidRPr="00703128">
              <w:rPr>
                <w:rFonts w:eastAsia="MS Mincho"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95F70F8" w14:textId="77777777" w:rsidR="00AF05FE" w:rsidRDefault="00AF05FE">
            <w:pPr>
              <w:keepNext/>
              <w:keepLines/>
              <w:spacing w:after="0" w:line="240" w:lineRule="auto"/>
              <w:rPr>
                <w:rFonts w:eastAsia="MS Mincho" w:cs="Arial"/>
                <w:color w:val="000000"/>
                <w:sz w:val="18"/>
                <w:szCs w:val="18"/>
                <w:highlight w:val="yellow"/>
                <w:lang w:val="en-GB" w:eastAsia="ja-JP"/>
              </w:rPr>
            </w:pPr>
            <w:r w:rsidRPr="00703128">
              <w:rPr>
                <w:rFonts w:eastAsia="MS Mincho" w:cs="Arial"/>
                <w:strike/>
                <w:color w:val="FF0000"/>
                <w:sz w:val="18"/>
                <w:szCs w:val="18"/>
                <w:highlight w:val="yellow"/>
                <w:lang w:val="en-GB" w:eastAsia="ja-JP"/>
              </w:rPr>
              <w:t>[</w:t>
            </w:r>
            <w:r>
              <w:rPr>
                <w:rFonts w:eastAsia="MS Mincho" w:cs="Arial"/>
                <w:color w:val="000000"/>
                <w:sz w:val="18"/>
                <w:szCs w:val="18"/>
                <w:highlight w:val="yellow"/>
                <w:lang w:val="en-GB" w:eastAsia="ja-JP"/>
              </w:rPr>
              <w:t>N/A</w:t>
            </w:r>
            <w:r w:rsidRPr="00703128">
              <w:rPr>
                <w:rFonts w:eastAsia="MS Mincho"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E15B784" w14:textId="77777777" w:rsidR="00AF05FE" w:rsidRDefault="00AF05FE">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Applicable only for 1616-1626.5 MHz MSS allocated band</w:t>
            </w:r>
          </w:p>
          <w:p w14:paraId="2E0226C1" w14:textId="77777777" w:rsidR="007A22F9" w:rsidRDefault="007A22F9">
            <w:pPr>
              <w:keepNext/>
              <w:keepLines/>
              <w:spacing w:after="0" w:line="240" w:lineRule="auto"/>
              <w:rPr>
                <w:rFonts w:eastAsia="MS Mincho" w:cs="Arial"/>
                <w:color w:val="000000"/>
                <w:sz w:val="18"/>
                <w:szCs w:val="18"/>
                <w:lang w:val="en-GB" w:eastAsia="ja-JP"/>
              </w:rPr>
            </w:pPr>
          </w:p>
          <w:p w14:paraId="4D7DA8B1" w14:textId="15DF1504" w:rsidR="007A22F9" w:rsidRPr="007A22F9" w:rsidRDefault="007A22F9">
            <w:pPr>
              <w:keepNext/>
              <w:keepLines/>
              <w:spacing w:after="0" w:line="240" w:lineRule="auto"/>
              <w:rPr>
                <w:rFonts w:cs="Arial"/>
                <w:color w:val="000000"/>
                <w:sz w:val="18"/>
                <w:szCs w:val="18"/>
                <w:lang w:val="en-GB"/>
              </w:rPr>
            </w:pPr>
            <w:r w:rsidRPr="007A22F9">
              <w:rPr>
                <w:rFonts w:cs="Arial"/>
                <w:color w:val="FF0000"/>
                <w:sz w:val="18"/>
                <w:szCs w:val="18"/>
                <w:lang w:val="en-GB"/>
              </w:rPr>
              <w:t>A UE report this FG does not imply it always support FDD operation.</w:t>
            </w:r>
          </w:p>
        </w:tc>
        <w:tc>
          <w:tcPr>
            <w:tcW w:w="0" w:type="auto"/>
            <w:tcBorders>
              <w:top w:val="single" w:sz="4" w:space="0" w:color="auto"/>
              <w:left w:val="single" w:sz="4" w:space="0" w:color="auto"/>
              <w:bottom w:val="single" w:sz="4" w:space="0" w:color="auto"/>
              <w:right w:val="single" w:sz="4" w:space="0" w:color="auto"/>
            </w:tcBorders>
            <w:hideMark/>
          </w:tcPr>
          <w:p w14:paraId="46E4DA7A" w14:textId="77777777" w:rsidR="00AF05FE" w:rsidRPr="00703128" w:rsidRDefault="00AF05FE">
            <w:pPr>
              <w:keepNext/>
              <w:keepLines/>
              <w:spacing w:after="0" w:line="240" w:lineRule="auto"/>
              <w:rPr>
                <w:rFonts w:eastAsia="MS Mincho" w:cs="Arial"/>
                <w:strike/>
                <w:color w:val="FF0000"/>
                <w:sz w:val="18"/>
                <w:szCs w:val="18"/>
                <w:highlight w:val="yellow"/>
                <w:lang w:val="en-GB" w:eastAsia="ja-JP"/>
              </w:rPr>
            </w:pPr>
            <w:r w:rsidRPr="00703128">
              <w:rPr>
                <w:rFonts w:eastAsia="MS Mincho" w:cs="Arial"/>
                <w:strike/>
                <w:color w:val="FF0000"/>
                <w:sz w:val="18"/>
                <w:szCs w:val="18"/>
                <w:highlight w:val="yellow"/>
                <w:lang w:val="en-GB" w:eastAsia="ja-JP"/>
              </w:rPr>
              <w:t>FFS</w:t>
            </w:r>
          </w:p>
          <w:p w14:paraId="68BD7CE5" w14:textId="073BD131" w:rsidR="00703128" w:rsidRDefault="00703128">
            <w:pPr>
              <w:keepNext/>
              <w:keepLines/>
              <w:spacing w:after="0" w:line="240" w:lineRule="auto"/>
              <w:rPr>
                <w:rFonts w:eastAsia="MS Mincho" w:cs="Arial"/>
                <w:color w:val="000000"/>
                <w:sz w:val="18"/>
                <w:szCs w:val="18"/>
                <w:highlight w:val="yellow"/>
                <w:lang w:val="en-GB" w:eastAsia="ja-JP"/>
              </w:rPr>
            </w:pPr>
            <w:r w:rsidRPr="00703128">
              <w:rPr>
                <w:rFonts w:eastAsia="MS Mincho" w:cs="Arial"/>
                <w:color w:val="FF0000"/>
                <w:sz w:val="18"/>
                <w:szCs w:val="18"/>
                <w:lang w:val="en-GB" w:eastAsia="ja-JP"/>
              </w:rPr>
              <w:t>FG 2-1 is optional with capability signaling, and a UE must indicate the support of this FG if it supports IoT NTN TDD in 1616-1625.5 MHz MSS band.</w:t>
            </w:r>
          </w:p>
        </w:tc>
        <w:bookmarkEnd w:id="2"/>
      </w:tr>
    </w:tbl>
    <w:p w14:paraId="2715CB26" w14:textId="77777777" w:rsidR="00AF05FE" w:rsidRPr="006B6F92" w:rsidRDefault="00AF05FE" w:rsidP="00845412">
      <w:pPr>
        <w:rPr>
          <w:rFonts w:ascii="Times New Roman" w:hAnsi="Times New Roman" w:cs="Times New Roman"/>
        </w:rPr>
      </w:pPr>
    </w:p>
    <w:sectPr w:rsidR="00AF05FE" w:rsidRPr="006B6F92" w:rsidSect="006B6F92">
      <w:endnotePr>
        <w:numFmt w:val="decimal"/>
      </w:endnotePr>
      <w:pgSz w:w="23811" w:h="16838" w:orient="landscape" w:code="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55EE" w14:textId="77777777" w:rsidR="00BE5231" w:rsidRDefault="00BE5231" w:rsidP="00446280">
      <w:pPr>
        <w:spacing w:after="0" w:line="240" w:lineRule="auto"/>
      </w:pPr>
      <w:r>
        <w:separator/>
      </w:r>
    </w:p>
  </w:endnote>
  <w:endnote w:type="continuationSeparator" w:id="0">
    <w:p w14:paraId="4A9ACF7D" w14:textId="77777777" w:rsidR="00BE5231" w:rsidRDefault="00BE5231"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980B7" w14:textId="77777777" w:rsidR="00BE5231" w:rsidRDefault="00BE5231" w:rsidP="00446280">
      <w:pPr>
        <w:spacing w:after="0" w:line="240" w:lineRule="auto"/>
      </w:pPr>
      <w:r>
        <w:separator/>
      </w:r>
    </w:p>
  </w:footnote>
  <w:footnote w:type="continuationSeparator" w:id="0">
    <w:p w14:paraId="65D56E0B" w14:textId="77777777" w:rsidR="00BE5231" w:rsidRDefault="00BE5231"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4" w15:restartNumberingAfterBreak="0">
    <w:nsid w:val="3C234B2F"/>
    <w:multiLevelType w:val="hybridMultilevel"/>
    <w:tmpl w:val="0FCC79AA"/>
    <w:lvl w:ilvl="0" w:tplc="0D42E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D17D6C"/>
    <w:multiLevelType w:val="hybridMultilevel"/>
    <w:tmpl w:val="5F3C06DE"/>
    <w:lvl w:ilvl="0" w:tplc="0D42E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4"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1"/>
  </w:num>
  <w:num w:numId="2">
    <w:abstractNumId w:val="23"/>
  </w:num>
  <w:num w:numId="3">
    <w:abstractNumId w:val="17"/>
  </w:num>
  <w:num w:numId="4">
    <w:abstractNumId w:val="19"/>
  </w:num>
  <w:num w:numId="5">
    <w:abstractNumId w:val="5"/>
  </w:num>
  <w:num w:numId="6">
    <w:abstractNumId w:val="12"/>
  </w:num>
  <w:num w:numId="7">
    <w:abstractNumId w:val="42"/>
  </w:num>
  <w:num w:numId="8">
    <w:abstractNumId w:val="40"/>
  </w:num>
  <w:num w:numId="9">
    <w:abstractNumId w:val="29"/>
  </w:num>
  <w:num w:numId="10">
    <w:abstractNumId w:val="43"/>
  </w:num>
  <w:num w:numId="11">
    <w:abstractNumId w:val="13"/>
  </w:num>
  <w:num w:numId="12">
    <w:abstractNumId w:val="16"/>
  </w:num>
  <w:num w:numId="13">
    <w:abstractNumId w:val="22"/>
  </w:num>
  <w:num w:numId="14">
    <w:abstractNumId w:val="9"/>
  </w:num>
  <w:num w:numId="15">
    <w:abstractNumId w:val="25"/>
  </w:num>
  <w:num w:numId="16">
    <w:abstractNumId w:val="18"/>
  </w:num>
  <w:num w:numId="17">
    <w:abstractNumId w:val="2"/>
  </w:num>
  <w:num w:numId="18">
    <w:abstractNumId w:val="36"/>
  </w:num>
  <w:num w:numId="19">
    <w:abstractNumId w:val="34"/>
  </w:num>
  <w:num w:numId="20">
    <w:abstractNumId w:val="0"/>
  </w:num>
  <w:num w:numId="21">
    <w:abstractNumId w:val="38"/>
  </w:num>
  <w:num w:numId="22">
    <w:abstractNumId w:val="7"/>
  </w:num>
  <w:num w:numId="23">
    <w:abstractNumId w:val="27"/>
  </w:num>
  <w:num w:numId="24">
    <w:abstractNumId w:val="33"/>
  </w:num>
  <w:num w:numId="25">
    <w:abstractNumId w:val="35"/>
  </w:num>
  <w:num w:numId="26">
    <w:abstractNumId w:val="8"/>
  </w:num>
  <w:num w:numId="27">
    <w:abstractNumId w:val="32"/>
  </w:num>
  <w:num w:numId="28">
    <w:abstractNumId w:val="28"/>
  </w:num>
  <w:num w:numId="29">
    <w:abstractNumId w:val="30"/>
  </w:num>
  <w:num w:numId="30">
    <w:abstractNumId w:val="44"/>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7"/>
  </w:num>
  <w:num w:numId="36">
    <w:abstractNumId w:val="1"/>
  </w:num>
  <w:num w:numId="37">
    <w:abstractNumId w:val="14"/>
  </w:num>
  <w:num w:numId="38">
    <w:abstractNumId w:val="21"/>
  </w:num>
  <w:num w:numId="39">
    <w:abstractNumId w:val="41"/>
  </w:num>
  <w:num w:numId="40">
    <w:abstractNumId w:val="39"/>
  </w:num>
  <w:num w:numId="41">
    <w:abstractNumId w:val="20"/>
  </w:num>
  <w:num w:numId="42">
    <w:abstractNumId w:val="31"/>
  </w:num>
  <w:num w:numId="43">
    <w:abstractNumId w:val="10"/>
  </w:num>
  <w:num w:numId="44">
    <w:abstractNumId w:val="3"/>
  </w:num>
  <w:num w:numId="45">
    <w:abstractNumId w:val="6"/>
  </w:num>
  <w:num w:numId="46">
    <w:abstractNumId w:val="4"/>
  </w:num>
  <w:num w:numId="47">
    <w:abstractNumId w:val="15"/>
  </w:num>
  <w:num w:numId="48">
    <w:abstractNumId w:val="24"/>
  </w:num>
  <w:num w:numId="49">
    <w:abstractNumId w:val="2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13AE0"/>
    <w:rsid w:val="000203DA"/>
    <w:rsid w:val="00050D9B"/>
    <w:rsid w:val="00063237"/>
    <w:rsid w:val="0006650E"/>
    <w:rsid w:val="0006788E"/>
    <w:rsid w:val="00072410"/>
    <w:rsid w:val="000820F1"/>
    <w:rsid w:val="00086B81"/>
    <w:rsid w:val="00092226"/>
    <w:rsid w:val="000B7E05"/>
    <w:rsid w:val="000C0210"/>
    <w:rsid w:val="000D37DD"/>
    <w:rsid w:val="001167EE"/>
    <w:rsid w:val="0013147C"/>
    <w:rsid w:val="00132526"/>
    <w:rsid w:val="00152BA6"/>
    <w:rsid w:val="00167E74"/>
    <w:rsid w:val="001717EA"/>
    <w:rsid w:val="00171843"/>
    <w:rsid w:val="001B0953"/>
    <w:rsid w:val="001B0F23"/>
    <w:rsid w:val="001B1C2F"/>
    <w:rsid w:val="002021C3"/>
    <w:rsid w:val="002534AC"/>
    <w:rsid w:val="002617D3"/>
    <w:rsid w:val="002720BE"/>
    <w:rsid w:val="00280E5E"/>
    <w:rsid w:val="002C0483"/>
    <w:rsid w:val="00302A72"/>
    <w:rsid w:val="00310B19"/>
    <w:rsid w:val="00313363"/>
    <w:rsid w:val="0031656E"/>
    <w:rsid w:val="00317D9C"/>
    <w:rsid w:val="003212B0"/>
    <w:rsid w:val="00331D9C"/>
    <w:rsid w:val="00345282"/>
    <w:rsid w:val="00353FF8"/>
    <w:rsid w:val="00366B82"/>
    <w:rsid w:val="00387C06"/>
    <w:rsid w:val="0039769D"/>
    <w:rsid w:val="003A2A22"/>
    <w:rsid w:val="003B7D38"/>
    <w:rsid w:val="003E26F9"/>
    <w:rsid w:val="003F004D"/>
    <w:rsid w:val="003F5C5F"/>
    <w:rsid w:val="00403D10"/>
    <w:rsid w:val="00412246"/>
    <w:rsid w:val="00426983"/>
    <w:rsid w:val="00432750"/>
    <w:rsid w:val="00446280"/>
    <w:rsid w:val="004500A3"/>
    <w:rsid w:val="0045455A"/>
    <w:rsid w:val="00475A78"/>
    <w:rsid w:val="004773A6"/>
    <w:rsid w:val="00480F5A"/>
    <w:rsid w:val="00486459"/>
    <w:rsid w:val="00491B5E"/>
    <w:rsid w:val="0049507B"/>
    <w:rsid w:val="004A0BE9"/>
    <w:rsid w:val="004A559D"/>
    <w:rsid w:val="004C1B2A"/>
    <w:rsid w:val="004C404C"/>
    <w:rsid w:val="004D24F5"/>
    <w:rsid w:val="004E172F"/>
    <w:rsid w:val="004F6F99"/>
    <w:rsid w:val="00501707"/>
    <w:rsid w:val="00503D00"/>
    <w:rsid w:val="00535D30"/>
    <w:rsid w:val="00546863"/>
    <w:rsid w:val="00552DB3"/>
    <w:rsid w:val="005536E5"/>
    <w:rsid w:val="00576F89"/>
    <w:rsid w:val="005937CF"/>
    <w:rsid w:val="00595652"/>
    <w:rsid w:val="005A1C0D"/>
    <w:rsid w:val="005A327E"/>
    <w:rsid w:val="005A6C9A"/>
    <w:rsid w:val="005A7E43"/>
    <w:rsid w:val="005B3BE9"/>
    <w:rsid w:val="005D3A6D"/>
    <w:rsid w:val="005E07B3"/>
    <w:rsid w:val="005F73FE"/>
    <w:rsid w:val="006126B0"/>
    <w:rsid w:val="00615934"/>
    <w:rsid w:val="00633753"/>
    <w:rsid w:val="00667B05"/>
    <w:rsid w:val="006835E0"/>
    <w:rsid w:val="0069406A"/>
    <w:rsid w:val="006A0609"/>
    <w:rsid w:val="006B5E3B"/>
    <w:rsid w:val="006B6F92"/>
    <w:rsid w:val="006C3F4C"/>
    <w:rsid w:val="006D4DE9"/>
    <w:rsid w:val="006E3005"/>
    <w:rsid w:val="006F38F1"/>
    <w:rsid w:val="006F6158"/>
    <w:rsid w:val="007000A9"/>
    <w:rsid w:val="00703128"/>
    <w:rsid w:val="00742F3A"/>
    <w:rsid w:val="00750561"/>
    <w:rsid w:val="007540E6"/>
    <w:rsid w:val="007A20A8"/>
    <w:rsid w:val="007A22F9"/>
    <w:rsid w:val="007B5BB0"/>
    <w:rsid w:val="007C096D"/>
    <w:rsid w:val="007C2CC6"/>
    <w:rsid w:val="007C42D4"/>
    <w:rsid w:val="007D5A74"/>
    <w:rsid w:val="007F036D"/>
    <w:rsid w:val="007F2AB1"/>
    <w:rsid w:val="00826D80"/>
    <w:rsid w:val="0084251A"/>
    <w:rsid w:val="00845412"/>
    <w:rsid w:val="008508D2"/>
    <w:rsid w:val="008537AA"/>
    <w:rsid w:val="008564A1"/>
    <w:rsid w:val="008623CE"/>
    <w:rsid w:val="00874F8C"/>
    <w:rsid w:val="00887ABF"/>
    <w:rsid w:val="0089369D"/>
    <w:rsid w:val="008952A1"/>
    <w:rsid w:val="008A2530"/>
    <w:rsid w:val="008A4FFC"/>
    <w:rsid w:val="008B3450"/>
    <w:rsid w:val="008B493D"/>
    <w:rsid w:val="008C73BF"/>
    <w:rsid w:val="008D2984"/>
    <w:rsid w:val="008E0F8D"/>
    <w:rsid w:val="008F192A"/>
    <w:rsid w:val="009037FC"/>
    <w:rsid w:val="0092242C"/>
    <w:rsid w:val="00955D9E"/>
    <w:rsid w:val="00972BDA"/>
    <w:rsid w:val="00977018"/>
    <w:rsid w:val="009B2A6A"/>
    <w:rsid w:val="009B6F8F"/>
    <w:rsid w:val="009C337E"/>
    <w:rsid w:val="009D6BC2"/>
    <w:rsid w:val="009D741A"/>
    <w:rsid w:val="009E0B65"/>
    <w:rsid w:val="00A20B6C"/>
    <w:rsid w:val="00A24A23"/>
    <w:rsid w:val="00A35609"/>
    <w:rsid w:val="00A357F9"/>
    <w:rsid w:val="00A37AFF"/>
    <w:rsid w:val="00A409F8"/>
    <w:rsid w:val="00A47462"/>
    <w:rsid w:val="00A73D04"/>
    <w:rsid w:val="00A73DEF"/>
    <w:rsid w:val="00A747A9"/>
    <w:rsid w:val="00A75B39"/>
    <w:rsid w:val="00A82747"/>
    <w:rsid w:val="00AA1B0A"/>
    <w:rsid w:val="00AB1A7D"/>
    <w:rsid w:val="00AB5D3C"/>
    <w:rsid w:val="00AE15D5"/>
    <w:rsid w:val="00AF05FE"/>
    <w:rsid w:val="00AF1271"/>
    <w:rsid w:val="00B047F6"/>
    <w:rsid w:val="00B16772"/>
    <w:rsid w:val="00B47E49"/>
    <w:rsid w:val="00B631C6"/>
    <w:rsid w:val="00BB1A82"/>
    <w:rsid w:val="00BD4880"/>
    <w:rsid w:val="00BD69EB"/>
    <w:rsid w:val="00BE3787"/>
    <w:rsid w:val="00BE5231"/>
    <w:rsid w:val="00BE6534"/>
    <w:rsid w:val="00BF053D"/>
    <w:rsid w:val="00BF5FBD"/>
    <w:rsid w:val="00C01465"/>
    <w:rsid w:val="00C05F33"/>
    <w:rsid w:val="00C141B1"/>
    <w:rsid w:val="00C42D4F"/>
    <w:rsid w:val="00C82D66"/>
    <w:rsid w:val="00C919F0"/>
    <w:rsid w:val="00CB0CAF"/>
    <w:rsid w:val="00CC6991"/>
    <w:rsid w:val="00CF7147"/>
    <w:rsid w:val="00D06B73"/>
    <w:rsid w:val="00D13EC3"/>
    <w:rsid w:val="00D4452D"/>
    <w:rsid w:val="00D52C1A"/>
    <w:rsid w:val="00D555E5"/>
    <w:rsid w:val="00D64527"/>
    <w:rsid w:val="00D64892"/>
    <w:rsid w:val="00D77EDC"/>
    <w:rsid w:val="00DB6C68"/>
    <w:rsid w:val="00DC2C44"/>
    <w:rsid w:val="00DD292A"/>
    <w:rsid w:val="00DE45DE"/>
    <w:rsid w:val="00DF20E7"/>
    <w:rsid w:val="00E0761C"/>
    <w:rsid w:val="00E24DF2"/>
    <w:rsid w:val="00E301CD"/>
    <w:rsid w:val="00E3378C"/>
    <w:rsid w:val="00E37EE7"/>
    <w:rsid w:val="00E61D7C"/>
    <w:rsid w:val="00E711AE"/>
    <w:rsid w:val="00E81086"/>
    <w:rsid w:val="00E87800"/>
    <w:rsid w:val="00E977C9"/>
    <w:rsid w:val="00EA6FA3"/>
    <w:rsid w:val="00EB08BA"/>
    <w:rsid w:val="00EB12D5"/>
    <w:rsid w:val="00EB5E04"/>
    <w:rsid w:val="00EB6E91"/>
    <w:rsid w:val="00ED3EA3"/>
    <w:rsid w:val="00EE1BB1"/>
    <w:rsid w:val="00EF1795"/>
    <w:rsid w:val="00F27101"/>
    <w:rsid w:val="00F33977"/>
    <w:rsid w:val="00F35EAD"/>
    <w:rsid w:val="00F40611"/>
    <w:rsid w:val="00F47CF0"/>
    <w:rsid w:val="00F51971"/>
    <w:rsid w:val="00F52C42"/>
    <w:rsid w:val="00F73144"/>
    <w:rsid w:val="00F920A5"/>
    <w:rsid w:val="00FA3852"/>
    <w:rsid w:val="00FB6338"/>
    <w:rsid w:val="00FC4DED"/>
    <w:rsid w:val="00FF4B2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C68"/>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
    <w:basedOn w:val="a1"/>
    <w:uiPriority w:val="39"/>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f4"/>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73144"/>
    <w:rPr>
      <w:rFonts w:ascii="Times" w:eastAsia="Batang" w:hAnsi="Times"/>
      <w:szCs w:val="24"/>
      <w:lang w:val="en-GB" w:eastAsia="x-none"/>
    </w:rPr>
  </w:style>
  <w:style w:type="character" w:customStyle="1" w:styleId="TALCar">
    <w:name w:val="TAL Car"/>
    <w:basedOn w:val="a0"/>
    <w:qFormat/>
    <w:locked/>
    <w:rsid w:val="00E301C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6027">
      <w:bodyDiv w:val="1"/>
      <w:marLeft w:val="0"/>
      <w:marRight w:val="0"/>
      <w:marTop w:val="0"/>
      <w:marBottom w:val="0"/>
      <w:divBdr>
        <w:top w:val="none" w:sz="0" w:space="0" w:color="auto"/>
        <w:left w:val="none" w:sz="0" w:space="0" w:color="auto"/>
        <w:bottom w:val="none" w:sz="0" w:space="0" w:color="auto"/>
        <w:right w:val="none" w:sz="0" w:space="0" w:color="auto"/>
      </w:divBdr>
    </w:div>
    <w:div w:id="231814691">
      <w:bodyDiv w:val="1"/>
      <w:marLeft w:val="0"/>
      <w:marRight w:val="0"/>
      <w:marTop w:val="0"/>
      <w:marBottom w:val="0"/>
      <w:divBdr>
        <w:top w:val="none" w:sz="0" w:space="0" w:color="auto"/>
        <w:left w:val="none" w:sz="0" w:space="0" w:color="auto"/>
        <w:bottom w:val="none" w:sz="0" w:space="0" w:color="auto"/>
        <w:right w:val="none" w:sz="0" w:space="0" w:color="auto"/>
      </w:divBdr>
    </w:div>
    <w:div w:id="595016670">
      <w:bodyDiv w:val="1"/>
      <w:marLeft w:val="0"/>
      <w:marRight w:val="0"/>
      <w:marTop w:val="0"/>
      <w:marBottom w:val="0"/>
      <w:divBdr>
        <w:top w:val="none" w:sz="0" w:space="0" w:color="auto"/>
        <w:left w:val="none" w:sz="0" w:space="0" w:color="auto"/>
        <w:bottom w:val="none" w:sz="0" w:space="0" w:color="auto"/>
        <w:right w:val="none" w:sz="0" w:space="0" w:color="auto"/>
      </w:divBdr>
    </w:div>
    <w:div w:id="1720396796">
      <w:bodyDiv w:val="1"/>
      <w:marLeft w:val="0"/>
      <w:marRight w:val="0"/>
      <w:marTop w:val="0"/>
      <w:marBottom w:val="0"/>
      <w:divBdr>
        <w:top w:val="none" w:sz="0" w:space="0" w:color="auto"/>
        <w:left w:val="none" w:sz="0" w:space="0" w:color="auto"/>
        <w:bottom w:val="none" w:sz="0" w:space="0" w:color="auto"/>
        <w:right w:val="none" w:sz="0" w:space="0" w:color="auto"/>
      </w:divBdr>
    </w:div>
    <w:div w:id="201629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1710A-4034-486E-8E20-D95C6A1C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1113</Words>
  <Characters>6349</Characters>
  <Application>Microsoft Office Word</Application>
  <DocSecurity>0</DocSecurity>
  <Lines>52</Lines>
  <Paragraphs>14</Paragraphs>
  <ScaleCrop>false</ScaleCrop>
  <Company>Huawei Technologies Co.,Ltd.</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cp:lastModifiedBy>
  <cp:revision>8</cp:revision>
  <dcterms:created xsi:type="dcterms:W3CDTF">2025-05-06T13:59:00Z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1746783714</vt:lpwstr>
  </property>
</Properties>
</file>