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center" w:pos="3969"/>
          <w:tab w:val="right" w:pos="8280"/>
          <w:tab w:val="right" w:pos="9781"/>
        </w:tabs>
        <w:spacing w:before="0" w:after="0" w:line="240" w:lineRule="auto"/>
        <w:ind w:left="-2" w:right="-2" w:firstLine="0"/>
        <w:jc w:val="both"/>
        <w:rPr>
          <w:rFonts w:ascii="Times New Roman" w:hAnsi="Times New Roman" w:eastAsia="Times New Roman" w:cs="Times New Roman"/>
          <w:sz w:val="22"/>
          <w:szCs w:val="22"/>
        </w:rPr>
      </w:pPr>
      <w:r>
        <w:rPr>
          <w:rFonts w:ascii="Times New Roman" w:hAnsi="Times New Roman" w:eastAsia="Times New Roman" w:cs="Times New Roman"/>
          <w:b/>
          <w:bCs/>
          <w:sz w:val="22"/>
          <w:szCs w:val="22"/>
          <w:lang w:eastAsia="zh-CN"/>
        </w:rPr>
        <w:t xml:space="preserve">3GPP TSG RAN WG1 </w:t>
      </w:r>
      <w:r>
        <w:rPr>
          <w:rFonts w:ascii="Times New Roman" w:hAnsi="Times New Roman" w:eastAsia="Times New Roman" w:cs="Times New Roman"/>
          <w:b/>
          <w:bCs/>
          <w:sz w:val="22"/>
          <w:szCs w:val="22"/>
          <w:lang w:val="en-GB"/>
        </w:rPr>
        <w:t xml:space="preserve">#120-bis                                            </w:t>
      </w:r>
      <w:r>
        <w:tab/>
      </w:r>
      <w:r>
        <w:rPr>
          <w:rFonts w:ascii="Times New Roman" w:hAnsi="Times New Roman" w:eastAsia="Times New Roman" w:cs="Times New Roman"/>
          <w:b/>
          <w:bCs/>
          <w:sz w:val="22"/>
          <w:szCs w:val="22"/>
          <w:lang w:val="en-GB"/>
        </w:rPr>
        <w:t xml:space="preserve">    </w:t>
      </w:r>
      <w:r>
        <w:rPr>
          <w:rFonts w:hint="default" w:ascii="Times New Roman" w:hAnsi="Times New Roman" w:eastAsia="Times New Roman" w:cs="Times New Roman"/>
          <w:b/>
          <w:bCs/>
          <w:sz w:val="22"/>
          <w:szCs w:val="22"/>
        </w:rPr>
        <w:t>R1-2502913</w:t>
      </w:r>
    </w:p>
    <w:p>
      <w:pPr>
        <w:tabs>
          <w:tab w:val="center" w:pos="4536"/>
          <w:tab w:val="right" w:pos="9072"/>
        </w:tabs>
        <w:spacing w:before="0" w:after="0" w:line="240" w:lineRule="auto"/>
        <w:ind w:left="-2" w:firstLine="0"/>
        <w:rPr>
          <w:rFonts w:ascii="Times New Roman" w:hAnsi="Times New Roman" w:eastAsia="Times New Roman" w:cs="Times New Roman"/>
          <w:sz w:val="22"/>
          <w:szCs w:val="22"/>
        </w:rPr>
      </w:pPr>
      <w:r>
        <w:rPr>
          <w:rFonts w:ascii="Times New Roman" w:hAnsi="Times New Roman" w:eastAsia="Times New Roman" w:cs="Times New Roman"/>
          <w:b/>
          <w:bCs/>
          <w:sz w:val="22"/>
          <w:szCs w:val="22"/>
          <w:lang w:eastAsia="zh-CN"/>
        </w:rPr>
        <w:t>Wuhan, C</w:t>
      </w:r>
      <w:r>
        <w:rPr>
          <w:rFonts w:hint="default" w:ascii="Times New Roman" w:hAnsi="Times New Roman" w:eastAsia="Times New Roman" w:cs="Times New Roman"/>
          <w:b/>
          <w:bCs/>
          <w:sz w:val="22"/>
          <w:szCs w:val="22"/>
          <w:lang w:val="en-US" w:eastAsia="zh-CN"/>
        </w:rPr>
        <w:t>hina</w:t>
      </w:r>
      <w:bookmarkStart w:id="0" w:name="_GoBack"/>
      <w:bookmarkEnd w:id="0"/>
      <w:r>
        <w:rPr>
          <w:rFonts w:ascii="Times New Roman" w:hAnsi="Times New Roman" w:eastAsia="Times New Roman" w:cs="Times New Roman"/>
          <w:b/>
          <w:bCs/>
          <w:sz w:val="22"/>
          <w:szCs w:val="22"/>
          <w:lang w:eastAsia="zh-CN"/>
        </w:rPr>
        <w:t xml:space="preserve">, </w:t>
      </w:r>
      <w:r>
        <w:rPr>
          <w:rFonts w:ascii="Times New Roman" w:hAnsi="Times New Roman" w:eastAsia="Times New Roman" w:cs="Times New Roman"/>
          <w:b/>
          <w:bCs/>
          <w:sz w:val="22"/>
          <w:szCs w:val="22"/>
        </w:rPr>
        <w:t>7</w:t>
      </w:r>
      <w:r>
        <w:rPr>
          <w:rFonts w:ascii="Times New Roman" w:hAnsi="Times New Roman" w:eastAsia="Times New Roman" w:cs="Times New Roman"/>
          <w:b/>
          <w:bCs/>
          <w:sz w:val="22"/>
          <w:szCs w:val="22"/>
          <w:vertAlign w:val="superscript"/>
          <w:lang w:eastAsia="zh-CN"/>
        </w:rPr>
        <w:t>th</w:t>
      </w:r>
      <w:r>
        <w:rPr>
          <w:rFonts w:ascii="Times New Roman" w:hAnsi="Times New Roman" w:eastAsia="Times New Roman" w:cs="Times New Roman"/>
          <w:b/>
          <w:bCs/>
          <w:sz w:val="22"/>
          <w:szCs w:val="22"/>
          <w:lang w:eastAsia="zh-CN"/>
        </w:rPr>
        <w:t xml:space="preserve"> – 11</w:t>
      </w:r>
      <w:r>
        <w:rPr>
          <w:rFonts w:ascii="Times New Roman" w:hAnsi="Times New Roman" w:eastAsia="Times New Roman" w:cs="Times New Roman"/>
          <w:b/>
          <w:bCs/>
          <w:sz w:val="22"/>
          <w:szCs w:val="22"/>
          <w:vertAlign w:val="superscript"/>
        </w:rPr>
        <w:t>th</w:t>
      </w:r>
      <w:r>
        <w:rPr>
          <w:rFonts w:ascii="Times New Roman" w:hAnsi="Times New Roman" w:eastAsia="Times New Roman" w:cs="Times New Roman"/>
          <w:b/>
          <w:bCs/>
          <w:sz w:val="22"/>
          <w:szCs w:val="22"/>
          <w:lang w:eastAsia="zh-CN"/>
        </w:rPr>
        <w:t>,</w:t>
      </w:r>
      <w:r>
        <w:rPr>
          <w:rFonts w:ascii="Times New Roman" w:hAnsi="Times New Roman" w:eastAsia="Times New Roman" w:cs="Times New Roman"/>
          <w:b/>
          <w:bCs/>
          <w:sz w:val="22"/>
          <w:szCs w:val="22"/>
        </w:rPr>
        <w:t xml:space="preserve"> April,</w:t>
      </w:r>
      <w:r>
        <w:rPr>
          <w:rFonts w:ascii="Times New Roman" w:hAnsi="Times New Roman" w:eastAsia="Times New Roman" w:cs="Times New Roman"/>
          <w:b/>
          <w:bCs/>
          <w:sz w:val="22"/>
          <w:szCs w:val="22"/>
          <w:lang w:eastAsia="zh-CN"/>
        </w:rPr>
        <w:t xml:space="preserve"> 202</w:t>
      </w:r>
      <w:r>
        <w:rPr>
          <w:rFonts w:ascii="Times New Roman" w:hAnsi="Times New Roman" w:eastAsia="Times New Roman" w:cs="Times New Roman"/>
          <w:b/>
          <w:bCs/>
          <w:sz w:val="22"/>
          <w:szCs w:val="22"/>
        </w:rPr>
        <w:t>5</w:t>
      </w:r>
    </w:p>
    <w:p>
      <w:pPr>
        <w:tabs>
          <w:tab w:val="left" w:pos="1800"/>
          <w:tab w:val="right" w:pos="9072"/>
        </w:tabs>
        <w:spacing w:before="0" w:after="0" w:line="240" w:lineRule="auto"/>
        <w:ind w:left="1798" w:hanging="1800"/>
        <w:rPr>
          <w:rFonts w:ascii="Times New Roman" w:hAnsi="Times New Roman" w:eastAsia="Times New Roman" w:cs="Times New Roman"/>
          <w:sz w:val="22"/>
          <w:szCs w:val="22"/>
        </w:rPr>
      </w:pPr>
    </w:p>
    <w:p>
      <w:pPr>
        <w:tabs>
          <w:tab w:val="left" w:pos="1800"/>
          <w:tab w:val="right" w:pos="9072"/>
        </w:tabs>
        <w:spacing w:before="0" w:after="0" w:line="240" w:lineRule="auto"/>
        <w:ind w:left="1798" w:hanging="1800"/>
        <w:rPr>
          <w:rFonts w:ascii="Times New Roman" w:hAnsi="Times New Roman" w:eastAsia="Times New Roman" w:cs="Times New Roman"/>
          <w:sz w:val="22"/>
          <w:szCs w:val="22"/>
        </w:rPr>
      </w:pPr>
      <w:r>
        <w:rPr>
          <w:rFonts w:ascii="Times New Roman" w:hAnsi="Times New Roman" w:eastAsia="Times New Roman" w:cs="Times New Roman"/>
          <w:b/>
          <w:bCs/>
          <w:sz w:val="22"/>
          <w:szCs w:val="22"/>
          <w:lang w:eastAsia="zh-CN"/>
        </w:rPr>
        <w:t>Source:</w:t>
      </w:r>
      <w:r>
        <w:tab/>
      </w:r>
      <w:r>
        <w:rPr>
          <w:rFonts w:ascii="Times New Roman" w:hAnsi="Times New Roman" w:eastAsia="Times New Roman" w:cs="Times New Roman"/>
          <w:b/>
          <w:bCs/>
          <w:sz w:val="22"/>
          <w:szCs w:val="22"/>
          <w:lang w:eastAsia="zh-CN"/>
        </w:rPr>
        <w:t>CEWiT</w:t>
      </w:r>
    </w:p>
    <w:p>
      <w:pPr>
        <w:tabs>
          <w:tab w:val="left" w:pos="1800"/>
          <w:tab w:val="right" w:pos="9072"/>
        </w:tabs>
        <w:spacing w:before="0" w:after="0" w:line="240" w:lineRule="auto"/>
        <w:ind w:left="1798" w:hanging="1800"/>
        <w:rPr>
          <w:rFonts w:ascii="Times New Roman" w:hAnsi="Times New Roman" w:eastAsia="Times New Roman" w:cs="Times New Roman"/>
          <w:sz w:val="22"/>
          <w:szCs w:val="22"/>
        </w:rPr>
      </w:pPr>
      <w:r>
        <w:rPr>
          <w:rFonts w:ascii="Times New Roman" w:hAnsi="Times New Roman" w:eastAsia="Times New Roman" w:cs="Times New Roman"/>
          <w:b/>
          <w:bCs/>
          <w:sz w:val="22"/>
          <w:szCs w:val="22"/>
          <w:lang w:eastAsia="zh-CN"/>
        </w:rPr>
        <w:t>Title:</w:t>
      </w:r>
      <w:r>
        <w:tab/>
      </w:r>
      <w:r>
        <w:rPr>
          <w:rFonts w:ascii="Times New Roman" w:hAnsi="Times New Roman" w:eastAsia="Times New Roman" w:cs="Times New Roman"/>
          <w:b/>
          <w:bCs/>
          <w:sz w:val="22"/>
          <w:szCs w:val="22"/>
          <w:lang w:eastAsia="zh-CN"/>
        </w:rPr>
        <w:t>Discussion on SBFD TX/RX/measurement procedures</w:t>
      </w:r>
    </w:p>
    <w:p>
      <w:pPr>
        <w:tabs>
          <w:tab w:val="left" w:pos="1800"/>
          <w:tab w:val="center" w:pos="4536"/>
          <w:tab w:val="right" w:pos="9072"/>
        </w:tabs>
        <w:spacing w:before="0" w:after="0" w:line="240" w:lineRule="auto"/>
        <w:ind w:left="-2" w:firstLine="0"/>
        <w:rPr>
          <w:rFonts w:ascii="Times New Roman" w:hAnsi="Times New Roman" w:eastAsia="Times New Roman" w:cs="Times New Roman"/>
          <w:sz w:val="22"/>
          <w:szCs w:val="22"/>
        </w:rPr>
      </w:pPr>
      <w:r>
        <w:rPr>
          <w:rFonts w:ascii="Times New Roman" w:hAnsi="Times New Roman" w:eastAsia="Times New Roman" w:cs="Times New Roman"/>
          <w:b/>
          <w:bCs/>
          <w:sz w:val="22"/>
          <w:szCs w:val="22"/>
          <w:lang w:eastAsia="zh-CN"/>
        </w:rPr>
        <w:t>Agenda Item:</w:t>
      </w:r>
      <w:r>
        <w:tab/>
      </w:r>
      <w:r>
        <w:rPr>
          <w:rFonts w:ascii="Times New Roman" w:hAnsi="Times New Roman" w:eastAsia="Times New Roman" w:cs="Times New Roman"/>
          <w:b/>
          <w:bCs/>
          <w:sz w:val="22"/>
          <w:szCs w:val="22"/>
          <w:lang w:eastAsia="zh-CN"/>
        </w:rPr>
        <w:t>9.3.1</w:t>
      </w:r>
    </w:p>
    <w:p>
      <w:pPr>
        <w:tabs>
          <w:tab w:val="left" w:pos="1800"/>
          <w:tab w:val="center" w:pos="4536"/>
          <w:tab w:val="right" w:pos="9072"/>
        </w:tabs>
        <w:spacing w:before="0" w:after="0" w:line="240" w:lineRule="auto"/>
        <w:ind w:left="-2" w:firstLine="0"/>
        <w:rPr>
          <w:rFonts w:ascii="Times New Roman" w:hAnsi="Times New Roman" w:eastAsia="Times New Roman" w:cs="Times New Roman"/>
          <w:b/>
          <w:bCs/>
          <w:sz w:val="22"/>
          <w:szCs w:val="22"/>
          <w:lang w:eastAsia="zh-CN"/>
        </w:rPr>
      </w:pPr>
      <w:r>
        <w:rPr>
          <w:rFonts w:ascii="Times New Roman" w:hAnsi="Times New Roman" w:eastAsia="Times New Roman" w:cs="Times New Roman"/>
          <w:b/>
          <w:bCs/>
          <w:sz w:val="22"/>
          <w:szCs w:val="22"/>
          <w:lang w:eastAsia="zh-CN"/>
        </w:rPr>
        <w:t>Document for:</w:t>
      </w:r>
      <w:r>
        <w:tab/>
      </w:r>
      <w:r>
        <w:rPr>
          <w:rFonts w:ascii="Times New Roman" w:hAnsi="Times New Roman" w:eastAsia="Times New Roman" w:cs="Times New Roman"/>
          <w:b/>
          <w:bCs/>
          <w:sz w:val="22"/>
          <w:szCs w:val="22"/>
          <w:lang w:eastAsia="zh-CN"/>
        </w:rPr>
        <w:t>Discussion and Decision</w:t>
      </w:r>
    </w:p>
    <w:p>
      <w:pPr>
        <w:tabs>
          <w:tab w:val="left" w:pos="1800"/>
          <w:tab w:val="center" w:pos="4536"/>
          <w:tab w:val="right" w:pos="9072"/>
        </w:tabs>
        <w:spacing w:before="0" w:after="0" w:line="240" w:lineRule="auto"/>
        <w:ind w:left="-2" w:firstLine="0"/>
        <w:rPr>
          <w:rFonts w:ascii="Times New Roman" w:hAnsi="Times New Roman" w:eastAsia="Times New Roman" w:cs="Times New Roman"/>
          <w:b/>
          <w:bCs/>
          <w:sz w:val="22"/>
          <w:szCs w:val="22"/>
          <w:lang w:eastAsia="zh-CN"/>
        </w:rPr>
      </w:pPr>
    </w:p>
    <w:p>
      <w:pPr>
        <w:pBdr>
          <w:bottom w:val="single" w:color="000000" w:sz="4" w:space="1"/>
        </w:pBdr>
        <w:tabs>
          <w:tab w:val="left" w:pos="2552"/>
        </w:tabs>
        <w:spacing w:before="0" w:after="0" w:line="240" w:lineRule="auto"/>
        <w:ind w:left="-2" w:firstLine="0"/>
        <w:rPr>
          <w:rFonts w:ascii="Times New Roman" w:hAnsi="Times New Roman" w:eastAsia="Times New Roman" w:cs="Times New Roman"/>
          <w:sz w:val="20"/>
          <w:szCs w:val="20"/>
          <w:lang w:eastAsia="zh-CN"/>
        </w:rPr>
      </w:pPr>
    </w:p>
    <w:p>
      <w:pPr>
        <w:tabs>
          <w:tab w:val="left" w:pos="1800"/>
          <w:tab w:val="center" w:pos="4536"/>
          <w:tab w:val="right" w:pos="9072"/>
        </w:tabs>
        <w:spacing w:before="0" w:after="0" w:line="240" w:lineRule="auto"/>
        <w:ind w:left="-2" w:firstLine="0"/>
        <w:rPr>
          <w:rFonts w:ascii="Times New Roman" w:hAnsi="Times New Roman" w:eastAsia="Times New Roman" w:cs="Times New Roman"/>
          <w:b/>
          <w:bCs/>
          <w:sz w:val="22"/>
          <w:szCs w:val="22"/>
          <w:lang w:eastAsia="zh-CN"/>
        </w:rPr>
      </w:pPr>
    </w:p>
    <w:p>
      <w:pPr>
        <w:pStyle w:val="2"/>
        <w:widowControl w:val="0"/>
        <w:rPr>
          <w:rStyle w:val="22"/>
          <w:rFonts w:ascii="Times New Roman" w:hAnsi="Times New Roman" w:eastAsia="Times New Roman" w:cs="Times New Roman"/>
          <w:b/>
          <w:bCs/>
          <w:sz w:val="32"/>
          <w:szCs w:val="32"/>
        </w:rPr>
      </w:pPr>
      <w:r>
        <w:rPr>
          <w:rFonts w:ascii="Times New Roman" w:hAnsi="Times New Roman" w:eastAsia="Times New Roman" w:cs="Times New Roman"/>
          <w:b/>
          <w:bCs/>
          <w:sz w:val="32"/>
          <w:szCs w:val="32"/>
        </w:rPr>
        <w:t>1</w:t>
      </w:r>
      <w:r>
        <w:rPr>
          <w:rStyle w:val="22"/>
          <w:rFonts w:ascii="Times New Roman" w:hAnsi="Times New Roman" w:eastAsia="Times New Roman" w:cs="Times New Roman"/>
          <w:b/>
          <w:bCs/>
          <w:sz w:val="32"/>
          <w:szCs w:val="32"/>
        </w:rPr>
        <w:t>.Introduction</w:t>
      </w:r>
    </w:p>
    <w:p>
      <w:pPr>
        <w:keepNext/>
        <w:keepLines/>
        <w:widowControl w:val="0"/>
        <w:rPr>
          <w:rFonts w:ascii="Times New Roman" w:hAnsi="Times New Roman" w:eastAsia="Times New Roman" w:cs="Times New Roman"/>
        </w:rPr>
      </w:pPr>
      <w:r>
        <w:rPr>
          <w:rFonts w:ascii="Times New Roman" w:hAnsi="Times New Roman" w:eastAsia="Times New Roman" w:cs="Times New Roman"/>
        </w:rPr>
        <w:t>The revised WID [1] on duplex evolution was agreed in RAN #104 [1]. The scope of WI comprises enhancements to support subband non-overlapping full duplex (SBFD) operation at gNB and enhancements for CLI handling. The discussion started in RAN1#116 [2] and several agreements were made in subsequent meetings [3-8]. This contribution further discusses the enhancements needed for implementing SBFD at gNB.</w:t>
      </w:r>
    </w:p>
    <w:p>
      <w:pPr>
        <w:keepNext/>
        <w:keepLines/>
        <w:widowControl w:val="0"/>
        <w:rPr>
          <w:rFonts w:ascii="Times New Roman" w:hAnsi="Times New Roman" w:eastAsia="Times New Roman" w:cs="Times New Roman"/>
        </w:rPr>
      </w:pPr>
    </w:p>
    <w:p>
      <w:pPr>
        <w:pStyle w:val="3"/>
        <w:widowControl w:val="0"/>
        <w:rPr>
          <w:rFonts w:ascii="Times New Roman" w:hAnsi="Times New Roman" w:eastAsia="Times New Roman" w:cs="Times New Roman"/>
          <w:b/>
          <w:bCs/>
        </w:rPr>
      </w:pPr>
      <w:r>
        <w:rPr>
          <w:rFonts w:ascii="Times New Roman" w:hAnsi="Times New Roman" w:eastAsia="Times New Roman" w:cs="Times New Roman"/>
          <w:b/>
          <w:bCs/>
        </w:rPr>
        <w:t>2.Impact of SBFD on CSI-RS framework</w:t>
      </w:r>
    </w:p>
    <w:p>
      <w:pPr>
        <w:keepNext/>
        <w:keepLines/>
        <w:widowControl w:val="0"/>
        <w:spacing w:before="160" w:after="80" w:line="240" w:lineRule="auto"/>
        <w:ind w:firstLine="720"/>
        <w:jc w:val="both"/>
        <w:rPr>
          <w:rFonts w:ascii="Times New Roman" w:hAnsi="Times New Roman" w:eastAsia="Times New Roman" w:cs="Times New Roman"/>
          <w:b/>
          <w:bCs/>
          <w:color w:val="104862" w:themeColor="accent1" w:themeShade="BF"/>
          <w:sz w:val="28"/>
          <w:szCs w:val="28"/>
        </w:rPr>
      </w:pPr>
      <w:r>
        <w:rPr>
          <w:rFonts w:ascii="Times New Roman" w:hAnsi="Times New Roman" w:eastAsia="Times New Roman" w:cs="Times New Roman"/>
          <w:b/>
          <w:bCs/>
          <w:color w:val="156082" w:themeColor="accent1" w:themeTint="FF"/>
          <w:sz w:val="28"/>
          <w:szCs w:val="28"/>
          <w14:textFill>
            <w14:solidFill>
              <w14:schemeClr w14:val="accent1">
                <w14:lumMod w14:val="100000"/>
                <w14:lumOff w14:val="0"/>
              </w14:schemeClr>
            </w14:solidFill>
          </w14:textFill>
        </w:rPr>
        <w:t>2.1 Impact on CSI measurement and Reporting</w:t>
      </w:r>
    </w:p>
    <w:p>
      <w:pPr>
        <w:widowControl w:val="0"/>
        <w:spacing w:before="0" w:after="140" w:line="276" w:lineRule="auto"/>
        <w:jc w:val="both"/>
        <w:rPr>
          <w:rFonts w:ascii="Times New Roman" w:hAnsi="Times New Roman" w:eastAsia="Times New Roman" w:cs="Times New Roman"/>
        </w:rPr>
      </w:pPr>
      <w:r>
        <w:rPr>
          <w:rFonts w:ascii="Times New Roman" w:hAnsi="Times New Roman" w:eastAsia="Times New Roman" w:cs="Times New Roman"/>
        </w:rPr>
        <w:t xml:space="preserve">In a network enabled with SBFD operation the channel condition (E.g., interference) vary for a time resource configured as SBFD subband time location and a time resource not configured as SBFD subband time location. Therefore, the value of CSI report quantity (E.g., CQI) varies for SBFD subband time location and legacy time resource. Further, the CSI-RS resources overlapping with UL-SB is punctured and are not used for measurement. Therefore, the measurement accuracy can also vary in SBFD subband time location compared to legacy time resource. Therefore, UE measuring CSI parameters on both type of time resources and averaging the measured parameters </w:t>
      </w:r>
      <w:r>
        <w:rPr>
          <w:rFonts w:ascii="Times New Roman" w:hAnsi="Times New Roman" w:eastAsia="Times New Roman" w:cs="Times New Roman"/>
          <w:lang w:val="en-IN"/>
        </w:rPr>
        <w:t xml:space="preserve">can result in error and inaccuracy. Therefore, gNB should configure the UE to measure and report CSI parameters separately for a </w:t>
      </w:r>
      <w:r>
        <w:rPr>
          <w:rFonts w:ascii="Times New Roman" w:hAnsi="Times New Roman" w:eastAsia="Times New Roman" w:cs="Times New Roman"/>
        </w:rPr>
        <w:t>SBFD subband time location and a legacy time resource. The following agreements were made in previous meetings [4,6 and 8].</w:t>
      </w:r>
    </w:p>
    <w:tbl>
      <w:tblPr>
        <w:tblStyle w:val="20"/>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9360" w:type="dxa"/>
          </w:tcPr>
          <w:p>
            <w:pPr>
              <w:widowControl w:val="0"/>
              <w:spacing w:before="0" w:after="0" w:line="240" w:lineRule="auto"/>
              <w:jc w:val="both"/>
              <w:rPr>
                <w:rFonts w:ascii="Times New Roman" w:hAnsi="Times New Roman" w:eastAsia="Times New Roman" w:cs="Times New Roman"/>
                <w:sz w:val="21"/>
                <w:szCs w:val="21"/>
              </w:rPr>
            </w:pPr>
            <w:r>
              <w:rPr>
                <w:rFonts w:ascii="Times New Roman" w:hAnsi="Times New Roman" w:eastAsia="Times New Roman" w:cs="Times New Roman"/>
                <w:b/>
                <w:bCs/>
                <w:sz w:val="21"/>
                <w:szCs w:val="21"/>
                <w:highlight w:val="green"/>
              </w:rPr>
              <w:t>Agreement (RAN1#117)</w:t>
            </w:r>
          </w:p>
          <w:p>
            <w:pPr>
              <w:widowControl w:val="0"/>
              <w:spacing w:before="0" w:after="0" w:line="240" w:lineRule="auto"/>
              <w:jc w:val="both"/>
              <w:rPr>
                <w:rFonts w:ascii="Times New Roman" w:hAnsi="Times New Roman" w:eastAsia="Times New Roman" w:cs="Times New Roman"/>
              </w:rPr>
            </w:pPr>
            <w:r>
              <w:rPr>
                <w:rFonts w:ascii="Times New Roman" w:hAnsi="Times New Roman" w:eastAsia="Times New Roman" w:cs="Times New Roman"/>
              </w:rPr>
              <w:t>For CSI report associated with periodic/semi-persistent CSI-RS, discuss and decide whether to support the following options.</w:t>
            </w:r>
          </w:p>
          <w:p>
            <w:pPr>
              <w:pStyle w:val="43"/>
              <w:numPr>
                <w:ilvl w:val="0"/>
                <w:numId w:val="1"/>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rPr>
              <w:t xml:space="preserve">Option A: For separate CSI reports on SBFD and non-SBFD, one </w:t>
            </w:r>
            <w:r>
              <w:rPr>
                <w:rFonts w:ascii="Times New Roman" w:hAnsi="Times New Roman" w:eastAsia="Times New Roman" w:cs="Times New Roman"/>
                <w:i/>
                <w:iCs/>
              </w:rPr>
              <w:t>CSI-ReportConfig</w:t>
            </w:r>
            <w:r>
              <w:rPr>
                <w:rFonts w:ascii="Times New Roman" w:hAnsi="Times New Roman" w:eastAsia="Times New Roman" w:cs="Times New Roman"/>
              </w:rPr>
              <w:t xml:space="preserve"> is associated with CSI-RS(s) restricted to SBFD symbols only and the second </w:t>
            </w:r>
            <w:r>
              <w:rPr>
                <w:rFonts w:ascii="Times New Roman" w:hAnsi="Times New Roman" w:eastAsia="Times New Roman" w:cs="Times New Roman"/>
                <w:i/>
                <w:iCs/>
              </w:rPr>
              <w:t>CSI-ReportConfig</w:t>
            </w:r>
            <w:r>
              <w:rPr>
                <w:rFonts w:ascii="Times New Roman" w:hAnsi="Times New Roman" w:eastAsia="Times New Roman" w:cs="Times New Roman"/>
              </w:rPr>
              <w:t xml:space="preserve"> is associated with CSI-RS(s) restricted to non-SBFD symbols only.</w:t>
            </w:r>
          </w:p>
          <w:p>
            <w:pPr>
              <w:pStyle w:val="43"/>
              <w:numPr>
                <w:ilvl w:val="0"/>
                <w:numId w:val="2"/>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rPr>
              <w:t xml:space="preserve">gNB configuration may not ensure that the CSI-RS associated with each </w:t>
            </w:r>
            <w:r>
              <w:rPr>
                <w:rFonts w:ascii="Times New Roman" w:hAnsi="Times New Roman" w:eastAsia="Times New Roman" w:cs="Times New Roman"/>
                <w:i/>
                <w:iCs/>
              </w:rPr>
              <w:t>CSI-ReportConfig</w:t>
            </w:r>
            <w:r>
              <w:rPr>
                <w:rFonts w:ascii="Times New Roman" w:hAnsi="Times New Roman" w:eastAsia="Times New Roman" w:cs="Times New Roman"/>
              </w:rPr>
              <w:t xml:space="preserve"> is confined to either SBFD symbols or non-SBFD symbols only.</w:t>
            </w:r>
          </w:p>
          <w:p>
            <w:pPr>
              <w:pStyle w:val="43"/>
              <w:numPr>
                <w:ilvl w:val="0"/>
                <w:numId w:val="3"/>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rPr>
              <w:t xml:space="preserve">For the </w:t>
            </w:r>
            <w:r>
              <w:rPr>
                <w:rFonts w:ascii="Times New Roman" w:hAnsi="Times New Roman" w:eastAsia="Times New Roman" w:cs="Times New Roman"/>
                <w:i/>
                <w:iCs/>
              </w:rPr>
              <w:t>CSI-ReportConfig</w:t>
            </w:r>
            <w:r>
              <w:rPr>
                <w:rFonts w:ascii="Times New Roman" w:hAnsi="Times New Roman" w:eastAsia="Times New Roman" w:cs="Times New Roman"/>
              </w:rPr>
              <w:t xml:space="preserve"> associated with CSI-RS(s) restricted to SBFD symbols only, only CSI-RS transmission occasions within SBFD symbols are used for CSI derivation. For the </w:t>
            </w:r>
            <w:r>
              <w:rPr>
                <w:rFonts w:ascii="Times New Roman" w:hAnsi="Times New Roman" w:eastAsia="Times New Roman" w:cs="Times New Roman"/>
                <w:i/>
                <w:iCs/>
              </w:rPr>
              <w:t>CSI-ReportConfig</w:t>
            </w:r>
            <w:r>
              <w:rPr>
                <w:rFonts w:ascii="Times New Roman" w:hAnsi="Times New Roman" w:eastAsia="Times New Roman" w:cs="Times New Roman"/>
              </w:rPr>
              <w:t xml:space="preserve"> associated with CSI-RS(s) restricted to non-SBFD symbols only, only CSI-RS transmission occasions within non-SBFD symbols are used for CSI derivation.</w:t>
            </w:r>
          </w:p>
          <w:p>
            <w:pPr>
              <w:pStyle w:val="43"/>
              <w:numPr>
                <w:ilvl w:val="0"/>
                <w:numId w:val="1"/>
              </w:numPr>
              <w:spacing w:before="0" w:after="0" w:line="240" w:lineRule="auto"/>
              <w:contextualSpacing/>
              <w:rPr>
                <w:rFonts w:ascii="Times New Roman" w:hAnsi="Times New Roman" w:eastAsia="Times New Roman" w:cs="Times New Roman"/>
              </w:rPr>
            </w:pPr>
            <w:r>
              <w:rPr>
                <w:rFonts w:ascii="Times New Roman" w:hAnsi="Times New Roman" w:eastAsia="Times New Roman" w:cs="Times New Roman"/>
              </w:rPr>
              <w:t xml:space="preserve">Option B: Enhance Rel-18 NES CSI reporting framework to support one </w:t>
            </w:r>
            <w:r>
              <w:rPr>
                <w:rFonts w:ascii="Times New Roman" w:hAnsi="Times New Roman" w:eastAsia="Times New Roman" w:cs="Times New Roman"/>
                <w:i/>
                <w:iCs/>
              </w:rPr>
              <w:t>CSI-ReportConfig</w:t>
            </w:r>
            <w:r>
              <w:rPr>
                <w:rFonts w:ascii="Times New Roman" w:hAnsi="Times New Roman" w:eastAsia="Times New Roman" w:cs="Times New Roman"/>
              </w:rPr>
              <w:t xml:space="preserve"> with one sub-configuration associated with SBFD symbols and the other sub-configuration associated with non-SBFD symbols</w:t>
            </w:r>
          </w:p>
          <w:p>
            <w:pPr>
              <w:spacing w:before="0" w:after="0" w:line="240" w:lineRule="auto"/>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r>
              <w:rPr>
                <w:rFonts w:ascii="Times New Roman" w:hAnsi="Times New Roman" w:eastAsia="Times New Roman" w:cs="Times New Roman"/>
                <w:b/>
                <w:bCs/>
                <w:highlight w:val="green"/>
              </w:rPr>
              <w:t>Agreement (RAN1#118-bis)</w:t>
            </w:r>
          </w:p>
          <w:p>
            <w:pPr>
              <w:widowControl w:val="0"/>
              <w:spacing w:before="0" w:after="0" w:line="240" w:lineRule="auto"/>
              <w:jc w:val="both"/>
              <w:rPr>
                <w:rFonts w:ascii="Times New Roman" w:hAnsi="Times New Roman" w:eastAsia="Times New Roman" w:cs="Times New Roman"/>
              </w:rPr>
            </w:pPr>
            <w:r>
              <w:rPr>
                <w:rFonts w:ascii="Times New Roman" w:hAnsi="Times New Roman" w:eastAsia="Times New Roman" w:cs="Times New Roman"/>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pPr>
              <w:widowControl w:val="0"/>
              <w:spacing w:before="0" w:after="0" w:line="240" w:lineRule="auto"/>
              <w:jc w:val="both"/>
              <w:rPr>
                <w:rFonts w:ascii="Times New Roman" w:hAnsi="Times New Roman" w:eastAsia="Times New Roman" w:cs="Times New Roman"/>
              </w:rPr>
            </w:pPr>
          </w:p>
          <w:p>
            <w:pPr>
              <w:spacing w:before="0" w:after="0" w:line="240" w:lineRule="auto"/>
              <w:jc w:val="both"/>
              <w:rPr>
                <w:rFonts w:ascii="Times New Roman" w:hAnsi="Times New Roman" w:eastAsia="Times New Roman" w:cs="Times New Roman"/>
                <w:b/>
                <w:bCs/>
                <w:highlight w:val="green"/>
                <w:lang w:val="en-GB"/>
              </w:rPr>
            </w:pPr>
            <w:r>
              <w:rPr>
                <w:rFonts w:ascii="Times New Roman" w:hAnsi="Times New Roman" w:eastAsia="Times New Roman" w:cs="Times New Roman"/>
                <w:b/>
                <w:bCs/>
                <w:highlight w:val="green"/>
                <w:lang w:val="en-GB"/>
              </w:rPr>
              <w:t>Agreement (RAN#120)</w:t>
            </w:r>
          </w:p>
          <w:p>
            <w:pPr>
              <w:spacing w:before="0" w:after="0" w:line="240" w:lineRule="auto"/>
              <w:jc w:val="both"/>
              <w:rPr>
                <w:rFonts w:ascii="Times New Roman" w:hAnsi="Times New Roman" w:eastAsia="Times New Roman" w:cs="Times New Roman"/>
                <w:lang w:val="en-GB"/>
              </w:rPr>
            </w:pPr>
            <w:r>
              <w:rPr>
                <w:rFonts w:ascii="Times New Roman" w:hAnsi="Times New Roman" w:eastAsia="Times New Roman" w:cs="Times New Roman"/>
                <w:lang w:val="en-GB"/>
              </w:rPr>
              <w:t xml:space="preserve">For a CSI report associated with periodic/semi-persistent CSI-RS, the valid symbol type for CSI derivation is configured in </w:t>
            </w:r>
            <w:r>
              <w:rPr>
                <w:rFonts w:ascii="Times New Roman" w:hAnsi="Times New Roman" w:eastAsia="Times New Roman" w:cs="Times New Roman"/>
                <w:i/>
                <w:iCs/>
                <w:lang w:val="en-GB"/>
              </w:rPr>
              <w:t>CSI-ReportConfig</w:t>
            </w:r>
            <w:r>
              <w:rPr>
                <w:rFonts w:ascii="Times New Roman" w:hAnsi="Times New Roman" w:eastAsia="Times New Roman" w:cs="Times New Roman"/>
                <w:lang w:val="en-GB"/>
              </w:rPr>
              <w:t>.</w:t>
            </w:r>
          </w:p>
          <w:p>
            <w:pPr>
              <w:widowControl w:val="0"/>
              <w:spacing w:before="0" w:after="0" w:line="240" w:lineRule="auto"/>
              <w:jc w:val="both"/>
              <w:rPr>
                <w:rFonts w:ascii="Times New Roman" w:hAnsi="Times New Roman" w:eastAsia="Times New Roman" w:cs="Times New Roman"/>
                <w:sz w:val="21"/>
                <w:szCs w:val="21"/>
              </w:rPr>
            </w:pPr>
          </w:p>
        </w:tc>
      </w:tr>
    </w:tbl>
    <w:p>
      <w:pPr>
        <w:tabs>
          <w:tab w:val="left" w:pos="1800"/>
          <w:tab w:val="center" w:pos="4536"/>
          <w:tab w:val="right" w:pos="9072"/>
        </w:tabs>
        <w:spacing w:before="0" w:after="140" w:line="276" w:lineRule="auto"/>
        <w:jc w:val="both"/>
        <w:rPr>
          <w:rFonts w:ascii="Times New Roman" w:hAnsi="Times New Roman" w:eastAsia="Times New Roman" w:cs="Times New Roman"/>
        </w:rPr>
      </w:pPr>
      <w:r>
        <w:rPr>
          <w:rFonts w:ascii="Times New Roman" w:hAnsi="Times New Roman" w:eastAsia="Times New Roman" w:cs="Times New Roman"/>
        </w:rPr>
        <w:t xml:space="preserve">Based on the agreement in RAN#120, the valid symbol type for CSI derivation is configured in </w:t>
      </w:r>
      <w:r>
        <w:rPr>
          <w:rFonts w:ascii="Times New Roman" w:hAnsi="Times New Roman" w:eastAsia="Times New Roman" w:cs="Times New Roman"/>
          <w:i/>
          <w:iCs/>
        </w:rPr>
        <w:t>CSI-ReportConfig</w:t>
      </w:r>
      <w:r>
        <w:rPr>
          <w:rFonts w:ascii="Times New Roman" w:hAnsi="Times New Roman" w:eastAsia="Times New Roman" w:cs="Times New Roman"/>
        </w:rPr>
        <w:t>. For configuring valid symbol type following options can be considered:</w:t>
      </w:r>
    </w:p>
    <w:p>
      <w:pPr>
        <w:pStyle w:val="43"/>
        <w:numPr>
          <w:ilvl w:val="0"/>
          <w:numId w:val="4"/>
        </w:numPr>
        <w:tabs>
          <w:tab w:val="left" w:pos="1800"/>
          <w:tab w:val="center" w:pos="4536"/>
          <w:tab w:val="right" w:pos="9072"/>
        </w:tabs>
        <w:spacing w:before="0" w:after="140" w:line="276" w:lineRule="auto"/>
        <w:contextualSpacing/>
        <w:jc w:val="both"/>
        <w:rPr>
          <w:rFonts w:ascii="Times New Roman" w:hAnsi="Times New Roman" w:eastAsia="Times New Roman" w:cs="Times New Roman"/>
        </w:rPr>
      </w:pPr>
      <w:r>
        <w:rPr>
          <w:rFonts w:ascii="Times New Roman" w:hAnsi="Times New Roman" w:eastAsia="Times New Roman" w:cs="Times New Roman"/>
        </w:rPr>
        <w:t xml:space="preserve">Alt 1: A new field </w:t>
      </w:r>
      <w:r>
        <w:rPr>
          <w:rFonts w:ascii="Times New Roman" w:hAnsi="Times New Roman" w:eastAsia="Times New Roman" w:cs="Times New Roman"/>
          <w:i/>
          <w:iCs/>
        </w:rPr>
        <w:t xml:space="preserve">CSI-ReportConfig-Type </w:t>
      </w:r>
      <w:r>
        <w:rPr>
          <w:rFonts w:ascii="Times New Roman" w:hAnsi="Times New Roman" w:eastAsia="Times New Roman" w:cs="Times New Roman"/>
        </w:rPr>
        <w:t>can</w:t>
      </w:r>
      <w:r>
        <w:rPr>
          <w:rFonts w:ascii="Times New Roman" w:hAnsi="Times New Roman" w:eastAsia="Times New Roman" w:cs="Times New Roman"/>
          <w:i/>
          <w:iCs/>
        </w:rPr>
        <w:t xml:space="preserve"> </w:t>
      </w:r>
      <w:r>
        <w:rPr>
          <w:rFonts w:ascii="Times New Roman" w:hAnsi="Times New Roman" w:eastAsia="Times New Roman" w:cs="Times New Roman"/>
        </w:rPr>
        <w:t xml:space="preserve">be introduced in </w:t>
      </w:r>
      <w:r>
        <w:rPr>
          <w:rFonts w:ascii="Times New Roman" w:hAnsi="Times New Roman" w:eastAsia="Times New Roman" w:cs="Times New Roman"/>
          <w:i/>
          <w:iCs/>
        </w:rPr>
        <w:t>CSI-ReportConfig</w:t>
      </w:r>
      <w:r>
        <w:rPr>
          <w:rFonts w:ascii="Times New Roman" w:hAnsi="Times New Roman" w:eastAsia="Times New Roman" w:cs="Times New Roman"/>
        </w:rPr>
        <w:t xml:space="preserve">. If </w:t>
      </w:r>
      <w:r>
        <w:rPr>
          <w:rFonts w:ascii="Times New Roman" w:hAnsi="Times New Roman" w:eastAsia="Times New Roman" w:cs="Times New Roman"/>
          <w:i/>
          <w:iCs/>
        </w:rPr>
        <w:t>CSI-ReportConfig-Type</w:t>
      </w:r>
      <w:r>
        <w:rPr>
          <w:rFonts w:ascii="Times New Roman" w:hAnsi="Times New Roman" w:eastAsia="Times New Roman" w:cs="Times New Roman"/>
        </w:rPr>
        <w:t xml:space="preserve">=SBFD, then the report configuration is for SBFD scenario and the UE is expected to measure parameters configured in </w:t>
      </w:r>
      <w:r>
        <w:rPr>
          <w:rFonts w:ascii="Times New Roman" w:hAnsi="Times New Roman" w:eastAsia="Times New Roman" w:cs="Times New Roman"/>
          <w:i/>
          <w:iCs/>
        </w:rPr>
        <w:t>ReportQuantity</w:t>
      </w:r>
      <w:r>
        <w:rPr>
          <w:rFonts w:ascii="Times New Roman" w:hAnsi="Times New Roman" w:eastAsia="Times New Roman" w:cs="Times New Roman"/>
        </w:rPr>
        <w:t xml:space="preserve"> using CSI-RS resources in SBFD symbols. If </w:t>
      </w:r>
      <w:r>
        <w:rPr>
          <w:rFonts w:ascii="Times New Roman" w:hAnsi="Times New Roman" w:eastAsia="Times New Roman" w:cs="Times New Roman"/>
          <w:i/>
          <w:iCs/>
        </w:rPr>
        <w:t>CSI-ReportConfig-Type</w:t>
      </w:r>
      <w:r>
        <w:rPr>
          <w:rFonts w:ascii="Times New Roman" w:hAnsi="Times New Roman" w:eastAsia="Times New Roman" w:cs="Times New Roman"/>
        </w:rPr>
        <w:t xml:space="preserve">=non-SBFD, then the report configuration is for non-SBFD scenario and the UE is expected to measure parameters configured in </w:t>
      </w:r>
      <w:r>
        <w:rPr>
          <w:rFonts w:ascii="Times New Roman" w:hAnsi="Times New Roman" w:eastAsia="Times New Roman" w:cs="Times New Roman"/>
          <w:i/>
          <w:iCs/>
        </w:rPr>
        <w:t>ReportQuantity</w:t>
      </w:r>
      <w:r>
        <w:rPr>
          <w:rFonts w:ascii="Times New Roman" w:hAnsi="Times New Roman" w:eastAsia="Times New Roman" w:cs="Times New Roman"/>
        </w:rPr>
        <w:t xml:space="preserve"> using CSI-RS resources in non-SBFD symbols.</w:t>
      </w:r>
    </w:p>
    <w:p>
      <w:pPr>
        <w:pStyle w:val="43"/>
        <w:tabs>
          <w:tab w:val="left" w:pos="1800"/>
          <w:tab w:val="center" w:pos="4536"/>
          <w:tab w:val="right" w:pos="9072"/>
        </w:tabs>
        <w:spacing w:before="0" w:after="140" w:line="276" w:lineRule="auto"/>
        <w:ind w:left="720" w:firstLine="0"/>
        <w:contextualSpacing/>
        <w:jc w:val="both"/>
        <w:rPr>
          <w:rFonts w:ascii="Times New Roman" w:hAnsi="Times New Roman" w:eastAsia="Times New Roman" w:cs="Times New Roman"/>
        </w:rPr>
      </w:pPr>
      <w:r>
        <w:rPr>
          <w:rFonts w:ascii="Times New Roman" w:hAnsi="Times New Roman" w:eastAsia="Times New Roman" w:cs="Times New Roman"/>
        </w:rPr>
        <w:t xml:space="preserve"> </w:t>
      </w:r>
    </w:p>
    <w:p>
      <w:pPr>
        <w:pStyle w:val="43"/>
        <w:numPr>
          <w:ilvl w:val="0"/>
          <w:numId w:val="4"/>
        </w:numPr>
        <w:tabs>
          <w:tab w:val="left" w:pos="1800"/>
          <w:tab w:val="center" w:pos="4536"/>
          <w:tab w:val="right" w:pos="9072"/>
        </w:tabs>
        <w:spacing w:before="0" w:after="140" w:line="276" w:lineRule="auto"/>
        <w:contextualSpacing/>
        <w:jc w:val="both"/>
        <w:rPr>
          <w:rFonts w:ascii="Times New Roman" w:hAnsi="Times New Roman" w:eastAsia="Times New Roman" w:cs="Times New Roman"/>
        </w:rPr>
      </w:pPr>
      <w:r>
        <w:rPr>
          <w:rFonts w:ascii="Times New Roman" w:hAnsi="Times New Roman" w:eastAsia="Times New Roman" w:cs="Times New Roman"/>
        </w:rPr>
        <w:t xml:space="preserve">Alt 2: Define format indicator for CSI report quantity impacted by SBFD scenario. The SBFD scenario may not be impacting all the CSI report quantities. E.g., the interference variation across SBFD and non-SBFD symbols impact the calculation of SINR and CQI in SBFD and non-SBFD symbols. However, the PMI and RI values can still remain same in SBFD and non-SBFD symbols. Therefore, a new IE </w:t>
      </w:r>
      <w:r>
        <w:rPr>
          <w:rFonts w:ascii="Times New Roman" w:hAnsi="Times New Roman" w:eastAsia="Times New Roman" w:cs="Times New Roman"/>
          <w:i/>
          <w:iCs/>
        </w:rPr>
        <w:t>CQIformatIndicator</w:t>
      </w:r>
      <w:r>
        <w:rPr>
          <w:rFonts w:ascii="Times New Roman" w:hAnsi="Times New Roman" w:eastAsia="Times New Roman" w:cs="Times New Roman"/>
        </w:rPr>
        <w:t xml:space="preserve"> can be introduced in </w:t>
      </w:r>
      <w:r>
        <w:rPr>
          <w:rFonts w:ascii="Times New Roman" w:hAnsi="Times New Roman" w:eastAsia="Times New Roman" w:cs="Times New Roman"/>
          <w:i/>
          <w:iCs/>
        </w:rPr>
        <w:t xml:space="preserve">CSI-ReportConfig, </w:t>
      </w:r>
      <w:r>
        <w:rPr>
          <w:rFonts w:ascii="Times New Roman" w:hAnsi="Times New Roman" w:eastAsia="Times New Roman" w:cs="Times New Roman"/>
        </w:rPr>
        <w:t xml:space="preserve">which specifies whether to measure the CQI using CSI-RS resource in SBFD or non-SBFD symbols. E.g., if the </w:t>
      </w:r>
      <w:r>
        <w:rPr>
          <w:rFonts w:ascii="Times New Roman" w:hAnsi="Times New Roman" w:eastAsia="Times New Roman" w:cs="Times New Roman"/>
          <w:i/>
          <w:iCs/>
        </w:rPr>
        <w:t xml:space="preserve">ReportQuantity=Cri-RI-PMI-CQI </w:t>
      </w:r>
      <w:r>
        <w:rPr>
          <w:rFonts w:ascii="Times New Roman" w:hAnsi="Times New Roman" w:eastAsia="Times New Roman" w:cs="Times New Roman"/>
        </w:rPr>
        <w:t>and</w:t>
      </w:r>
      <w:r>
        <w:rPr>
          <w:rFonts w:ascii="Times New Roman" w:hAnsi="Times New Roman" w:eastAsia="Times New Roman" w:cs="Times New Roman"/>
          <w:i/>
          <w:iCs/>
        </w:rPr>
        <w:t xml:space="preserve"> CQIformatIndicator=SBFD</w:t>
      </w:r>
      <w:r>
        <w:rPr>
          <w:rFonts w:ascii="Times New Roman" w:hAnsi="Times New Roman" w:eastAsia="Times New Roman" w:cs="Times New Roman"/>
        </w:rPr>
        <w:t>, then the UE computes CQI using CSI-RS resources in SBFD symbols alone, whereas the RI and PMI are computed using CSI-RS resources in both SBFD and non-SBFD symbols.</w:t>
      </w:r>
    </w:p>
    <w:p>
      <w:pPr>
        <w:pStyle w:val="43"/>
        <w:tabs>
          <w:tab w:val="left" w:pos="1800"/>
          <w:tab w:val="center" w:pos="4536"/>
          <w:tab w:val="right" w:pos="9072"/>
        </w:tabs>
        <w:spacing w:before="0" w:after="140" w:line="276" w:lineRule="auto"/>
        <w:ind w:left="720" w:firstLine="0"/>
        <w:contextualSpacing/>
        <w:jc w:val="both"/>
        <w:rPr>
          <w:rFonts w:ascii="Times New Roman" w:hAnsi="Times New Roman" w:eastAsia="Times New Roman" w:cs="Times New Roman"/>
        </w:rPr>
      </w:pPr>
    </w:p>
    <w:p>
      <w:pPr>
        <w:spacing w:before="0" w:after="240"/>
        <w:jc w:val="both"/>
        <w:rPr>
          <w:rFonts w:ascii="Times New Roman" w:hAnsi="Times New Roman" w:eastAsia="Times New Roman" w:cs="Times New Roman"/>
          <w:b/>
          <w:bCs/>
        </w:rPr>
      </w:pPr>
      <w:r>
        <w:rPr>
          <w:rFonts w:ascii="Times New Roman" w:hAnsi="Times New Roman" w:eastAsia="Times New Roman" w:cs="Times New Roman"/>
          <w:b/>
          <w:bCs/>
          <w:i/>
          <w:iCs/>
        </w:rPr>
        <w:t xml:space="preserve">Proposal 1: </w:t>
      </w:r>
      <w:r>
        <w:rPr>
          <w:rFonts w:ascii="Times New Roman" w:hAnsi="Times New Roman" w:eastAsia="Times New Roman" w:cs="Times New Roman"/>
          <w:b/>
          <w:bCs/>
          <w:i/>
          <w:iCs/>
          <w:lang w:val="en-IN"/>
        </w:rPr>
        <w:t xml:space="preserve">For configuring valid symbol type for CSI derivation in </w:t>
      </w:r>
      <w:r>
        <w:rPr>
          <w:rFonts w:ascii="Times New Roman" w:hAnsi="Times New Roman" w:eastAsia="Times New Roman" w:cs="Times New Roman"/>
          <w:b/>
          <w:bCs/>
          <w:i/>
          <w:iCs/>
        </w:rPr>
        <w:t>CSI-ReportConfig for SBFD and non-SBFD scenario, following options can be considered:</w:t>
      </w:r>
    </w:p>
    <w:p>
      <w:pPr>
        <w:pStyle w:val="43"/>
        <w:numPr>
          <w:ilvl w:val="0"/>
          <w:numId w:val="5"/>
        </w:numPr>
        <w:spacing w:before="0" w:after="240"/>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1: Introduce new field CSI-ReportConfig-Type for SBFD and non-SBFD scenario</w:t>
      </w:r>
    </w:p>
    <w:p>
      <w:pPr>
        <w:pStyle w:val="43"/>
        <w:numPr>
          <w:ilvl w:val="0"/>
          <w:numId w:val="5"/>
        </w:numPr>
        <w:spacing w:before="0" w:after="240"/>
        <w:contextualSpacing/>
        <w:jc w:val="both"/>
        <w:rPr>
          <w:rFonts w:ascii="Times New Roman" w:hAnsi="Times New Roman" w:eastAsia="Times New Roman" w:cs="Times New Roman"/>
          <w:color w:val="104862" w:themeColor="accent1" w:themeShade="BF"/>
          <w:sz w:val="28"/>
          <w:szCs w:val="28"/>
        </w:rPr>
      </w:pPr>
      <w:r>
        <w:rPr>
          <w:rFonts w:ascii="Times New Roman" w:hAnsi="Times New Roman" w:eastAsia="Times New Roman" w:cs="Times New Roman"/>
          <w:b/>
          <w:bCs/>
          <w:i/>
          <w:iCs/>
        </w:rPr>
        <w:t xml:space="preserve">Alt 2: Define format indicator for CSI report quantity impacted by SBFD scenario (E.g., CQIformatIndicator=SBFD)  </w:t>
      </w:r>
    </w:p>
    <w:p>
      <w:pPr>
        <w:pStyle w:val="43"/>
        <w:spacing w:before="0" w:after="240"/>
        <w:ind w:left="720" w:firstLine="0"/>
        <w:contextualSpacing/>
        <w:jc w:val="both"/>
        <w:rPr>
          <w:rFonts w:ascii="Times New Roman" w:hAnsi="Times New Roman" w:eastAsia="Times New Roman" w:cs="Times New Roman"/>
          <w:color w:val="156082" w:themeColor="accent1" w:themeTint="FF"/>
          <w:sz w:val="28"/>
          <w:szCs w:val="28"/>
          <w14:textFill>
            <w14:solidFill>
              <w14:schemeClr w14:val="accent1">
                <w14:lumMod w14:val="100000"/>
                <w14:lumOff w14:val="0"/>
              </w14:schemeClr>
            </w14:solidFill>
          </w14:textFill>
        </w:rPr>
      </w:pPr>
    </w:p>
    <w:p>
      <w:pPr>
        <w:pStyle w:val="4"/>
        <w:widowControl w:val="0"/>
        <w:spacing w:line="240" w:lineRule="auto"/>
        <w:ind w:firstLine="720"/>
        <w:jc w:val="both"/>
        <w:rPr>
          <w:rFonts w:ascii="Times New Roman" w:hAnsi="Times New Roman" w:eastAsia="Times New Roman" w:cs="Times New Roman"/>
          <w:b/>
          <w:bCs/>
        </w:rPr>
      </w:pPr>
      <w:r>
        <w:rPr>
          <w:rFonts w:ascii="Times New Roman" w:hAnsi="Times New Roman" w:eastAsia="Times New Roman" w:cs="Times New Roman"/>
          <w:b/>
          <w:bCs/>
        </w:rPr>
        <w:t>2.2 Impact on CSI reference resource</w:t>
      </w:r>
      <w:r>
        <w:rPr>
          <w:rFonts w:ascii="Times New Roman" w:hAnsi="Times New Roman" w:eastAsia="Times New Roman" w:cs="Times New Roman"/>
          <w:b/>
          <w:bCs/>
          <w:color w:val="000000" w:themeColor="text1" w:themeTint="FF"/>
          <w:lang w:val="en-IN"/>
          <w14:textFill>
            <w14:solidFill>
              <w14:schemeClr w14:val="tx1">
                <w14:lumMod w14:val="100000"/>
                <w14:lumOff w14:val="0"/>
              </w14:schemeClr>
            </w14:solidFill>
          </w14:textFill>
        </w:rPr>
        <w:t xml:space="preserve"> </w:t>
      </w:r>
      <w:r>
        <w:rPr>
          <w:rFonts w:ascii="Times New Roman" w:hAnsi="Times New Roman" w:eastAsia="Times New Roman" w:cs="Times New Roman"/>
          <w:b/>
          <w:bCs/>
          <w:lang w:val="en-IN"/>
        </w:rPr>
        <w:t>and Time Restriction for CSI Measurement</w:t>
      </w:r>
    </w:p>
    <w:p>
      <w:pPr>
        <w:widowControl w:val="0"/>
        <w:spacing w:before="0" w:after="0" w:line="240" w:lineRule="auto"/>
        <w:jc w:val="both"/>
        <w:rPr>
          <w:rFonts w:ascii="Times New Roman" w:hAnsi="Times New Roman" w:eastAsia="Times New Roman" w:cs="Times New Roman"/>
        </w:rPr>
      </w:pPr>
      <w:r>
        <w:rPr>
          <w:rFonts w:ascii="Times New Roman" w:hAnsi="Times New Roman" w:eastAsia="Times New Roman" w:cs="Times New Roman"/>
          <w:lang w:val="en-IN"/>
        </w:rPr>
        <w:t xml:space="preserve">CSI reference resource is defined as the minimum time duration, from the CSI reporting time, before which a CSI-RS resource need to be received at the UE so that the UE measure CSI parameters based on the CSI-RS resource and include it in the CSI report. Further, the UE reports CSI only if it receives at least one configured CSI-RS resource before the CSI Reference resource. In case of configuring separate </w:t>
      </w:r>
      <w:r>
        <w:rPr>
          <w:rFonts w:ascii="Times New Roman" w:hAnsi="Times New Roman" w:eastAsia="Times New Roman" w:cs="Times New Roman"/>
          <w:i/>
          <w:iCs/>
        </w:rPr>
        <w:t xml:space="preserve">CSI-ReportConfig </w:t>
      </w:r>
      <w:r>
        <w:rPr>
          <w:rFonts w:ascii="Times New Roman" w:hAnsi="Times New Roman" w:eastAsia="Times New Roman" w:cs="Times New Roman"/>
        </w:rPr>
        <w:t xml:space="preserve">for SBFD and non-SBFD scenario, the CSI reference resource and reporting criteria are associated with the valid symbol type for CSI derivation. The UE </w:t>
      </w:r>
      <w:r>
        <w:rPr>
          <w:rFonts w:ascii="Times New Roman" w:hAnsi="Times New Roman" w:eastAsia="Times New Roman" w:cs="Times New Roman"/>
          <w:lang w:val="en-IN"/>
        </w:rPr>
        <w:t>reports CSI only if it receives at least one CSI-RS resource, in valid symbol type</w:t>
      </w:r>
      <w:r>
        <w:rPr>
          <w:rFonts w:ascii="Times New Roman" w:hAnsi="Times New Roman" w:eastAsia="Times New Roman" w:cs="Times New Roman"/>
          <w:b/>
          <w:bCs/>
        </w:rPr>
        <w:t xml:space="preserve"> </w:t>
      </w:r>
      <w:r>
        <w:rPr>
          <w:rFonts w:ascii="Times New Roman" w:hAnsi="Times New Roman" w:eastAsia="Times New Roman" w:cs="Times New Roman"/>
        </w:rPr>
        <w:t>for CSI derivation</w:t>
      </w:r>
      <w:r>
        <w:rPr>
          <w:rFonts w:ascii="Times New Roman" w:hAnsi="Times New Roman" w:eastAsia="Times New Roman" w:cs="Times New Roman"/>
          <w:lang w:val="en-IN"/>
        </w:rPr>
        <w:t>, before the CSI Reference resource. E.g. if the valid symbol type</w:t>
      </w:r>
      <w:r>
        <w:rPr>
          <w:rFonts w:ascii="Times New Roman" w:hAnsi="Times New Roman" w:eastAsia="Times New Roman" w:cs="Times New Roman"/>
        </w:rPr>
        <w:t xml:space="preserve"> for CSI derivation is configured as SBFD, then the UE reports CSI parameter only if at least one CSI-RS resources is received in SBFD symbol before the CSI reference resource.</w:t>
      </w: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i/>
          <w:iCs/>
        </w:rPr>
      </w:pPr>
      <w:r>
        <w:rPr>
          <w:rFonts w:ascii="Times New Roman" w:hAnsi="Times New Roman" w:eastAsia="Times New Roman" w:cs="Times New Roman"/>
          <w:b/>
          <w:bCs/>
          <w:i/>
          <w:iCs/>
        </w:rPr>
        <w:t xml:space="preserve">Observation 1: </w:t>
      </w:r>
      <w:r>
        <w:rPr>
          <w:rFonts w:ascii="Times New Roman" w:hAnsi="Times New Roman" w:eastAsia="Times New Roman" w:cs="Times New Roman"/>
          <w:b/>
          <w:bCs/>
          <w:i/>
          <w:iCs/>
          <w:lang w:val="en-IN"/>
        </w:rPr>
        <w:t xml:space="preserve">In case of configuring separate </w:t>
      </w:r>
      <w:r>
        <w:rPr>
          <w:rFonts w:ascii="Times New Roman" w:hAnsi="Times New Roman" w:eastAsia="Times New Roman" w:cs="Times New Roman"/>
          <w:b/>
          <w:bCs/>
          <w:i/>
          <w:iCs/>
        </w:rPr>
        <w:t>CSI-ReportConfig for SBFD and non-SBFD scenario, the CSI reference resource and reporting criteria are associated with the valid symbol type for CSI derivation.</w:t>
      </w:r>
    </w:p>
    <w:p>
      <w:pPr>
        <w:widowControl w:val="0"/>
        <w:spacing w:before="0" w:after="0" w:line="240" w:lineRule="auto"/>
        <w:jc w:val="both"/>
        <w:rPr>
          <w:rFonts w:ascii="Times New Roman" w:hAnsi="Times New Roman" w:eastAsia="Times New Roman" w:cs="Times New Roman"/>
          <w:i/>
          <w:iCs/>
        </w:rPr>
      </w:pPr>
    </w:p>
    <w:p>
      <w:pPr>
        <w:widowControl w:val="0"/>
        <w:spacing w:before="0" w:after="0" w:line="240" w:lineRule="auto"/>
        <w:jc w:val="both"/>
        <w:rPr>
          <w:rFonts w:ascii="Times New Roman" w:hAnsi="Times New Roman" w:eastAsia="Times New Roman" w:cs="Times New Roman"/>
          <w:i/>
          <w:iCs/>
        </w:rPr>
      </w:pPr>
      <w:r>
        <w:rPr>
          <w:rFonts w:ascii="Times New Roman" w:hAnsi="Times New Roman" w:eastAsia="Times New Roman" w:cs="Times New Roman"/>
          <w:b/>
          <w:bCs/>
          <w:i/>
          <w:iCs/>
        </w:rPr>
        <w:t xml:space="preserve">Proposal 2: </w:t>
      </w:r>
      <w:r>
        <w:rPr>
          <w:rFonts w:ascii="Times New Roman" w:hAnsi="Times New Roman" w:eastAsia="Times New Roman" w:cs="Times New Roman"/>
          <w:b/>
          <w:bCs/>
          <w:i/>
          <w:iCs/>
          <w:lang w:val="en-IN"/>
        </w:rPr>
        <w:t>In case of configuring valid symbol type</w:t>
      </w:r>
      <w:r>
        <w:rPr>
          <w:rFonts w:ascii="Times New Roman" w:hAnsi="Times New Roman" w:eastAsia="Times New Roman" w:cs="Times New Roman"/>
          <w:b/>
          <w:bCs/>
          <w:i/>
          <w:iCs/>
        </w:rPr>
        <w:t xml:space="preserve"> for CSI derivation, UE </w:t>
      </w:r>
      <w:r>
        <w:rPr>
          <w:rFonts w:ascii="Times New Roman" w:hAnsi="Times New Roman" w:eastAsia="Times New Roman" w:cs="Times New Roman"/>
          <w:b/>
          <w:bCs/>
          <w:i/>
          <w:iCs/>
          <w:lang w:val="en-IN"/>
        </w:rPr>
        <w:t>reporting CSI only if it receives at least one CSI-RS resource, in valid symbol type</w:t>
      </w:r>
      <w:r>
        <w:rPr>
          <w:rFonts w:ascii="Times New Roman" w:hAnsi="Times New Roman" w:eastAsia="Times New Roman" w:cs="Times New Roman"/>
          <w:b/>
          <w:bCs/>
          <w:i/>
          <w:iCs/>
        </w:rPr>
        <w:t xml:space="preserve"> for CSI derivation</w:t>
      </w:r>
      <w:r>
        <w:rPr>
          <w:rFonts w:ascii="Times New Roman" w:hAnsi="Times New Roman" w:eastAsia="Times New Roman" w:cs="Times New Roman"/>
          <w:b/>
          <w:bCs/>
          <w:i/>
          <w:iCs/>
          <w:lang w:val="en-IN"/>
        </w:rPr>
        <w:t>, before the CSI Reference resource</w:t>
      </w:r>
      <w:r>
        <w:rPr>
          <w:rFonts w:ascii="Times New Roman" w:hAnsi="Times New Roman" w:eastAsia="Times New Roman" w:cs="Times New Roman"/>
          <w:b/>
          <w:bCs/>
          <w:i/>
          <w:iCs/>
        </w:rPr>
        <w:t xml:space="preserve"> is supported.</w:t>
      </w: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r>
        <w:rPr>
          <w:rFonts w:ascii="Times New Roman" w:hAnsi="Times New Roman" w:eastAsia="Times New Roman" w:cs="Times New Roman"/>
          <w:lang w:val="en-IN"/>
        </w:rPr>
        <w:t xml:space="preserve">The time restriction for measurement is configured to the UE to avoid averaging of the parameters based on multiple CSI resources. E.g., if time restriction is configured to the UE, then the UE determines CSI parameter based on the latest CSI-RS resource received before CSI reference resource The </w:t>
      </w:r>
      <w:r>
        <w:rPr>
          <w:rFonts w:ascii="Times New Roman" w:hAnsi="Times New Roman" w:eastAsia="Times New Roman" w:cs="Times New Roman"/>
          <w:i/>
          <w:iCs/>
          <w:lang w:val="en-IN"/>
        </w:rPr>
        <w:t xml:space="preserve">CSI-ReportConfig </w:t>
      </w:r>
      <w:r>
        <w:rPr>
          <w:rFonts w:ascii="Times New Roman" w:hAnsi="Times New Roman" w:eastAsia="Times New Roman" w:cs="Times New Roman"/>
          <w:lang w:val="en-IN"/>
        </w:rPr>
        <w:t xml:space="preserve">can configure </w:t>
      </w:r>
      <w:r>
        <w:rPr>
          <w:rFonts w:ascii="Times New Roman" w:hAnsi="Times New Roman" w:eastAsia="Times New Roman" w:cs="Times New Roman"/>
          <w:i/>
          <w:iCs/>
          <w:lang w:val="en-IN"/>
        </w:rPr>
        <w:t xml:space="preserve">timeRestrictionForChannelMeasurements </w:t>
      </w:r>
      <w:r>
        <w:rPr>
          <w:rFonts w:ascii="Times New Roman" w:hAnsi="Times New Roman" w:eastAsia="Times New Roman" w:cs="Times New Roman"/>
          <w:lang w:val="en-IN"/>
        </w:rPr>
        <w:t xml:space="preserve">and </w:t>
      </w:r>
      <w:r>
        <w:rPr>
          <w:rFonts w:ascii="Times New Roman" w:hAnsi="Times New Roman" w:eastAsia="Times New Roman" w:cs="Times New Roman"/>
          <w:i/>
          <w:iCs/>
          <w:lang w:val="en-IN"/>
        </w:rPr>
        <w:t>timeRestrictionForInterferenceMeasurements</w:t>
      </w:r>
      <w:r>
        <w:rPr>
          <w:rFonts w:ascii="Times New Roman" w:hAnsi="Times New Roman" w:eastAsia="Times New Roman" w:cs="Times New Roman"/>
          <w:lang w:val="en-IN"/>
        </w:rPr>
        <w:t xml:space="preserve"> to enable time domain restriction for channel measurements and interference measurement, respectively. In case of configuring separate </w:t>
      </w:r>
      <w:r>
        <w:rPr>
          <w:rFonts w:ascii="Times New Roman" w:hAnsi="Times New Roman" w:eastAsia="Times New Roman" w:cs="Times New Roman"/>
          <w:i/>
          <w:iCs/>
        </w:rPr>
        <w:t xml:space="preserve">CSI-ReportConfig </w:t>
      </w:r>
      <w:r>
        <w:rPr>
          <w:rFonts w:ascii="Times New Roman" w:hAnsi="Times New Roman" w:eastAsia="Times New Roman" w:cs="Times New Roman"/>
        </w:rPr>
        <w:t xml:space="preserve">for SBFD and non-SBFD scenario, the </w:t>
      </w:r>
      <w:r>
        <w:rPr>
          <w:rFonts w:ascii="Times New Roman" w:hAnsi="Times New Roman" w:eastAsia="Times New Roman" w:cs="Times New Roman"/>
          <w:lang w:val="en-IN"/>
        </w:rPr>
        <w:t xml:space="preserve">time restriction for measurement in </w:t>
      </w:r>
      <w:r>
        <w:rPr>
          <w:rFonts w:ascii="Times New Roman" w:hAnsi="Times New Roman" w:eastAsia="Times New Roman" w:cs="Times New Roman"/>
          <w:i/>
          <w:iCs/>
        </w:rPr>
        <w:t>CSI-ReportConfig</w:t>
      </w:r>
      <w:r>
        <w:rPr>
          <w:rFonts w:ascii="Times New Roman" w:hAnsi="Times New Roman" w:eastAsia="Times New Roman" w:cs="Times New Roman"/>
        </w:rPr>
        <w:t xml:space="preserve"> </w:t>
      </w:r>
      <w:r>
        <w:rPr>
          <w:rFonts w:ascii="Times New Roman" w:hAnsi="Times New Roman" w:eastAsia="Times New Roman" w:cs="Times New Roman"/>
          <w:lang w:val="en-IN"/>
        </w:rPr>
        <w:t xml:space="preserve">is </w:t>
      </w:r>
      <w:r>
        <w:rPr>
          <w:rFonts w:ascii="Times New Roman" w:hAnsi="Times New Roman" w:eastAsia="Times New Roman" w:cs="Times New Roman"/>
        </w:rPr>
        <w:t xml:space="preserve">associated with the valid symbol type for CSI derivation. If </w:t>
      </w:r>
      <w:r>
        <w:rPr>
          <w:rFonts w:ascii="Times New Roman" w:hAnsi="Times New Roman" w:eastAsia="Times New Roman" w:cs="Times New Roman"/>
          <w:i/>
          <w:iCs/>
        </w:rPr>
        <w:t xml:space="preserve">CSI-ReportConfig </w:t>
      </w:r>
      <w:r>
        <w:rPr>
          <w:rFonts w:ascii="Times New Roman" w:hAnsi="Times New Roman" w:eastAsia="Times New Roman" w:cs="Times New Roman"/>
        </w:rPr>
        <w:t xml:space="preserve">has indicated field for valid symbol type for CSI derivation and if </w:t>
      </w:r>
      <w:r>
        <w:rPr>
          <w:rFonts w:ascii="Times New Roman" w:hAnsi="Times New Roman" w:eastAsia="Times New Roman" w:cs="Times New Roman"/>
          <w:lang w:val="en-IN"/>
        </w:rPr>
        <w:t>t</w:t>
      </w:r>
      <w:r>
        <w:rPr>
          <w:rFonts w:ascii="Times New Roman" w:hAnsi="Times New Roman" w:eastAsia="Times New Roman" w:cs="Times New Roman"/>
          <w:i/>
          <w:iCs/>
          <w:lang w:val="en-IN"/>
        </w:rPr>
        <w:t xml:space="preserve">imeRestrictionForChannelMeasurements </w:t>
      </w:r>
      <w:r>
        <w:rPr>
          <w:rFonts w:ascii="Times New Roman" w:hAnsi="Times New Roman" w:eastAsia="Times New Roman" w:cs="Times New Roman"/>
          <w:lang w:val="en-IN"/>
        </w:rPr>
        <w:t xml:space="preserve">or </w:t>
      </w:r>
      <w:r>
        <w:rPr>
          <w:rFonts w:ascii="Times New Roman" w:hAnsi="Times New Roman" w:eastAsia="Times New Roman" w:cs="Times New Roman"/>
          <w:i/>
          <w:iCs/>
          <w:lang w:val="en-IN"/>
        </w:rPr>
        <w:t>timeRestrictionForInterferenceMeasurements</w:t>
      </w:r>
      <w:r>
        <w:rPr>
          <w:rFonts w:ascii="Times New Roman" w:hAnsi="Times New Roman" w:eastAsia="Times New Roman" w:cs="Times New Roman"/>
          <w:lang w:val="en-IN"/>
        </w:rPr>
        <w:t xml:space="preserve"> is configured then the UE derives CSI parameter based on the most recent CSI-RS occasion in valid symbol type, no later than the CSI reference resource. E.g. if the valid symbol type</w:t>
      </w:r>
      <w:r>
        <w:rPr>
          <w:rFonts w:ascii="Times New Roman" w:hAnsi="Times New Roman" w:eastAsia="Times New Roman" w:cs="Times New Roman"/>
        </w:rPr>
        <w:t xml:space="preserve"> for CSI derivation is configured as SBFD, then the UE compute CSI parameter using the most recent CSI-RS resource received in SBFD symbol before the CSI reference resource.</w:t>
      </w: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3: In case of configuring valid symbol type for CSI derivation and timeRestrictionForChannelMeasurements or timeRestrictionForInterferenceMeasurements, UE deriving the CSI parameter based on the most recent CSI-RS occasion, in valid symbol type and no later than the CSI reference resource, is supported.</w:t>
      </w:r>
    </w:p>
    <w:p>
      <w:pPr>
        <w:widowControl w:val="0"/>
        <w:spacing w:before="0" w:after="0" w:line="240" w:lineRule="auto"/>
        <w:jc w:val="both"/>
        <w:rPr>
          <w:rFonts w:ascii="Times New Roman" w:hAnsi="Times New Roman" w:eastAsia="Times New Roman" w:cs="Times New Roman"/>
          <w:b/>
          <w:bCs/>
          <w:i/>
          <w:iCs/>
        </w:rPr>
      </w:pPr>
    </w:p>
    <w:p>
      <w:pPr>
        <w:pStyle w:val="4"/>
        <w:widowControl w:val="0"/>
        <w:spacing w:before="160" w:after="0" w:line="240" w:lineRule="auto"/>
        <w:ind w:firstLine="720"/>
        <w:jc w:val="both"/>
        <w:rPr>
          <w:rFonts w:ascii="Times New Roman" w:hAnsi="Times New Roman" w:eastAsia="Times New Roman" w:cs="Times New Roman"/>
          <w:b/>
          <w:bCs/>
        </w:rPr>
      </w:pPr>
      <w:r>
        <w:rPr>
          <w:rFonts w:ascii="Times New Roman" w:hAnsi="Times New Roman" w:eastAsia="Times New Roman" w:cs="Times New Roman"/>
          <w:b/>
          <w:bCs/>
        </w:rPr>
        <w:t>2.3. Impact on CSI omission and priority rule for CSI reports</w:t>
      </w: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r>
        <w:rPr>
          <w:rFonts w:ascii="Times New Roman" w:hAnsi="Times New Roman" w:eastAsia="Times New Roman" w:cs="Times New Roman"/>
        </w:rPr>
        <w:t>Priority rules for CSI reports determine which Channel State Information (CSI) report should be prioritized when multiple reports need to be transmitted simultaneously. In NR, the CSI reports are associated with a priority value, which is determined based on various parameters like whether report is transmitted in PUCCH or PUSCH, whether report is aperiodic/semi-persistent/periodic, whether report comprises L1-RSRP or not, etc. Further, omission rules are defined for dropping the content of a CSI report, in case of lack of UL resources. T</w:t>
      </w:r>
      <w:r>
        <w:rPr>
          <w:rFonts w:ascii="Times New Roman" w:hAnsi="Times New Roman" w:eastAsia="Times New Roman" w:cs="Times New Roman"/>
          <w:lang w:val="en-IN"/>
        </w:rPr>
        <w:t xml:space="preserve">he CSI report, corresponding to each </w:t>
      </w:r>
      <w:r>
        <w:rPr>
          <w:rFonts w:ascii="Times New Roman" w:hAnsi="Times New Roman" w:eastAsia="Times New Roman" w:cs="Times New Roman"/>
          <w:i/>
          <w:iCs/>
          <w:lang w:val="en-IN"/>
        </w:rPr>
        <w:t>CSI-ReportConfig</w:t>
      </w:r>
      <w:r>
        <w:rPr>
          <w:rFonts w:ascii="Times New Roman" w:hAnsi="Times New Roman" w:eastAsia="Times New Roman" w:cs="Times New Roman"/>
          <w:lang w:val="en-IN"/>
        </w:rPr>
        <w:t xml:space="preserve"> comprises two parts: Part 1 contains parameters such as CRI, RI, and CQI, whereas Part2 comprises other parameters corresponding to wideband reporting (e.g., PMI and LI), parameters for even subband and parameters for odd subband. In case of lack of UL resources, Part 1 of CSI report is given higher priority compared to Part2. Further, within part 2, parameters for wide band are given priority followed by parameters for even subband and odd subband. </w:t>
      </w:r>
      <w:r>
        <w:rPr>
          <w:rFonts w:ascii="Times New Roman" w:hAnsi="Times New Roman" w:eastAsia="Times New Roman" w:cs="Times New Roman"/>
        </w:rPr>
        <w:t xml:space="preserve">In the case of SBFD, the </w:t>
      </w:r>
      <w:r>
        <w:rPr>
          <w:rFonts w:ascii="Times New Roman" w:hAnsi="Times New Roman" w:eastAsia="Times New Roman" w:cs="Times New Roman"/>
          <w:i/>
          <w:iCs/>
          <w:lang w:val="en-IN"/>
        </w:rPr>
        <w:t xml:space="preserve">CSI-ReportConfig </w:t>
      </w:r>
      <w:r>
        <w:rPr>
          <w:rFonts w:ascii="Times New Roman" w:hAnsi="Times New Roman" w:eastAsia="Times New Roman" w:cs="Times New Roman"/>
          <w:lang w:val="en-IN"/>
        </w:rPr>
        <w:t xml:space="preserve">can indicate the </w:t>
      </w:r>
      <w:r>
        <w:rPr>
          <w:rFonts w:ascii="Times New Roman" w:hAnsi="Times New Roman" w:eastAsia="Times New Roman" w:cs="Times New Roman"/>
        </w:rPr>
        <w:t>valid symbol type for CSI derivation as SBFD or non-SBFD. Now, the priorities need to be defined for CSI report comprising CSI parameters corresponding to SBFD scenario and non-SBFD scenario.</w:t>
      </w: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4: Defining priority rule for CSI report comprising CSI parameters associated with SBFD and non-SBFD scenario is supported.</w:t>
      </w:r>
    </w:p>
    <w:p>
      <w:pPr>
        <w:widowControl w:val="0"/>
        <w:spacing w:before="240" w:after="0" w:line="240" w:lineRule="auto"/>
        <w:jc w:val="both"/>
        <w:rPr>
          <w:rFonts w:ascii="Times New Roman" w:hAnsi="Times New Roman" w:eastAsia="Times New Roman" w:cs="Times New Roman"/>
          <w:b/>
          <w:bCs/>
          <w:i/>
          <w:iCs/>
        </w:rPr>
      </w:pPr>
    </w:p>
    <w:p>
      <w:pPr>
        <w:widowControl w:val="0"/>
        <w:spacing w:before="240" w:after="0" w:line="240" w:lineRule="auto"/>
        <w:jc w:val="both"/>
        <w:rPr>
          <w:rFonts w:ascii="Times New Roman" w:hAnsi="Times New Roman" w:eastAsia="Times New Roman" w:cs="Times New Roman"/>
        </w:rPr>
      </w:pPr>
      <w:r>
        <w:rPr>
          <w:rFonts w:ascii="Times New Roman" w:hAnsi="Times New Roman" w:eastAsia="Times New Roman" w:cs="Times New Roman"/>
        </w:rPr>
        <w:t xml:space="preserve">There is critical need for accurate measurement of CSI parameter corresponding to SBFD scenario, where simultaneous UL and DL transmissions in different sub-bands increase the risk of cross-link interference. Also, CSI-RS measurement is the only option to get channel state information corresponding to SBFD scenario, as the SBFD scenario is not applicable for SSB symbols. Therefore, CSI measurements corresponding to SBFD scenario should be prioritized compared to CSI measurements corresponding to non-SBFD scenario. For e.g., in the case of UE configured with one </w:t>
      </w:r>
      <w:r>
        <w:rPr>
          <w:rFonts w:ascii="Times New Roman" w:hAnsi="Times New Roman" w:eastAsia="Times New Roman" w:cs="Times New Roman"/>
          <w:i/>
          <w:iCs/>
        </w:rPr>
        <w:t xml:space="preserve">CSI-ReportConfig </w:t>
      </w:r>
      <w:r>
        <w:rPr>
          <w:rFonts w:ascii="Times New Roman" w:hAnsi="Times New Roman" w:eastAsia="Times New Roman" w:cs="Times New Roman"/>
        </w:rPr>
        <w:t xml:space="preserve">with valid symbol type SBFD and another </w:t>
      </w:r>
      <w:r>
        <w:rPr>
          <w:rFonts w:ascii="Times New Roman" w:hAnsi="Times New Roman" w:eastAsia="Times New Roman" w:cs="Times New Roman"/>
          <w:i/>
          <w:iCs/>
        </w:rPr>
        <w:t xml:space="preserve">CSI-ReportConfig </w:t>
      </w:r>
      <w:r>
        <w:rPr>
          <w:rFonts w:ascii="Times New Roman" w:hAnsi="Times New Roman" w:eastAsia="Times New Roman" w:cs="Times New Roman"/>
        </w:rPr>
        <w:t xml:space="preserve">with valid symbol type non-SBFD, the priority order should be based on the Fig. 1 given below. According to the defined priority order, Part 1 of </w:t>
      </w:r>
      <w:r>
        <w:rPr>
          <w:rFonts w:ascii="Times New Roman" w:hAnsi="Times New Roman" w:eastAsia="Times New Roman" w:cs="Times New Roman"/>
          <w:i/>
          <w:iCs/>
        </w:rPr>
        <w:t xml:space="preserve">CSI-ReportConfig-Type=SBFD </w:t>
      </w:r>
      <w:r>
        <w:rPr>
          <w:rFonts w:ascii="Times New Roman" w:hAnsi="Times New Roman" w:eastAsia="Times New Roman" w:cs="Times New Roman"/>
        </w:rPr>
        <w:t xml:space="preserve">holds the highest priority, followed by </w:t>
      </w:r>
      <w:r>
        <w:rPr>
          <w:rFonts w:ascii="Times New Roman" w:hAnsi="Times New Roman" w:eastAsia="Times New Roman" w:cs="Times New Roman"/>
          <w:i/>
          <w:iCs/>
        </w:rPr>
        <w:t>CSI-ReportConfig-Type</w:t>
      </w:r>
      <w:r>
        <w:rPr>
          <w:rFonts w:ascii="Times New Roman" w:hAnsi="Times New Roman" w:eastAsia="Times New Roman" w:cs="Times New Roman"/>
        </w:rPr>
        <w:t xml:space="preserve">=non-SBFD, then Part 2 components in the order: Wideband &gt; Even Subband &gt; Odd Subband, with SBFD prioritized over non-SBFD within each category. Part 1 of SBFD (CRI, RI, CQI) is prioritized as it directly supports link adaptation and interference management in SBFD operation. Also, CQI and RI enable the BS to make precise scheduling and power control decisions, ensuring reliable performance. </w:t>
      </w: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rPr>
      </w:pPr>
    </w:p>
    <w:p>
      <w:pPr>
        <w:widowControl w:val="0"/>
        <w:spacing w:before="0" w:after="0" w:line="240" w:lineRule="auto"/>
        <w:jc w:val="both"/>
        <w:rPr>
          <w:rFonts w:ascii="Times New Roman" w:hAnsi="Times New Roman" w:eastAsia="Times New Roman" w:cs="Times New Roman"/>
          <w:i/>
          <w:iCs/>
          <w:sz w:val="20"/>
          <w:szCs w:val="20"/>
        </w:rPr>
      </w:pPr>
      <w:r>
        <w:rPr>
          <w:rFonts w:ascii="Times New Roman" w:hAnsi="Times New Roman" w:eastAsia="Times New Roman" w:cs="Times New Roman"/>
          <w:i/>
          <w:iCs/>
        </w:rPr>
        <w:t xml:space="preserve"> </w:t>
      </w:r>
    </w:p>
    <w:tbl>
      <w:tblPr>
        <w:tblStyle w:val="20"/>
        <w:tblW w:w="949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97"/>
        <w:gridCol w:w="1197"/>
        <w:gridCol w:w="1197"/>
        <w:gridCol w:w="1197"/>
        <w:gridCol w:w="1197"/>
        <w:gridCol w:w="1197"/>
        <w:gridCol w:w="1197"/>
        <w:gridCol w:w="119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1214"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Part1</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sz w:val="20"/>
                <w:szCs w:val="20"/>
              </w:rPr>
              <w:t xml:space="preserve">Of </w:t>
            </w: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=SBFD</w:t>
            </w:r>
          </w:p>
          <w:p>
            <w:pPr>
              <w:spacing w:before="0" w:after="0" w:line="240" w:lineRule="auto"/>
              <w:jc w:val="both"/>
              <w:rPr>
                <w:rFonts w:ascii="Times New Roman" w:hAnsi="Times New Roman" w:eastAsia="Times New Roman" w:cs="Times New Roman"/>
                <w:sz w:val="20"/>
                <w:szCs w:val="20"/>
              </w:rPr>
            </w:pPr>
          </w:p>
        </w:tc>
        <w:tc>
          <w:tcPr>
            <w:tcW w:w="1125"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Part1</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sz w:val="20"/>
                <w:szCs w:val="20"/>
              </w:rPr>
              <w:t xml:space="preserve">Of </w:t>
            </w: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=non-SBFD</w:t>
            </w:r>
          </w:p>
        </w:tc>
        <w:tc>
          <w:tcPr>
            <w:tcW w:w="1080"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Part2 WB</w:t>
            </w:r>
          </w:p>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of</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=SBFD</w:t>
            </w:r>
          </w:p>
        </w:tc>
        <w:tc>
          <w:tcPr>
            <w:tcW w:w="1245"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Part2 WB</w:t>
            </w:r>
          </w:p>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of</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=non-SBFD</w:t>
            </w:r>
          </w:p>
        </w:tc>
        <w:tc>
          <w:tcPr>
            <w:tcW w:w="1200"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Part2 even</w:t>
            </w:r>
          </w:p>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subband of</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=SBFD</w:t>
            </w:r>
          </w:p>
        </w:tc>
        <w:tc>
          <w:tcPr>
            <w:tcW w:w="1230"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Part2 odd</w:t>
            </w:r>
          </w:p>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subband of</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=SBFD</w:t>
            </w:r>
          </w:p>
          <w:p>
            <w:pPr>
              <w:spacing w:before="0" w:after="0" w:line="240" w:lineRule="auto"/>
              <w:jc w:val="both"/>
              <w:rPr>
                <w:rFonts w:ascii="Times New Roman" w:hAnsi="Times New Roman" w:eastAsia="Times New Roman" w:cs="Times New Roman"/>
                <w:sz w:val="20"/>
                <w:szCs w:val="20"/>
              </w:rPr>
            </w:pPr>
          </w:p>
        </w:tc>
        <w:tc>
          <w:tcPr>
            <w:tcW w:w="1210"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Part2 even</w:t>
            </w:r>
          </w:p>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subband of</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=non-SBFD</w:t>
            </w:r>
          </w:p>
          <w:p>
            <w:pPr>
              <w:spacing w:before="0" w:after="0" w:line="240" w:lineRule="auto"/>
              <w:jc w:val="both"/>
              <w:rPr>
                <w:rFonts w:ascii="Times New Roman" w:hAnsi="Times New Roman" w:eastAsia="Times New Roman" w:cs="Times New Roman"/>
                <w:sz w:val="20"/>
                <w:szCs w:val="20"/>
              </w:rPr>
            </w:pPr>
          </w:p>
        </w:tc>
        <w:tc>
          <w:tcPr>
            <w:tcW w:w="1189" w:type="dxa"/>
          </w:tcPr>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Part2 odd</w:t>
            </w:r>
          </w:p>
          <w:p>
            <w:pPr>
              <w:spacing w:before="0"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subband of</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i/>
                <w:iCs/>
                <w:sz w:val="20"/>
                <w:szCs w:val="20"/>
              </w:rPr>
              <w:t>CSI-ReportConfig-Type</w:t>
            </w:r>
            <w:r>
              <w:rPr>
                <w:rFonts w:ascii="Times New Roman" w:hAnsi="Times New Roman" w:eastAsia="Times New Roman" w:cs="Times New Roman"/>
                <w:sz w:val="20"/>
                <w:szCs w:val="20"/>
              </w:rPr>
              <w:t>=non-SBFD</w:t>
            </w:r>
          </w:p>
          <w:p>
            <w:pPr>
              <w:spacing w:before="0" w:after="0" w:line="240" w:lineRule="auto"/>
              <w:jc w:val="both"/>
              <w:rPr>
                <w:rFonts w:ascii="Times New Roman" w:hAnsi="Times New Roman" w:eastAsia="Times New Roman" w:cs="Times New Roman"/>
                <w:sz w:val="20"/>
                <w:szCs w:val="20"/>
              </w:rPr>
            </w:pPr>
          </w:p>
        </w:tc>
      </w:tr>
    </w:tbl>
    <w:p>
      <w:pPr>
        <w:tabs>
          <w:tab w:val="left" w:pos="1800"/>
          <w:tab w:val="center" w:pos="4536"/>
          <w:tab w:val="right" w:pos="9072"/>
        </w:tabs>
        <w:spacing w:before="0" w:after="140" w:line="276" w:lineRule="auto"/>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mc:AlternateContent>
          <mc:Choice Requires="wps">
            <w:drawing>
              <wp:inline distT="57150" distB="85725" distL="0" distR="43180">
                <wp:extent cx="3119755" cy="10160"/>
                <wp:effectExtent l="0" t="57150" r="43180" b="85725"/>
                <wp:docPr id="1" name="Shape1"/>
                <wp:cNvGraphicFramePr/>
                <a:graphic xmlns:a="http://schemas.openxmlformats.org/drawingml/2006/main">
                  <a:graphicData uri="http://schemas.microsoft.com/office/word/2010/wordprocessingShape">
                    <wps:wsp>
                      <wps:cNvSpPr/>
                      <wps:spPr>
                        <a:xfrm>
                          <a:off x="0" y="0"/>
                          <a:ext cx="3119040" cy="9360"/>
                        </a:xfrm>
                        <a:custGeom>
                          <a:avLst/>
                          <a:gdLst/>
                          <a:ahLst/>
                          <a:cxnLst/>
                          <a:rect l="l" t="t" r="r" b="b"/>
                          <a:pathLst>
                            <a:path w="21600" h="21600">
                              <a:moveTo>
                                <a:pt x="0" y="0"/>
                              </a:moveTo>
                              <a:lnTo>
                                <a:pt x="21600" y="21600"/>
                              </a:lnTo>
                            </a:path>
                          </a:pathLst>
                        </a:custGeom>
                        <a:noFill/>
                        <a:ln w="12600">
                          <a:solidFill>
                            <a:srgbClr val="4472C4"/>
                          </a:solidFill>
                          <a:tailEnd type="triangle" w="med" len="med"/>
                        </a:ln>
                      </wps:spPr>
                      <wps:style>
                        <a:lnRef idx="1">
                          <a:schemeClr val="accent1"/>
                        </a:lnRef>
                        <a:fillRef idx="0">
                          <a:schemeClr val="accent1"/>
                        </a:fillRef>
                        <a:effectRef idx="0">
                          <a:srgbClr val="FFFFFF"/>
                        </a:effectRef>
                        <a:fontRef idx="minor"/>
                      </wps:style>
                      <wps:bodyPr/>
                    </wps:wsp>
                  </a:graphicData>
                </a:graphic>
              </wp:inline>
            </w:drawing>
          </mc:Choice>
          <mc:Fallback>
            <w:pict>
              <v:shape id="Shape1" o:spid="_x0000_s1026" o:spt="100" style="height:0.8pt;width:245.65pt;" filled="f" stroked="t" coordsize="21600,21600" o:gfxdata="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&#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" path="m0,0l21600,21600e">
                <v:fill on="f" focussize="0,0"/>
                <v:stroke weight="0.992125984251969pt" color="#4472C4 [3204]" miterlimit="8" joinstyle="miter" endarrow="block"/>
                <v:imagedata o:title=""/>
                <o:lock v:ext="edit" aspectratio="f"/>
                <w10:wrap type="none"/>
                <w10:anchorlock/>
              </v:shape>
            </w:pict>
          </mc:Fallback>
        </mc:AlternateContent>
      </w:r>
    </w:p>
    <w:p>
      <w:pPr>
        <w:tabs>
          <w:tab w:val="left" w:pos="1800"/>
          <w:tab w:val="center" w:pos="4536"/>
          <w:tab w:val="right" w:pos="9072"/>
        </w:tabs>
        <w:spacing w:before="0" w:after="140" w:line="276" w:lineRule="auto"/>
        <w:jc w:val="both"/>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                                                               Decreasing order of priority</w:t>
      </w:r>
    </w:p>
    <w:p>
      <w:pPr>
        <w:tabs>
          <w:tab w:val="left" w:pos="1800"/>
          <w:tab w:val="center" w:pos="4536"/>
          <w:tab w:val="right" w:pos="9072"/>
        </w:tabs>
        <w:spacing w:before="0" w:after="140" w:line="276" w:lineRule="auto"/>
        <w:jc w:val="both"/>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          Fig. 1: </w:t>
      </w:r>
      <w:r>
        <w:rPr>
          <w:rFonts w:ascii="Times New Roman" w:hAnsi="Times New Roman" w:eastAsia="Times New Roman" w:cs="Times New Roman"/>
          <w:color w:val="156082" w:themeColor="accent1" w:themeTint="FF"/>
          <w14:textFill>
            <w14:solidFill>
              <w14:schemeClr w14:val="accent1">
                <w14:lumMod w14:val="100000"/>
                <w14:lumOff w14:val="0"/>
              </w14:schemeClr>
            </w14:solidFill>
          </w14:textFill>
        </w:rPr>
        <w:t>CSI omission and priority rule for CSI reports for SBFD and non-SBFD scenario</w:t>
      </w:r>
    </w:p>
    <w:p>
      <w:pPr>
        <w:spacing w:before="240" w:after="240"/>
        <w:jc w:val="both"/>
        <w:rPr>
          <w:rFonts w:ascii="Times New Roman" w:hAnsi="Times New Roman" w:eastAsia="Times New Roman" w:cs="Times New Roman"/>
        </w:rPr>
      </w:pPr>
      <w:r>
        <w:rPr>
          <w:rFonts w:ascii="Times New Roman" w:hAnsi="Times New Roman" w:eastAsia="Times New Roman" w:cs="Times New Roman"/>
        </w:rPr>
        <w:t>Overall, CSI reports comprising CSI parameters for SBFD scenario is consistently prioritized to maintain efficient coexistence of UL and DL transmissions, link quality and system efficiency in SBFD deployments, especially when UL resources are limited.</w:t>
      </w:r>
    </w:p>
    <w:p>
      <w:pPr>
        <w:tabs>
          <w:tab w:val="left" w:pos="1800"/>
          <w:tab w:val="center" w:pos="4536"/>
          <w:tab w:val="right" w:pos="9072"/>
        </w:tabs>
        <w:spacing w:before="0" w:after="140" w:line="276"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Observation 2: CSI reports comprising CSI parameters for SBFD scenario should be prioritized over non-SBFD scenario because </w:t>
      </w:r>
    </w:p>
    <w:p>
      <w:pPr>
        <w:pStyle w:val="43"/>
        <w:numPr>
          <w:ilvl w:val="0"/>
          <w:numId w:val="6"/>
        </w:numPr>
        <w:tabs>
          <w:tab w:val="left" w:pos="1800"/>
          <w:tab w:val="center" w:pos="4536"/>
          <w:tab w:val="right" w:pos="9072"/>
        </w:tabs>
        <w:spacing w:before="0" w:after="140" w:line="276"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SBFD operation is more sensitive to interference and requires precise CSI for effective link adaptation and interference management. </w:t>
      </w:r>
    </w:p>
    <w:p>
      <w:pPr>
        <w:pStyle w:val="43"/>
        <w:numPr>
          <w:ilvl w:val="0"/>
          <w:numId w:val="6"/>
        </w:numPr>
        <w:tabs>
          <w:tab w:val="left" w:pos="1800"/>
          <w:tab w:val="center" w:pos="4536"/>
          <w:tab w:val="right" w:pos="9072"/>
        </w:tabs>
        <w:spacing w:before="0" w:after="140" w:line="276"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Ensures simultaneous UL and DL transmission/reception under limited UL resources.</w:t>
      </w:r>
    </w:p>
    <w:p>
      <w:pPr>
        <w:pStyle w:val="43"/>
        <w:numPr>
          <w:ilvl w:val="0"/>
          <w:numId w:val="6"/>
        </w:numPr>
        <w:tabs>
          <w:tab w:val="left" w:pos="1800"/>
          <w:tab w:val="center" w:pos="4536"/>
          <w:tab w:val="right" w:pos="9072"/>
        </w:tabs>
        <w:spacing w:before="0" w:after="140" w:line="276"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CSI measurement is the only option to get channel state information corresponding to SBFD scenario, as the SBFD scenario is not applicable for SSB symbols.</w:t>
      </w:r>
    </w:p>
    <w:p>
      <w:pPr>
        <w:tabs>
          <w:tab w:val="left" w:pos="1800"/>
          <w:tab w:val="center" w:pos="4536"/>
          <w:tab w:val="right" w:pos="9072"/>
        </w:tabs>
        <w:spacing w:before="0" w:after="140" w:line="276"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5: Prioritizing CSI parameters for SBFD scenarios over non-SBFD scenario for Part 1 CSI Report and for each category in part 2 CSI Report is supported.</w:t>
      </w:r>
    </w:p>
    <w:p>
      <w:pPr>
        <w:tabs>
          <w:tab w:val="left" w:pos="1800"/>
          <w:tab w:val="center" w:pos="4536"/>
          <w:tab w:val="right" w:pos="9072"/>
        </w:tabs>
        <w:spacing w:before="0" w:after="140" w:line="276" w:lineRule="auto"/>
        <w:jc w:val="both"/>
        <w:rPr>
          <w:rFonts w:ascii="Times New Roman" w:hAnsi="Times New Roman" w:eastAsia="Times New Roman" w:cs="Times New Roman"/>
          <w:b/>
          <w:bCs/>
          <w:i/>
          <w:iCs/>
        </w:rPr>
      </w:pPr>
    </w:p>
    <w:p>
      <w:pPr>
        <w:pStyle w:val="3"/>
        <w:spacing w:before="159" w:after="79" w:line="240" w:lineRule="auto"/>
        <w:jc w:val="both"/>
        <w:rPr>
          <w:rFonts w:ascii="Times New Roman" w:hAnsi="Times New Roman" w:eastAsia="Times New Roman" w:cs="Times New Roman"/>
          <w:b/>
          <w:bCs/>
          <w:sz w:val="32"/>
          <w:szCs w:val="32"/>
          <w:lang w:eastAsia="zh-CN"/>
        </w:rPr>
      </w:pPr>
      <w:r>
        <w:rPr>
          <w:rFonts w:ascii="Times New Roman" w:hAnsi="Times New Roman" w:eastAsia="Times New Roman" w:cs="Times New Roman"/>
          <w:b/>
          <w:bCs/>
          <w:sz w:val="32"/>
          <w:szCs w:val="32"/>
          <w:lang w:eastAsia="zh-CN"/>
        </w:rPr>
        <w:t>3. Conclusion</w:t>
      </w:r>
    </w:p>
    <w:p>
      <w:pPr>
        <w:spacing w:before="0" w:after="159" w:line="276" w:lineRule="auto"/>
      </w:pPr>
      <w:r>
        <w:rPr>
          <w:rFonts w:ascii="Times New Roman" w:hAnsi="Times New Roman" w:eastAsia="Times New Roman" w:cs="Times New Roman"/>
        </w:rPr>
        <w:t>The following observations and proposals are made in the contribution</w:t>
      </w:r>
    </w:p>
    <w:p>
      <w:pPr>
        <w:widowControl w:val="0"/>
        <w:spacing w:before="0" w:after="240" w:line="240" w:lineRule="auto"/>
        <w:jc w:val="both"/>
        <w:rPr>
          <w:rFonts w:ascii="Times New Roman" w:hAnsi="Times New Roman" w:eastAsia="Times New Roman" w:cs="Times New Roman"/>
          <w:b/>
          <w:bCs/>
        </w:rPr>
      </w:pPr>
      <w:r>
        <w:rPr>
          <w:rFonts w:ascii="Times New Roman" w:hAnsi="Times New Roman" w:eastAsia="Times New Roman" w:cs="Times New Roman"/>
          <w:b/>
          <w:bCs/>
          <w:i/>
          <w:iCs/>
        </w:rPr>
        <w:t xml:space="preserve">Proposal 1: </w:t>
      </w:r>
      <w:r>
        <w:rPr>
          <w:rFonts w:ascii="Times New Roman" w:hAnsi="Times New Roman" w:eastAsia="Times New Roman" w:cs="Times New Roman"/>
          <w:b/>
          <w:bCs/>
          <w:i/>
          <w:iCs/>
          <w:lang w:val="en-IN"/>
        </w:rPr>
        <w:t xml:space="preserve">For configuring valid symbol type for CSI derivation in </w:t>
      </w:r>
      <w:r>
        <w:rPr>
          <w:rFonts w:ascii="Times New Roman" w:hAnsi="Times New Roman" w:eastAsia="Times New Roman" w:cs="Times New Roman"/>
          <w:b/>
          <w:bCs/>
          <w:i/>
          <w:iCs/>
        </w:rPr>
        <w:t>CSI-ReportConfig for SBFD and non-SBFD scenario, following options can be considered:</w:t>
      </w:r>
    </w:p>
    <w:p>
      <w:pPr>
        <w:pStyle w:val="43"/>
        <w:widowControl w:val="0"/>
        <w:numPr>
          <w:ilvl w:val="0"/>
          <w:numId w:val="5"/>
        </w:numPr>
        <w:spacing w:before="0" w:after="240" w:line="240"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1: Introduce new field CSI-ReportConfig-Type for SBFD and non-SBFD scenario</w:t>
      </w:r>
    </w:p>
    <w:p>
      <w:pPr>
        <w:pStyle w:val="43"/>
        <w:widowControl w:val="0"/>
        <w:spacing w:before="0" w:after="0" w:line="240"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Alt 2: Define format indicator for CSI report quantity impacted by SBFD scenario (E.g., CQIformatIndicator=SBFD)</w:t>
      </w:r>
    </w:p>
    <w:p>
      <w:pPr>
        <w:pStyle w:val="43"/>
        <w:widowControl w:val="0"/>
        <w:spacing w:before="0" w:after="0" w:line="240" w:lineRule="auto"/>
        <w:contextualSpacing/>
        <w:jc w:val="both"/>
        <w:rPr>
          <w:rFonts w:ascii="Times New Roman" w:hAnsi="Times New Roman" w:eastAsia="Times New Roman" w:cs="Times New Roman"/>
          <w:b/>
          <w:bCs/>
          <w:i/>
          <w:iCs/>
        </w:rPr>
      </w:pPr>
    </w:p>
    <w:p>
      <w:pPr>
        <w:widowControl w:val="0"/>
        <w:spacing w:before="0" w:after="0" w:line="240" w:lineRule="auto"/>
        <w:jc w:val="both"/>
        <w:rPr>
          <w:rFonts w:ascii="Times New Roman" w:hAnsi="Times New Roman" w:eastAsia="Times New Roman" w:cs="Times New Roman"/>
          <w:i/>
          <w:iCs/>
        </w:rPr>
      </w:pPr>
      <w:r>
        <w:rPr>
          <w:rFonts w:ascii="Times New Roman" w:hAnsi="Times New Roman" w:eastAsia="Times New Roman" w:cs="Times New Roman"/>
          <w:b/>
          <w:bCs/>
          <w:i/>
          <w:iCs/>
        </w:rPr>
        <w:t xml:space="preserve">Observation 1: </w:t>
      </w:r>
      <w:r>
        <w:rPr>
          <w:rFonts w:ascii="Times New Roman" w:hAnsi="Times New Roman" w:eastAsia="Times New Roman" w:cs="Times New Roman"/>
          <w:b/>
          <w:bCs/>
          <w:i/>
          <w:iCs/>
          <w:lang w:val="en-IN"/>
        </w:rPr>
        <w:t xml:space="preserve">In case of configuring separate </w:t>
      </w:r>
      <w:r>
        <w:rPr>
          <w:rFonts w:ascii="Times New Roman" w:hAnsi="Times New Roman" w:eastAsia="Times New Roman" w:cs="Times New Roman"/>
          <w:b/>
          <w:bCs/>
          <w:i/>
          <w:iCs/>
        </w:rPr>
        <w:t>CSI-ReportConfig for SBFD and non-SBFD scenario, the CSI reference resource and reporting criteria are associated with the valid symbol type for CSI derivation.</w:t>
      </w:r>
    </w:p>
    <w:p>
      <w:pPr>
        <w:widowControl w:val="0"/>
        <w:spacing w:before="0" w:after="0" w:line="240" w:lineRule="auto"/>
        <w:jc w:val="both"/>
        <w:rPr>
          <w:rFonts w:ascii="Times New Roman" w:hAnsi="Times New Roman" w:eastAsia="Times New Roman" w:cs="Times New Roman"/>
          <w:i/>
          <w:iCs/>
        </w:rPr>
      </w:pPr>
    </w:p>
    <w:p>
      <w:pPr>
        <w:widowControl w:val="0"/>
        <w:spacing w:before="0" w:after="0" w:line="240" w:lineRule="auto"/>
        <w:jc w:val="both"/>
        <w:rPr>
          <w:rFonts w:ascii="Times New Roman" w:hAnsi="Times New Roman" w:eastAsia="Times New Roman" w:cs="Times New Roman"/>
          <w:i/>
          <w:iCs/>
        </w:rPr>
      </w:pPr>
      <w:r>
        <w:rPr>
          <w:rFonts w:ascii="Times New Roman" w:hAnsi="Times New Roman" w:eastAsia="Times New Roman" w:cs="Times New Roman"/>
          <w:b/>
          <w:bCs/>
          <w:i/>
          <w:iCs/>
        </w:rPr>
        <w:t xml:space="preserve">Proposal 2: </w:t>
      </w:r>
      <w:r>
        <w:rPr>
          <w:rFonts w:ascii="Times New Roman" w:hAnsi="Times New Roman" w:eastAsia="Times New Roman" w:cs="Times New Roman"/>
          <w:b/>
          <w:bCs/>
          <w:i/>
          <w:iCs/>
          <w:lang w:val="en-IN"/>
        </w:rPr>
        <w:t>In case of configuring valid symbol type</w:t>
      </w:r>
      <w:r>
        <w:rPr>
          <w:rFonts w:ascii="Times New Roman" w:hAnsi="Times New Roman" w:eastAsia="Times New Roman" w:cs="Times New Roman"/>
          <w:b/>
          <w:bCs/>
          <w:i/>
          <w:iCs/>
        </w:rPr>
        <w:t xml:space="preserve"> for CSI derivation, UE </w:t>
      </w:r>
      <w:r>
        <w:rPr>
          <w:rFonts w:ascii="Times New Roman" w:hAnsi="Times New Roman" w:eastAsia="Times New Roman" w:cs="Times New Roman"/>
          <w:b/>
          <w:bCs/>
          <w:i/>
          <w:iCs/>
          <w:lang w:val="en-IN"/>
        </w:rPr>
        <w:t>reporting CSI only if it receives at least one CSI-RS resource, in valid symbol type</w:t>
      </w:r>
      <w:r>
        <w:rPr>
          <w:rFonts w:ascii="Times New Roman" w:hAnsi="Times New Roman" w:eastAsia="Times New Roman" w:cs="Times New Roman"/>
          <w:b/>
          <w:bCs/>
          <w:i/>
          <w:iCs/>
        </w:rPr>
        <w:t xml:space="preserve"> for CSI derivation</w:t>
      </w:r>
      <w:r>
        <w:rPr>
          <w:rFonts w:ascii="Times New Roman" w:hAnsi="Times New Roman" w:eastAsia="Times New Roman" w:cs="Times New Roman"/>
          <w:b/>
          <w:bCs/>
          <w:i/>
          <w:iCs/>
          <w:lang w:val="en-IN"/>
        </w:rPr>
        <w:t>, before the CSI Reference resource</w:t>
      </w:r>
      <w:r>
        <w:rPr>
          <w:rFonts w:ascii="Times New Roman" w:hAnsi="Times New Roman" w:eastAsia="Times New Roman" w:cs="Times New Roman"/>
          <w:b/>
          <w:bCs/>
          <w:i/>
          <w:iCs/>
        </w:rPr>
        <w:t xml:space="preserve"> is supported.</w:t>
      </w:r>
    </w:p>
    <w:p>
      <w:pPr>
        <w:widowControl w:val="0"/>
        <w:spacing w:before="0" w:after="0" w:line="240" w:lineRule="auto"/>
        <w:jc w:val="both"/>
        <w:rPr>
          <w:rFonts w:ascii="Times New Roman" w:hAnsi="Times New Roman" w:eastAsia="Times New Roman" w:cs="Times New Roman"/>
          <w:b/>
          <w:bCs/>
          <w:i/>
          <w:iCs/>
        </w:rPr>
      </w:pPr>
    </w:p>
    <w:p>
      <w:pPr>
        <w:widowControl w:val="0"/>
        <w:spacing w:before="0" w:after="0" w:line="240"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3: In case of configuring valid symbol type for CSI derivation and timeRestrictionForChannelMeasurements or timeRestrictionForInterferenceMeasurements, UE deriving the CSI parameter based on the most recent CSI-RS occasion, in valid symbol type and no later than the CSI reference resource, is supported.</w:t>
      </w:r>
    </w:p>
    <w:p>
      <w:pPr>
        <w:widowControl w:val="0"/>
        <w:spacing w:before="0" w:after="0" w:line="240" w:lineRule="auto"/>
        <w:jc w:val="both"/>
        <w:rPr>
          <w:rFonts w:ascii="Times New Roman" w:hAnsi="Times New Roman" w:eastAsia="Times New Roman" w:cs="Times New Roman"/>
          <w:b/>
          <w:bCs/>
          <w:i/>
          <w:iCs/>
        </w:rPr>
      </w:pPr>
    </w:p>
    <w:p>
      <w:pPr>
        <w:widowControl w:val="0"/>
        <w:spacing w:before="0" w:after="0" w:line="240"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4: Defining priority rule for CSI report comprising CSI parameters associated with SBFD and non-SBFD scenario is supported.</w:t>
      </w:r>
    </w:p>
    <w:p>
      <w:pPr>
        <w:widowControl w:val="0"/>
        <w:spacing w:before="0" w:after="0" w:line="240" w:lineRule="auto"/>
        <w:jc w:val="both"/>
        <w:rPr>
          <w:rFonts w:ascii="Times New Roman" w:hAnsi="Times New Roman" w:eastAsia="Times New Roman" w:cs="Times New Roman"/>
          <w:b/>
          <w:bCs/>
          <w:i/>
          <w:iCs/>
        </w:rPr>
      </w:pPr>
    </w:p>
    <w:p>
      <w:pPr>
        <w:widowControl w:val="0"/>
        <w:tabs>
          <w:tab w:val="left" w:pos="1800"/>
          <w:tab w:val="center" w:pos="4536"/>
          <w:tab w:val="right" w:pos="9072"/>
        </w:tabs>
        <w:spacing w:before="0" w:after="140" w:line="276"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Observation 2: CSI reports comprising CSI parameters for SBFD scenario should be prioritized over non-SBFD scenario because </w:t>
      </w:r>
    </w:p>
    <w:p>
      <w:pPr>
        <w:pStyle w:val="43"/>
        <w:widowControl w:val="0"/>
        <w:numPr>
          <w:ilvl w:val="0"/>
          <w:numId w:val="6"/>
        </w:numPr>
        <w:tabs>
          <w:tab w:val="left" w:pos="1800"/>
          <w:tab w:val="center" w:pos="4536"/>
          <w:tab w:val="right" w:pos="9072"/>
        </w:tabs>
        <w:spacing w:before="0" w:after="140" w:line="276"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SBFD operation is more sensitive to interference and requires precise CSI for effective link adaptation and interference management. </w:t>
      </w:r>
    </w:p>
    <w:p>
      <w:pPr>
        <w:pStyle w:val="43"/>
        <w:widowControl w:val="0"/>
        <w:numPr>
          <w:ilvl w:val="0"/>
          <w:numId w:val="6"/>
        </w:numPr>
        <w:tabs>
          <w:tab w:val="left" w:pos="1800"/>
          <w:tab w:val="center" w:pos="4536"/>
          <w:tab w:val="right" w:pos="9072"/>
        </w:tabs>
        <w:spacing w:before="0" w:after="140" w:line="276"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Ensures simultaneous UL and DL transmission/reception under limited UL resources.</w:t>
      </w:r>
    </w:p>
    <w:p>
      <w:pPr>
        <w:pStyle w:val="43"/>
        <w:widowControl w:val="0"/>
        <w:numPr>
          <w:ilvl w:val="0"/>
          <w:numId w:val="6"/>
        </w:numPr>
        <w:tabs>
          <w:tab w:val="left" w:pos="1800"/>
          <w:tab w:val="center" w:pos="4536"/>
          <w:tab w:val="right" w:pos="9072"/>
        </w:tabs>
        <w:spacing w:before="0" w:after="140" w:line="276" w:lineRule="auto"/>
        <w:contextualSpacing/>
        <w:jc w:val="both"/>
        <w:rPr>
          <w:rFonts w:ascii="Times New Roman" w:hAnsi="Times New Roman" w:eastAsia="Times New Roman" w:cs="Times New Roman"/>
          <w:b/>
          <w:bCs/>
          <w:i/>
          <w:iCs/>
        </w:rPr>
      </w:pPr>
      <w:r>
        <w:rPr>
          <w:rFonts w:ascii="Times New Roman" w:hAnsi="Times New Roman" w:eastAsia="Times New Roman" w:cs="Times New Roman"/>
          <w:b/>
          <w:bCs/>
          <w:i/>
          <w:iCs/>
        </w:rPr>
        <w:t>CSI measurement is the only option to get channel state information corresponding to SBFD scenario, as the SBFD scenario is not applicable for SSB symbols.</w:t>
      </w:r>
    </w:p>
    <w:p>
      <w:pPr>
        <w:widowControl w:val="0"/>
        <w:tabs>
          <w:tab w:val="left" w:pos="1800"/>
          <w:tab w:val="center" w:pos="4536"/>
          <w:tab w:val="right" w:pos="9072"/>
        </w:tabs>
        <w:spacing w:before="0" w:after="140" w:line="276"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5: Prioritizing CSI parameters for SBFD scenarios over non-SBFD scenario for Part 1 CSI Report and for each category in part 2 CSI Report is supported.</w:t>
      </w:r>
    </w:p>
    <w:p>
      <w:pPr>
        <w:tabs>
          <w:tab w:val="left" w:pos="1800"/>
          <w:tab w:val="center" w:pos="4536"/>
          <w:tab w:val="right" w:pos="9072"/>
        </w:tabs>
        <w:spacing w:before="0" w:after="140" w:line="276" w:lineRule="auto"/>
        <w:jc w:val="both"/>
        <w:rPr>
          <w:rFonts w:ascii="Times New Roman" w:hAnsi="Times New Roman" w:eastAsia="Times New Roman" w:cs="Times New Roman"/>
          <w:b/>
          <w:bCs/>
          <w:i/>
          <w:iCs/>
        </w:rPr>
      </w:pPr>
    </w:p>
    <w:p>
      <w:pPr>
        <w:pStyle w:val="6"/>
        <w:widowControl w:val="0"/>
        <w:rPr>
          <w:b/>
          <w:bCs/>
          <w:sz w:val="32"/>
          <w:szCs w:val="32"/>
        </w:rPr>
      </w:pPr>
      <w:r>
        <w:rPr>
          <w:b/>
          <w:bCs/>
          <w:sz w:val="32"/>
          <w:szCs w:val="32"/>
        </w:rPr>
        <w:t>4. References</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1. RP-241614, Revised WID: Evolution of NR duplex operation: Sub-band full duplex (SBFD), TSG RAN #104, Shanghai, China, June 17</w:t>
      </w:r>
      <w:r>
        <w:rPr>
          <w:rFonts w:ascii="Times New Roman" w:hAnsi="Times New Roman" w:eastAsia="Times New Roman" w:cs="Times New Roman"/>
          <w:vertAlign w:val="superscript"/>
        </w:rPr>
        <w:t>th</w:t>
      </w:r>
      <w:r>
        <w:rPr>
          <w:rFonts w:ascii="Times New Roman" w:hAnsi="Times New Roman" w:eastAsia="Times New Roman" w:cs="Times New Roman"/>
        </w:rPr>
        <w:t xml:space="preserve"> -20</w:t>
      </w:r>
      <w:r>
        <w:rPr>
          <w:rFonts w:ascii="Times New Roman" w:hAnsi="Times New Roman" w:eastAsia="Times New Roman" w:cs="Times New Roman"/>
          <w:vertAlign w:val="superscript"/>
        </w:rPr>
        <w:t>th</w:t>
      </w:r>
      <w:r>
        <w:rPr>
          <w:rFonts w:ascii="Times New Roman" w:hAnsi="Times New Roman" w:eastAsia="Times New Roman" w:cs="Times New Roman"/>
        </w:rPr>
        <w:t xml:space="preserve">, 2024. </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2. Chair notes, 3GPP RAN1#116, Athens, Greece, February 26th – March 1st, 2024.</w:t>
      </w:r>
    </w:p>
    <w:p>
      <w:pPr>
        <w:widowControl/>
        <w:spacing w:before="120" w:after="120" w:line="276" w:lineRule="auto"/>
        <w:ind w:left="0" w:firstLine="0"/>
        <w:jc w:val="both"/>
        <w:rPr>
          <w:rFonts w:ascii="Times New Roman" w:hAnsi="Times New Roman" w:eastAsia="Times New Roman" w:cs="Times New Roman"/>
          <w:b w:val="0"/>
          <w:bCs w:val="0"/>
          <w:i w:val="0"/>
          <w:iCs w:val="0"/>
          <w:sz w:val="24"/>
          <w:szCs w:val="24"/>
          <w:lang w:val="en-US"/>
        </w:rPr>
      </w:pPr>
      <w:r>
        <w:rPr>
          <w:rStyle w:val="15"/>
          <w:rFonts w:ascii="Times New Roman" w:hAnsi="Times New Roman" w:eastAsia="Times New Roman" w:cs="Times New Roman"/>
          <w:b w:val="0"/>
          <w:bCs w:val="0"/>
          <w:i w:val="0"/>
          <w:iCs w:val="0"/>
          <w:sz w:val="24"/>
          <w:szCs w:val="24"/>
          <w:lang w:val="en-US"/>
        </w:rPr>
        <w:t>3. Chair notes, 3GPP RAN1#116bis, Changsha, China, April 15th - 19th, 2024.</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4. Chair notes, 3GPP RAN1#117, Fukuoka, Japan, May 20</w:t>
      </w:r>
      <w:r>
        <w:rPr>
          <w:rFonts w:ascii="Times New Roman" w:hAnsi="Times New Roman" w:eastAsia="Times New Roman" w:cs="Times New Roman"/>
          <w:vertAlign w:val="superscript"/>
        </w:rPr>
        <w:t>th</w:t>
      </w:r>
      <w:r>
        <w:rPr>
          <w:rFonts w:ascii="Times New Roman" w:hAnsi="Times New Roman" w:eastAsia="Times New Roman" w:cs="Times New Roman"/>
        </w:rPr>
        <w:t xml:space="preserve"> – 24</w:t>
      </w:r>
      <w:r>
        <w:rPr>
          <w:rFonts w:ascii="Times New Roman" w:hAnsi="Times New Roman" w:eastAsia="Times New Roman" w:cs="Times New Roman"/>
          <w:vertAlign w:val="superscript"/>
        </w:rPr>
        <w:t>th</w:t>
      </w:r>
      <w:r>
        <w:rPr>
          <w:rFonts w:ascii="Times New Roman" w:hAnsi="Times New Roman" w:eastAsia="Times New Roman" w:cs="Times New Roman"/>
        </w:rPr>
        <w:t>, 2024.</w:t>
      </w:r>
    </w:p>
    <w:p>
      <w:pPr>
        <w:widowControl/>
        <w:spacing w:before="120" w:after="120" w:line="276" w:lineRule="auto"/>
        <w:ind w:left="0" w:firstLine="0"/>
        <w:jc w:val="both"/>
        <w:rPr>
          <w:rFonts w:ascii="Times New Roman" w:hAnsi="Times New Roman" w:eastAsia="Times New Roman" w:cs="Times New Roman"/>
          <w:b w:val="0"/>
          <w:bCs w:val="0"/>
          <w:i w:val="0"/>
          <w:iCs w:val="0"/>
          <w:sz w:val="24"/>
          <w:szCs w:val="24"/>
          <w:lang w:val="en-US"/>
        </w:rPr>
      </w:pPr>
      <w:r>
        <w:rPr>
          <w:rStyle w:val="15"/>
          <w:rFonts w:ascii="Times New Roman" w:hAnsi="Times New Roman" w:eastAsia="Times New Roman" w:cs="Times New Roman"/>
          <w:b w:val="0"/>
          <w:bCs w:val="0"/>
          <w:i w:val="0"/>
          <w:iCs w:val="0"/>
          <w:sz w:val="24"/>
          <w:szCs w:val="24"/>
          <w:lang w:val="en-US"/>
        </w:rPr>
        <w:t>5. Chair notes, 3GPP RAN1#118, Maastricht, Netherland, August 19</w:t>
      </w:r>
      <w:r>
        <w:rPr>
          <w:rStyle w:val="15"/>
          <w:rFonts w:ascii="Times New Roman" w:hAnsi="Times New Roman" w:eastAsia="Times New Roman" w:cs="Times New Roman"/>
          <w:b w:val="0"/>
          <w:bCs w:val="0"/>
          <w:i w:val="0"/>
          <w:iCs w:val="0"/>
          <w:sz w:val="24"/>
          <w:szCs w:val="24"/>
          <w:vertAlign w:val="superscript"/>
          <w:lang w:val="en-US"/>
        </w:rPr>
        <w:t>th</w:t>
      </w:r>
      <w:r>
        <w:rPr>
          <w:rStyle w:val="15"/>
          <w:rFonts w:ascii="Times New Roman" w:hAnsi="Times New Roman" w:eastAsia="Times New Roman" w:cs="Times New Roman"/>
          <w:b w:val="0"/>
          <w:bCs w:val="0"/>
          <w:i w:val="0"/>
          <w:iCs w:val="0"/>
          <w:sz w:val="24"/>
          <w:szCs w:val="24"/>
          <w:lang w:val="en-US"/>
        </w:rPr>
        <w:t xml:space="preserve"> – 23</w:t>
      </w:r>
      <w:r>
        <w:rPr>
          <w:rStyle w:val="15"/>
          <w:rFonts w:ascii="Times New Roman" w:hAnsi="Times New Roman" w:eastAsia="Times New Roman" w:cs="Times New Roman"/>
          <w:b w:val="0"/>
          <w:bCs w:val="0"/>
          <w:i w:val="0"/>
          <w:iCs w:val="0"/>
          <w:sz w:val="24"/>
          <w:szCs w:val="24"/>
          <w:vertAlign w:val="superscript"/>
          <w:lang w:val="en-US"/>
        </w:rPr>
        <w:t>rd</w:t>
      </w:r>
      <w:r>
        <w:rPr>
          <w:rStyle w:val="15"/>
          <w:rFonts w:ascii="Times New Roman" w:hAnsi="Times New Roman" w:eastAsia="Times New Roman" w:cs="Times New Roman"/>
          <w:b w:val="0"/>
          <w:bCs w:val="0"/>
          <w:i w:val="0"/>
          <w:iCs w:val="0"/>
          <w:sz w:val="24"/>
          <w:szCs w:val="24"/>
          <w:lang w:val="en-US"/>
        </w:rPr>
        <w:t>, 2024</w:t>
      </w:r>
    </w:p>
    <w:p>
      <w:pPr>
        <w:spacing w:before="119" w:after="119" w:line="276" w:lineRule="auto"/>
        <w:jc w:val="both"/>
        <w:rPr>
          <w:rFonts w:ascii="Times New Roman" w:hAnsi="Times New Roman" w:eastAsia="Times New Roman" w:cs="Times New Roman"/>
        </w:rPr>
      </w:pPr>
      <w:r>
        <w:rPr>
          <w:rFonts w:ascii="Times New Roman" w:hAnsi="Times New Roman" w:eastAsia="Times New Roman" w:cs="Times New Roman"/>
        </w:rPr>
        <w:t>6. Chair notes, 3GPP RAN1#118-bis, Hefei, China, October 14th – 18th, 2024</w:t>
      </w:r>
    </w:p>
    <w:p>
      <w:pPr>
        <w:widowControl/>
        <w:spacing w:before="120" w:after="120" w:line="276" w:lineRule="auto"/>
        <w:ind w:left="0" w:firstLine="0"/>
        <w:jc w:val="both"/>
        <w:rPr>
          <w:rFonts w:ascii="Times New Roman" w:hAnsi="Times New Roman" w:eastAsia="Times New Roman" w:cs="Times New Roman"/>
          <w:b w:val="0"/>
          <w:bCs w:val="0"/>
          <w:i w:val="0"/>
          <w:iCs w:val="0"/>
          <w:sz w:val="24"/>
          <w:szCs w:val="24"/>
          <w:lang w:val="en-US"/>
        </w:rPr>
      </w:pPr>
      <w:r>
        <w:rPr>
          <w:rStyle w:val="15"/>
          <w:rFonts w:ascii="Times New Roman" w:hAnsi="Times New Roman" w:eastAsia="Times New Roman" w:cs="Times New Roman"/>
          <w:b w:val="0"/>
          <w:bCs w:val="0"/>
          <w:i w:val="0"/>
          <w:iCs w:val="0"/>
          <w:sz w:val="24"/>
          <w:szCs w:val="24"/>
          <w:lang w:val="en-US"/>
        </w:rPr>
        <w:t>7. Chair notes, 3GPP RAN1#119, Orlando, USA, November 18th – 22nd, 2024</w:t>
      </w:r>
    </w:p>
    <w:p>
      <w:pPr>
        <w:spacing w:before="0" w:after="0" w:line="240" w:lineRule="auto"/>
        <w:jc w:val="both"/>
        <w:rPr>
          <w:rFonts w:ascii="Times New Roman" w:hAnsi="Times New Roman" w:eastAsia="Times New Roman" w:cs="Times New Roman"/>
        </w:rPr>
      </w:pPr>
      <w:r>
        <w:rPr>
          <w:rFonts w:ascii="Times New Roman" w:hAnsi="Times New Roman" w:eastAsia="Times New Roman" w:cs="Times New Roman"/>
        </w:rPr>
        <w:t>8. Chair notes, 3GPP RAN1#120, Athens</w:t>
      </w:r>
      <w:r>
        <w:rPr>
          <w:rFonts w:ascii="Times New Roman" w:hAnsi="Times New Roman" w:eastAsia="Times New Roman" w:cs="Times New Roman"/>
          <w:lang w:eastAsia="zh-CN"/>
        </w:rPr>
        <w:t xml:space="preserve">, </w:t>
      </w:r>
      <w:r>
        <w:rPr>
          <w:rFonts w:ascii="Times New Roman" w:hAnsi="Times New Roman" w:eastAsia="Times New Roman" w:cs="Times New Roman"/>
        </w:rPr>
        <w:t>Greece</w:t>
      </w:r>
      <w:r>
        <w:rPr>
          <w:rFonts w:ascii="Times New Roman" w:hAnsi="Times New Roman" w:eastAsia="Times New Roman" w:cs="Times New Roman"/>
          <w:lang w:eastAsia="zh-CN"/>
        </w:rPr>
        <w:t xml:space="preserve">, February </w:t>
      </w:r>
      <w:r>
        <w:rPr>
          <w:rFonts w:ascii="Times New Roman" w:hAnsi="Times New Roman" w:eastAsia="Times New Roman" w:cs="Times New Roman"/>
        </w:rPr>
        <w:t>17</w:t>
      </w:r>
      <w:r>
        <w:rPr>
          <w:rFonts w:ascii="Times New Roman" w:hAnsi="Times New Roman" w:eastAsia="Times New Roman" w:cs="Times New Roman"/>
          <w:vertAlign w:val="superscript"/>
          <w:lang w:eastAsia="zh-CN"/>
        </w:rPr>
        <w:t>th</w:t>
      </w:r>
      <w:r>
        <w:rPr>
          <w:rFonts w:ascii="Times New Roman" w:hAnsi="Times New Roman" w:eastAsia="Times New Roman" w:cs="Times New Roman"/>
          <w:lang w:eastAsia="zh-CN"/>
        </w:rPr>
        <w:t xml:space="preserve"> – </w:t>
      </w:r>
      <w:r>
        <w:rPr>
          <w:rFonts w:ascii="Times New Roman" w:hAnsi="Times New Roman" w:eastAsia="Times New Roman" w:cs="Times New Roman"/>
        </w:rPr>
        <w:t>21</w:t>
      </w:r>
      <w:r>
        <w:rPr>
          <w:rFonts w:ascii="Times New Roman" w:hAnsi="Times New Roman" w:eastAsia="Times New Roman" w:cs="Times New Roman"/>
          <w:vertAlign w:val="superscript"/>
        </w:rPr>
        <w:t>st</w:t>
      </w:r>
      <w:r>
        <w:rPr>
          <w:rFonts w:ascii="Times New Roman" w:hAnsi="Times New Roman" w:eastAsia="Times New Roman" w:cs="Times New Roman"/>
          <w:lang w:eastAsia="zh-CN"/>
        </w:rPr>
        <w:t>,</w:t>
      </w:r>
      <w:r>
        <w:rPr>
          <w:rFonts w:ascii="Times New Roman" w:hAnsi="Times New Roman" w:eastAsia="Times New Roman" w:cs="Times New Roman"/>
        </w:rPr>
        <w:t xml:space="preserve"> </w:t>
      </w:r>
      <w:r>
        <w:rPr>
          <w:rFonts w:ascii="Times New Roman" w:hAnsi="Times New Roman" w:eastAsia="Times New Roman" w:cs="Times New Roman"/>
          <w:lang w:eastAsia="zh-CN"/>
        </w:rPr>
        <w:t>202</w:t>
      </w:r>
      <w:r>
        <w:rPr>
          <w:rFonts w:ascii="Times New Roman" w:hAnsi="Times New Roman" w:eastAsia="Times New Roman" w:cs="Times New Roman"/>
        </w:rPr>
        <w:t>5</w:t>
      </w:r>
    </w:p>
    <w:p>
      <w:pPr>
        <w:spacing w:before="119" w:after="119" w:line="276" w:lineRule="auto"/>
        <w:jc w:val="both"/>
        <w:rPr>
          <w:rFonts w:ascii="Times New Roman" w:hAnsi="Times New Roman" w:eastAsia="Times New Roman" w:cs="Times New Roman"/>
          <w:sz w:val="20"/>
          <w:szCs w:val="20"/>
        </w:rPr>
      </w:pPr>
    </w:p>
    <w:p>
      <w:pPr>
        <w:widowControl w:val="0"/>
      </w:pPr>
    </w:p>
    <w:p>
      <w:pPr>
        <w:widowControl w:val="0"/>
        <w:spacing w:before="0" w:after="0" w:line="240" w:lineRule="auto"/>
        <w:jc w:val="both"/>
        <w:rPr>
          <w:rFonts w:ascii="Times New Roman" w:hAnsi="Times New Roman" w:eastAsia="Times New Roman" w:cs="Times New Roman"/>
          <w:b/>
          <w:bCs/>
        </w:rPr>
      </w:pPr>
    </w:p>
    <w:p>
      <w:pPr>
        <w:widowControl/>
        <w:bidi w:val="0"/>
        <w:spacing w:before="0" w:after="160" w:line="278" w:lineRule="auto"/>
        <w:jc w:val="left"/>
      </w:pPr>
    </w:p>
    <w:sectPr>
      <w:pgSz w:w="12240" w:h="15840"/>
      <w:pgMar w:top="1440" w:right="1440" w:bottom="1440" w:left="1440" w:header="0" w:footer="0" w:gutter="0"/>
      <w:pgNumType w:fmt="decimal"/>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0" w:usb3="00000000" w:csb0="00040001" w:csb1="00000000"/>
  </w:font>
  <w:font w:name="Aptos">
    <w:altName w:val="Gubbi"/>
    <w:panose1 w:val="00000000000000000000"/>
    <w:charset w:val="01"/>
    <w:family w:val="roman"/>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Aptos">
    <w:altName w:val="Gubbi"/>
    <w:panose1 w:val="00000000000000000000"/>
    <w:charset w:val="00"/>
    <w:family w:val="auto"/>
    <w:pitch w:val="default"/>
    <w:sig w:usb0="00000000" w:usb1="00000000" w:usb2="00000000" w:usb3="00000000" w:csb0="00000000" w:csb1="00000000"/>
  </w:font>
  <w:font w:name="Aptos Display">
    <w:altName w:val="Gubbi"/>
    <w:panose1 w:val="00000000000000000000"/>
    <w:charset w:val="01"/>
    <w:family w:val="roman"/>
    <w:pitch w:val="default"/>
    <w:sig w:usb0="00000000" w:usb1="00000000" w:usb2="00000000" w:usb3="00000000" w:csb0="00000000" w:csb1="00000000"/>
  </w:font>
  <w:font w:name="Liberation Sans">
    <w:panose1 w:val="020B0604020202020204"/>
    <w:charset w:val="01"/>
    <w:family w:val="swiss"/>
    <w:pitch w:val="default"/>
    <w:sig w:usb0="A00002AF" w:usb1="500078FB" w:usb2="00000000" w:usb3="00000000" w:csb0="6000009F" w:csb1="DFD70000"/>
  </w:font>
  <w:font w:name="Noto Sans CJK SC">
    <w:panose1 w:val="020B05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Times">
    <w:altName w:val="DejaVu Sans"/>
    <w:panose1 w:val="00000000000000000000"/>
    <w:charset w:val="01"/>
    <w:family w:val="auto"/>
    <w:pitch w:val="default"/>
    <w:sig w:usb0="00000000" w:usb1="00000000" w:usb2="00000000" w:usb3="00000000" w:csb0="00000000" w:csb1="00000000"/>
  </w:font>
  <w:font w:name="Symbol">
    <w:altName w:val="Gubbi"/>
    <w:panose1 w:val="00000000000000000000"/>
    <w:charset w:val="02"/>
    <w:family w:val="roman"/>
    <w:pitch w:val="default"/>
    <w:sig w:usb0="00000000" w:usb1="00000000" w:usb2="00000000" w:usb3="00000000" w:csb0="00000000" w:csb1="00000000"/>
  </w:font>
  <w:font w:name="Courier New">
    <w:altName w:val="DejaVu Sans"/>
    <w:panose1 w:val="00000000000000000000"/>
    <w:charset w:val="01"/>
    <w:family w:val="auto"/>
    <w:pitch w:val="default"/>
    <w:sig w:usb0="00000000" w:usb1="00000000" w:usb2="00000000" w:usb3="00000000" w:csb0="00000000" w:csb1="00000000"/>
  </w:font>
  <w:font w:name="Wingdings">
    <w:altName w:val="Gubbi"/>
    <w:panose1 w:val="00000000000000000000"/>
    <w:charset w:val="02"/>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ptos Display">
    <w:altName w:val="Gubb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BBFFE6"/>
    <w:multiLevelType w:val="multilevel"/>
    <w:tmpl w:val="9EBBFFE6"/>
    <w:lvl w:ilvl="0" w:tentative="0">
      <w:start w:val="1"/>
      <w:numFmt w:val="bullet"/>
      <w:lvlText w:val=""/>
      <w:lvlJc w:val="left"/>
      <w:pPr>
        <w:tabs>
          <w:tab w:val="left" w:pos="0"/>
        </w:tabs>
        <w:ind w:left="1800" w:hanging="360"/>
      </w:pPr>
      <w:rPr>
        <w:rFonts w:hint="default" w:ascii="Wingdings" w:hAnsi="Wingdings" w:cs="Wingdings"/>
      </w:rPr>
    </w:lvl>
    <w:lvl w:ilvl="1" w:tentative="0">
      <w:start w:val="1"/>
      <w:numFmt w:val="bullet"/>
      <w:lvlText w:val="o"/>
      <w:lvlJc w:val="left"/>
      <w:pPr>
        <w:tabs>
          <w:tab w:val="left" w:pos="0"/>
        </w:tabs>
        <w:ind w:left="2520" w:hanging="360"/>
      </w:pPr>
      <w:rPr>
        <w:rFonts w:hint="default" w:ascii="Courier New" w:hAnsi="Courier New" w:cs="Courier New"/>
      </w:rPr>
    </w:lvl>
    <w:lvl w:ilvl="2" w:tentative="0">
      <w:start w:val="1"/>
      <w:numFmt w:val="bullet"/>
      <w:lvlText w:val=""/>
      <w:lvlJc w:val="left"/>
      <w:pPr>
        <w:tabs>
          <w:tab w:val="left" w:pos="0"/>
        </w:tabs>
        <w:ind w:left="3240" w:hanging="360"/>
      </w:pPr>
      <w:rPr>
        <w:rFonts w:hint="default" w:ascii="Wingdings" w:hAnsi="Wingdings" w:cs="Wingdings"/>
      </w:rPr>
    </w:lvl>
    <w:lvl w:ilvl="3" w:tentative="0">
      <w:start w:val="1"/>
      <w:numFmt w:val="bullet"/>
      <w:lvlText w:val=""/>
      <w:lvlJc w:val="left"/>
      <w:pPr>
        <w:tabs>
          <w:tab w:val="left" w:pos="0"/>
        </w:tabs>
        <w:ind w:left="3960" w:hanging="360"/>
      </w:pPr>
      <w:rPr>
        <w:rFonts w:hint="default" w:ascii="Symbol" w:hAnsi="Symbol" w:cs="Symbol"/>
      </w:rPr>
    </w:lvl>
    <w:lvl w:ilvl="4" w:tentative="0">
      <w:start w:val="1"/>
      <w:numFmt w:val="bullet"/>
      <w:lvlText w:val="o"/>
      <w:lvlJc w:val="left"/>
      <w:pPr>
        <w:tabs>
          <w:tab w:val="left" w:pos="0"/>
        </w:tabs>
        <w:ind w:left="4680" w:hanging="360"/>
      </w:pPr>
      <w:rPr>
        <w:rFonts w:hint="default" w:ascii="Courier New" w:hAnsi="Courier New" w:cs="Courier New"/>
      </w:rPr>
    </w:lvl>
    <w:lvl w:ilvl="5" w:tentative="0">
      <w:start w:val="1"/>
      <w:numFmt w:val="bullet"/>
      <w:lvlText w:val=""/>
      <w:lvlJc w:val="left"/>
      <w:pPr>
        <w:tabs>
          <w:tab w:val="left" w:pos="0"/>
        </w:tabs>
        <w:ind w:left="5400" w:hanging="360"/>
      </w:pPr>
      <w:rPr>
        <w:rFonts w:hint="default" w:ascii="Wingdings" w:hAnsi="Wingdings" w:cs="Wingdings"/>
      </w:rPr>
    </w:lvl>
    <w:lvl w:ilvl="6" w:tentative="0">
      <w:start w:val="1"/>
      <w:numFmt w:val="bullet"/>
      <w:lvlText w:val=""/>
      <w:lvlJc w:val="left"/>
      <w:pPr>
        <w:tabs>
          <w:tab w:val="left" w:pos="0"/>
        </w:tabs>
        <w:ind w:left="6120" w:hanging="360"/>
      </w:pPr>
      <w:rPr>
        <w:rFonts w:hint="default" w:ascii="Symbol" w:hAnsi="Symbol" w:cs="Symbol"/>
      </w:rPr>
    </w:lvl>
    <w:lvl w:ilvl="7" w:tentative="0">
      <w:start w:val="1"/>
      <w:numFmt w:val="bullet"/>
      <w:lvlText w:val="o"/>
      <w:lvlJc w:val="left"/>
      <w:pPr>
        <w:tabs>
          <w:tab w:val="left" w:pos="0"/>
        </w:tabs>
        <w:ind w:left="6840" w:hanging="360"/>
      </w:pPr>
      <w:rPr>
        <w:rFonts w:hint="default" w:ascii="Courier New" w:hAnsi="Courier New" w:cs="Courier New"/>
      </w:rPr>
    </w:lvl>
    <w:lvl w:ilvl="8" w:tentative="0">
      <w:start w:val="1"/>
      <w:numFmt w:val="bullet"/>
      <w:lvlText w:val=""/>
      <w:lvlJc w:val="left"/>
      <w:pPr>
        <w:tabs>
          <w:tab w:val="left" w:pos="0"/>
        </w:tabs>
        <w:ind w:left="7560" w:hanging="360"/>
      </w:pPr>
      <w:rPr>
        <w:rFonts w:hint="default" w:ascii="Wingdings" w:hAnsi="Wingdings" w:cs="Wingdings"/>
      </w:rPr>
    </w:lvl>
  </w:abstractNum>
  <w:abstractNum w:abstractNumId="1">
    <w:nsid w:val="F978302D"/>
    <w:multiLevelType w:val="multilevel"/>
    <w:tmpl w:val="F978302D"/>
    <w:lvl w:ilvl="0" w:tentative="0">
      <w:start w:val="1"/>
      <w:numFmt w:val="bullet"/>
      <w:lvlText w:val="o"/>
      <w:lvlJc w:val="left"/>
      <w:pPr>
        <w:tabs>
          <w:tab w:val="left" w:pos="0"/>
        </w:tabs>
        <w:ind w:left="1080" w:hanging="360"/>
      </w:pPr>
      <w:rPr>
        <w:rFonts w:hint="default" w:ascii="Courier New" w:hAnsi="Courier New" w:cs="Courier New"/>
      </w:rPr>
    </w:lvl>
    <w:lvl w:ilvl="1" w:tentative="0">
      <w:start w:val="1"/>
      <w:numFmt w:val="bullet"/>
      <w:lvlText w:val="o"/>
      <w:lvlJc w:val="left"/>
      <w:pPr>
        <w:tabs>
          <w:tab w:val="left" w:pos="0"/>
        </w:tabs>
        <w:ind w:left="1800" w:hanging="360"/>
      </w:pPr>
      <w:rPr>
        <w:rFonts w:hint="default" w:ascii="Courier New" w:hAnsi="Courier New" w:cs="Courier New"/>
      </w:rPr>
    </w:lvl>
    <w:lvl w:ilvl="2" w:tentative="0">
      <w:start w:val="1"/>
      <w:numFmt w:val="bullet"/>
      <w:lvlText w:val=""/>
      <w:lvlJc w:val="left"/>
      <w:pPr>
        <w:tabs>
          <w:tab w:val="left" w:pos="0"/>
        </w:tabs>
        <w:ind w:left="2520" w:hanging="360"/>
      </w:pPr>
      <w:rPr>
        <w:rFonts w:hint="default" w:ascii="Wingdings" w:hAnsi="Wingdings" w:cs="Wingdings"/>
      </w:rPr>
    </w:lvl>
    <w:lvl w:ilvl="3" w:tentative="0">
      <w:start w:val="1"/>
      <w:numFmt w:val="bullet"/>
      <w:lvlText w:val=""/>
      <w:lvlJc w:val="left"/>
      <w:pPr>
        <w:tabs>
          <w:tab w:val="left" w:pos="0"/>
        </w:tabs>
        <w:ind w:left="3240" w:hanging="360"/>
      </w:pPr>
      <w:rPr>
        <w:rFonts w:hint="default" w:ascii="Symbol" w:hAnsi="Symbol" w:cs="Symbol"/>
      </w:rPr>
    </w:lvl>
    <w:lvl w:ilvl="4" w:tentative="0">
      <w:start w:val="1"/>
      <w:numFmt w:val="bullet"/>
      <w:lvlText w:val="o"/>
      <w:lvlJc w:val="left"/>
      <w:pPr>
        <w:tabs>
          <w:tab w:val="left" w:pos="0"/>
        </w:tabs>
        <w:ind w:left="3960" w:hanging="360"/>
      </w:pPr>
      <w:rPr>
        <w:rFonts w:hint="default" w:ascii="Courier New" w:hAnsi="Courier New" w:cs="Courier New"/>
      </w:rPr>
    </w:lvl>
    <w:lvl w:ilvl="5" w:tentative="0">
      <w:start w:val="1"/>
      <w:numFmt w:val="bullet"/>
      <w:lvlText w:val=""/>
      <w:lvlJc w:val="left"/>
      <w:pPr>
        <w:tabs>
          <w:tab w:val="left" w:pos="0"/>
        </w:tabs>
        <w:ind w:left="4680" w:hanging="360"/>
      </w:pPr>
      <w:rPr>
        <w:rFonts w:hint="default" w:ascii="Wingdings" w:hAnsi="Wingdings" w:cs="Wingdings"/>
      </w:rPr>
    </w:lvl>
    <w:lvl w:ilvl="6" w:tentative="0">
      <w:start w:val="1"/>
      <w:numFmt w:val="bullet"/>
      <w:lvlText w:val=""/>
      <w:lvlJc w:val="left"/>
      <w:pPr>
        <w:tabs>
          <w:tab w:val="left" w:pos="0"/>
        </w:tabs>
        <w:ind w:left="5400" w:hanging="360"/>
      </w:pPr>
      <w:rPr>
        <w:rFonts w:hint="default" w:ascii="Symbol" w:hAnsi="Symbol" w:cs="Symbol"/>
      </w:rPr>
    </w:lvl>
    <w:lvl w:ilvl="7" w:tentative="0">
      <w:start w:val="1"/>
      <w:numFmt w:val="bullet"/>
      <w:lvlText w:val="o"/>
      <w:lvlJc w:val="left"/>
      <w:pPr>
        <w:tabs>
          <w:tab w:val="left" w:pos="0"/>
        </w:tabs>
        <w:ind w:left="6120" w:hanging="360"/>
      </w:pPr>
      <w:rPr>
        <w:rFonts w:hint="default" w:ascii="Courier New" w:hAnsi="Courier New" w:cs="Courier New"/>
      </w:rPr>
    </w:lvl>
    <w:lvl w:ilvl="8" w:tentative="0">
      <w:start w:val="1"/>
      <w:numFmt w:val="bullet"/>
      <w:lvlText w:val=""/>
      <w:lvlJc w:val="left"/>
      <w:pPr>
        <w:tabs>
          <w:tab w:val="left" w:pos="0"/>
        </w:tabs>
        <w:ind w:left="6840" w:hanging="360"/>
      </w:pPr>
      <w:rPr>
        <w:rFonts w:hint="default" w:ascii="Wingdings" w:hAnsi="Wingdings" w:cs="Wingdings"/>
      </w:rPr>
    </w:lvl>
  </w:abstractNum>
  <w:abstractNum w:abstractNumId="2">
    <w:nsid w:val="FDFF3225"/>
    <w:multiLevelType w:val="multilevel"/>
    <w:tmpl w:val="FDFF322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1EBCCB8B"/>
    <w:multiLevelType w:val="multilevel"/>
    <w:tmpl w:val="1EBCCB8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76EA7AD9"/>
    <w:multiLevelType w:val="multilevel"/>
    <w:tmpl w:val="76EA7AD9"/>
    <w:lvl w:ilvl="0" w:tentative="0">
      <w:start w:val="1"/>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Times" w:hAnsi="Times" w:cs="Times"/>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7F6478A6"/>
    <w:multiLevelType w:val="multilevel"/>
    <w:tmpl w:val="7F6478A6"/>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autoHyphenation/>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FFF43D3"/>
    <w:rsid w:val="7FF70748"/>
    <w:rsid w:val="BD776B98"/>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widowControl/>
      <w:suppressAutoHyphens/>
      <w:bidi w:val="0"/>
      <w:spacing w:before="0" w:after="160" w:line="278" w:lineRule="auto"/>
      <w:jc w:val="left"/>
    </w:pPr>
    <w:rPr>
      <w:rFonts w:asciiTheme="minorHAnsi" w:hAnsiTheme="minorHAnsi" w:eastAsiaTheme="minorEastAsia" w:cstheme="minorBidi"/>
      <w:color w:val="auto"/>
      <w:kern w:val="0"/>
      <w:sz w:val="24"/>
      <w:szCs w:val="24"/>
      <w:lang w:val="en-US" w:eastAsia="ja-JP" w:bidi="ar-SA"/>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3"/>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4"/>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5"/>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6"/>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7"/>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8"/>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unhideWhenUsed/>
    <w:qFormat/>
    <w:uiPriority w:val="9"/>
    <w:pPr>
      <w:keepNext/>
      <w:keepLines/>
      <w:spacing w:before="0"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0"/>
    <w:unhideWhenUsed/>
    <w:qFormat/>
    <w:uiPriority w:val="9"/>
    <w:pPr>
      <w:keepNext/>
      <w:keepLines/>
      <w:spacing w:before="0"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ody Text"/>
    <w:basedOn w:val="1"/>
    <w:uiPriority w:val="0"/>
    <w:pPr>
      <w:spacing w:before="0" w:after="140" w:line="276" w:lineRule="auto"/>
    </w:pPr>
  </w:style>
  <w:style w:type="paragraph" w:styleId="14">
    <w:name w:val="caption"/>
    <w:basedOn w:val="1"/>
    <w:next w:val="1"/>
    <w:qFormat/>
    <w:uiPriority w:val="0"/>
    <w:pPr>
      <w:suppressLineNumbers/>
      <w:spacing w:before="120" w:after="120"/>
    </w:pPr>
    <w:rPr>
      <w:rFonts w:cs="Lohit Devanagari"/>
      <w:i/>
      <w:iCs/>
      <w:sz w:val="24"/>
      <w:szCs w:val="24"/>
    </w:rPr>
  </w:style>
  <w:style w:type="character" w:styleId="15">
    <w:name w:val="annotation reference"/>
    <w:basedOn w:val="11"/>
    <w:semiHidden/>
    <w:unhideWhenUsed/>
    <w:qFormat/>
    <w:uiPriority w:val="99"/>
    <w:rPr>
      <w:sz w:val="16"/>
      <w:szCs w:val="16"/>
    </w:rPr>
  </w:style>
  <w:style w:type="paragraph" w:styleId="16">
    <w:name w:val="annotation text"/>
    <w:basedOn w:val="1"/>
    <w:link w:val="39"/>
    <w:unhideWhenUsed/>
    <w:qFormat/>
    <w:uiPriority w:val="99"/>
    <w:pPr>
      <w:spacing w:line="240" w:lineRule="auto"/>
    </w:pPr>
    <w:rPr>
      <w:sz w:val="20"/>
      <w:szCs w:val="20"/>
    </w:rPr>
  </w:style>
  <w:style w:type="paragraph" w:styleId="17">
    <w:name w:val="annotation subject"/>
    <w:basedOn w:val="16"/>
    <w:next w:val="16"/>
    <w:link w:val="40"/>
    <w:semiHidden/>
    <w:unhideWhenUsed/>
    <w:qFormat/>
    <w:uiPriority w:val="99"/>
    <w:rPr>
      <w:b/>
      <w:bCs/>
    </w:rPr>
  </w:style>
  <w:style w:type="paragraph" w:styleId="18">
    <w:name w:val="List"/>
    <w:basedOn w:val="13"/>
    <w:uiPriority w:val="0"/>
    <w:rPr>
      <w:rFonts w:cs="Lohit Devanagari"/>
    </w:rPr>
  </w:style>
  <w:style w:type="paragraph" w:styleId="19">
    <w:name w:val="Subtitle"/>
    <w:basedOn w:val="1"/>
    <w:next w:val="1"/>
    <w:link w:val="3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21">
    <w:name w:val="Title"/>
    <w:basedOn w:val="1"/>
    <w:next w:val="1"/>
    <w:link w:val="31"/>
    <w:qFormat/>
    <w:uiPriority w:val="10"/>
    <w:pPr>
      <w:spacing w:before="0" w:after="80" w:line="240" w:lineRule="auto"/>
      <w:contextualSpacing/>
    </w:pPr>
    <w:rPr>
      <w:rFonts w:asciiTheme="majorHAnsi" w:hAnsiTheme="majorHAnsi" w:eastAsiaTheme="majorEastAsia" w:cstheme="majorBidi"/>
      <w:spacing w:val="-10"/>
      <w:kern w:val="2"/>
      <w:sz w:val="56"/>
      <w:szCs w:val="56"/>
    </w:rPr>
  </w:style>
  <w:style w:type="character" w:customStyle="1" w:styleId="22">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3">
    <w:name w:val="Heading 2 Char"/>
    <w:basedOn w:val="11"/>
    <w:link w:val="3"/>
    <w:qFormat/>
    <w:uiPriority w:val="9"/>
    <w:rPr>
      <w:rFonts w:asciiTheme="majorHAnsi" w:hAnsiTheme="majorHAnsi" w:eastAsiaTheme="majorEastAsia" w:cstheme="majorBidi"/>
      <w:color w:val="104862" w:themeColor="accent1" w:themeShade="BF"/>
      <w:sz w:val="32"/>
      <w:szCs w:val="32"/>
    </w:rPr>
  </w:style>
  <w:style w:type="character" w:customStyle="1" w:styleId="24">
    <w:name w:val="Heading 3 Char"/>
    <w:basedOn w:val="11"/>
    <w:link w:val="4"/>
    <w:qFormat/>
    <w:uiPriority w:val="9"/>
    <w:rPr>
      <w:rFonts w:eastAsiaTheme="majorEastAsia" w:cstheme="majorBidi"/>
      <w:color w:val="104862" w:themeColor="accent1" w:themeShade="BF"/>
      <w:sz w:val="28"/>
      <w:szCs w:val="28"/>
    </w:rPr>
  </w:style>
  <w:style w:type="character" w:customStyle="1" w:styleId="25">
    <w:name w:val="Heading 4 Char"/>
    <w:basedOn w:val="11"/>
    <w:link w:val="5"/>
    <w:qFormat/>
    <w:uiPriority w:val="9"/>
    <w:rPr>
      <w:rFonts w:eastAsiaTheme="majorEastAsia" w:cstheme="majorBidi"/>
      <w:i/>
      <w:iCs/>
      <w:color w:val="104862" w:themeColor="accent1" w:themeShade="BF"/>
    </w:rPr>
  </w:style>
  <w:style w:type="character" w:customStyle="1" w:styleId="26">
    <w:name w:val="Heading 5 Char"/>
    <w:basedOn w:val="11"/>
    <w:link w:val="6"/>
    <w:qFormat/>
    <w:uiPriority w:val="9"/>
    <w:rPr>
      <w:rFonts w:eastAsiaTheme="majorEastAsia" w:cstheme="majorBidi"/>
      <w:color w:val="104862" w:themeColor="accent1" w:themeShade="BF"/>
    </w:rPr>
  </w:style>
  <w:style w:type="character" w:customStyle="1" w:styleId="27">
    <w:name w:val="Heading 6 Char"/>
    <w:basedOn w:val="11"/>
    <w:link w:val="7"/>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8">
    <w:name w:val="Heading 7 Char"/>
    <w:basedOn w:val="11"/>
    <w:link w:val="8"/>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Heading 8 Char"/>
    <w:basedOn w:val="11"/>
    <w:link w:val="9"/>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0">
    <w:name w:val="Heading 9 Char"/>
    <w:basedOn w:val="11"/>
    <w:link w:val="10"/>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Title Char"/>
    <w:basedOn w:val="11"/>
    <w:link w:val="21"/>
    <w:qFormat/>
    <w:uiPriority w:val="10"/>
    <w:rPr>
      <w:rFonts w:asciiTheme="majorHAnsi" w:hAnsiTheme="majorHAnsi" w:eastAsiaTheme="majorEastAsia" w:cstheme="majorBidi"/>
      <w:spacing w:val="-10"/>
      <w:kern w:val="2"/>
      <w:sz w:val="56"/>
      <w:szCs w:val="56"/>
    </w:rPr>
  </w:style>
  <w:style w:type="character" w:customStyle="1" w:styleId="32">
    <w:name w:val="Subtitle Char"/>
    <w:basedOn w:val="11"/>
    <w:link w:val="1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33">
    <w:name w:val="Intense Emphasis"/>
    <w:basedOn w:val="11"/>
    <w:qFormat/>
    <w:uiPriority w:val="21"/>
    <w:rPr>
      <w:i/>
      <w:iCs/>
      <w:color w:val="104862" w:themeColor="accent1" w:themeShade="BF"/>
    </w:rPr>
  </w:style>
  <w:style w:type="character" w:customStyle="1" w:styleId="34">
    <w:name w:val="Quote Char"/>
    <w:basedOn w:val="11"/>
    <w:link w:val="35"/>
    <w:qFormat/>
    <w:uiPriority w:val="29"/>
    <w:rPr>
      <w:i/>
      <w:iCs/>
      <w:color w:val="404040" w:themeColor="text1" w:themeTint="BF"/>
      <w14:textFill>
        <w14:solidFill>
          <w14:schemeClr w14:val="tx1">
            <w14:lumMod w14:val="75000"/>
            <w14:lumOff w14:val="25000"/>
          </w14:schemeClr>
        </w14:solidFill>
      </w14:textFill>
    </w:rPr>
  </w:style>
  <w:style w:type="paragraph" w:styleId="35">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Intense Quote Char"/>
    <w:basedOn w:val="11"/>
    <w:link w:val="37"/>
    <w:qFormat/>
    <w:uiPriority w:val="30"/>
    <w:rPr>
      <w:i/>
      <w:iCs/>
      <w:color w:val="104862" w:themeColor="accent1" w:themeShade="BF"/>
    </w:rPr>
  </w:style>
  <w:style w:type="paragraph" w:styleId="37">
    <w:name w:val="Intense Quote"/>
    <w:basedOn w:val="1"/>
    <w:next w:val="1"/>
    <w:link w:val="36"/>
    <w:qFormat/>
    <w:uiPriority w:val="30"/>
    <w:pPr>
      <w:pBdr>
        <w:top w:val="single" w:color="0F4761" w:sz="4" w:space="10"/>
        <w:bottom w:val="single" w:color="0F4761" w:sz="4" w:space="10"/>
      </w:pBdr>
      <w:spacing w:before="360" w:after="360"/>
      <w:ind w:left="864" w:right="864" w:firstLine="0"/>
      <w:jc w:val="center"/>
    </w:pPr>
    <w:rPr>
      <w:i/>
      <w:iCs/>
      <w:color w:val="104862" w:themeColor="accent1" w:themeShade="BF"/>
    </w:rPr>
  </w:style>
  <w:style w:type="character" w:customStyle="1" w:styleId="38">
    <w:name w:val="Intense Reference"/>
    <w:basedOn w:val="11"/>
    <w:qFormat/>
    <w:uiPriority w:val="32"/>
    <w:rPr>
      <w:b/>
      <w:bCs/>
      <w:smallCaps/>
      <w:color w:val="104862" w:themeColor="accent1" w:themeShade="BF"/>
      <w:spacing w:val="5"/>
    </w:rPr>
  </w:style>
  <w:style w:type="character" w:customStyle="1" w:styleId="39">
    <w:name w:val="Comment Text Char"/>
    <w:basedOn w:val="11"/>
    <w:link w:val="16"/>
    <w:qFormat/>
    <w:uiPriority w:val="99"/>
    <w:rPr>
      <w:sz w:val="20"/>
      <w:szCs w:val="20"/>
    </w:rPr>
  </w:style>
  <w:style w:type="character" w:customStyle="1" w:styleId="40">
    <w:name w:val="Comment Subject Char"/>
    <w:basedOn w:val="39"/>
    <w:link w:val="17"/>
    <w:semiHidden/>
    <w:qFormat/>
    <w:uiPriority w:val="99"/>
    <w:rPr>
      <w:b/>
      <w:bCs/>
      <w:sz w:val="20"/>
      <w:szCs w:val="20"/>
    </w:rPr>
  </w:style>
  <w:style w:type="paragraph" w:customStyle="1" w:styleId="41">
    <w:name w:val="Heading"/>
    <w:basedOn w:val="1"/>
    <w:next w:val="13"/>
    <w:qFormat/>
    <w:uiPriority w:val="0"/>
    <w:pPr>
      <w:keepNext/>
      <w:spacing w:before="240" w:after="120"/>
    </w:pPr>
    <w:rPr>
      <w:rFonts w:ascii="Liberation Sans" w:hAnsi="Liberation Sans" w:eastAsia="Noto Sans CJK SC" w:cs="Lohit Devanagari"/>
      <w:sz w:val="28"/>
      <w:szCs w:val="28"/>
    </w:rPr>
  </w:style>
  <w:style w:type="paragraph" w:customStyle="1" w:styleId="42">
    <w:name w:val="Index"/>
    <w:basedOn w:val="1"/>
    <w:qFormat/>
    <w:uiPriority w:val="0"/>
    <w:pPr>
      <w:suppressLineNumbers/>
    </w:pPr>
    <w:rPr>
      <w:rFonts w:cs="Lohit Devanagari"/>
    </w:rPr>
  </w:style>
  <w:style w:type="paragraph" w:styleId="43">
    <w:name w:val="List Paragraph"/>
    <w:basedOn w:val="1"/>
    <w:qFormat/>
    <w:uiPriority w:val="34"/>
    <w:pPr>
      <w:spacing w:before="0" w:after="160"/>
      <w:ind w:left="720" w:firstLine="0"/>
      <w:contextualSpacing/>
    </w:pPr>
  </w:style>
  <w:style w:type="paragraph" w:customStyle="1" w:styleId="44">
    <w:name w:val="Revision"/>
    <w:semiHidden/>
    <w:qFormat/>
    <w:uiPriority w:val="99"/>
    <w:pPr>
      <w:widowControl/>
      <w:suppressAutoHyphens/>
      <w:bidi w:val="0"/>
      <w:spacing w:before="0" w:after="0" w:line="240" w:lineRule="auto"/>
      <w:jc w:val="left"/>
    </w:pPr>
    <w:rPr>
      <w:rFonts w:asciiTheme="minorHAnsi" w:hAnsiTheme="minorHAnsi" w:eastAsiaTheme="minorEastAsia" w:cstheme="minorBidi"/>
      <w:color w:val="auto"/>
      <w:kern w:val="0"/>
      <w:sz w:val="24"/>
      <w:szCs w:val="24"/>
      <w:lang w:val="en-US"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2171</Words>
  <Characters>12617</Characters>
  <Paragraphs>93</Paragraphs>
  <TotalTime>1</TotalTime>
  <ScaleCrop>false</ScaleCrop>
  <LinksUpToDate>false</LinksUpToDate>
  <CharactersWithSpaces>14860</CharactersWithSpaces>
  <Application>WPS Office_11.1.0.11691_F1E327BC-269C-435d-A152-05C5408002CA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2025-03-20T12:51:00Z</dcterms:created>
  <dc:creator>Sonil Baberwal</dc:creator>
  <cp:lastModifiedBy>deepak</cp:lastModifiedBy>
  <dcterms:modified xsi:type="dcterms:W3CDTF">2025-03-28T16:50:29Z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1033-11.1.0.11691</vt:lpwstr>
  </property>
</Properties>
</file>