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287C62A5" w:rsidR="0054757B" w:rsidRPr="00B258ED" w:rsidRDefault="0054757B" w:rsidP="0054757B">
      <w:pPr>
        <w:tabs>
          <w:tab w:val="center" w:pos="4536"/>
          <w:tab w:val="right" w:pos="9072"/>
        </w:tabs>
        <w:rPr>
          <w:rFonts w:ascii="Arial" w:eastAsia="MS Mincho" w:hAnsi="Arial" w:cs="Arial"/>
          <w:b/>
          <w:bCs/>
          <w:sz w:val="22"/>
          <w:szCs w:val="22"/>
          <w:lang w:val="de-DE"/>
        </w:rPr>
      </w:pPr>
      <w:r w:rsidRPr="00B258ED">
        <w:rPr>
          <w:rFonts w:ascii="Arial" w:eastAsia="MS Mincho" w:hAnsi="Arial" w:cs="Arial"/>
          <w:b/>
          <w:bCs/>
          <w:sz w:val="22"/>
          <w:szCs w:val="22"/>
          <w:lang w:val="de-DE"/>
        </w:rPr>
        <w:t>3GPP TSG RAN WG1 #</w:t>
      </w:r>
      <w:r w:rsidR="00942CEC" w:rsidRPr="00B258ED">
        <w:rPr>
          <w:rFonts w:ascii="Arial" w:eastAsia="MS Mincho" w:hAnsi="Arial" w:cs="Arial"/>
          <w:b/>
          <w:bCs/>
          <w:sz w:val="22"/>
          <w:szCs w:val="22"/>
          <w:lang w:val="de-DE"/>
        </w:rPr>
        <w:t>120</w:t>
      </w:r>
      <w:r w:rsidR="00B258ED" w:rsidRPr="00B258ED">
        <w:rPr>
          <w:rFonts w:ascii="Arial" w:eastAsia="MS Mincho" w:hAnsi="Arial" w:cs="Arial"/>
          <w:b/>
          <w:bCs/>
          <w:sz w:val="22"/>
          <w:szCs w:val="22"/>
          <w:lang w:val="de-DE"/>
        </w:rPr>
        <w:t>bis</w:t>
      </w:r>
      <w:r w:rsidRPr="00B258ED">
        <w:rPr>
          <w:rFonts w:ascii="Arial" w:eastAsia="MS Mincho" w:hAnsi="Arial" w:cs="Arial"/>
          <w:b/>
          <w:bCs/>
          <w:sz w:val="22"/>
          <w:szCs w:val="22"/>
          <w:lang w:val="de-DE"/>
        </w:rPr>
        <w:tab/>
      </w:r>
      <w:r w:rsidRPr="00B258ED">
        <w:rPr>
          <w:rFonts w:ascii="Arial" w:eastAsia="MS Mincho" w:hAnsi="Arial" w:cs="Arial"/>
          <w:b/>
          <w:bCs/>
          <w:sz w:val="22"/>
          <w:szCs w:val="22"/>
          <w:lang w:val="de-DE"/>
        </w:rPr>
        <w:tab/>
        <w:t xml:space="preserve">        </w:t>
      </w:r>
      <w:r w:rsidR="00273F4C" w:rsidRPr="00B258ED">
        <w:rPr>
          <w:rFonts w:ascii="Arial" w:eastAsia="MS Mincho" w:hAnsi="Arial" w:cs="Arial"/>
          <w:b/>
          <w:bCs/>
          <w:sz w:val="22"/>
          <w:szCs w:val="22"/>
          <w:lang w:val="de-DE"/>
        </w:rPr>
        <w:t xml:space="preserve">     </w:t>
      </w:r>
      <w:r w:rsidR="00086B38">
        <w:rPr>
          <w:rFonts w:ascii="Arial" w:eastAsia="MS Mincho" w:hAnsi="Arial" w:cs="Arial"/>
          <w:b/>
          <w:bCs/>
          <w:sz w:val="22"/>
          <w:szCs w:val="22"/>
          <w:lang w:val="de-DE"/>
        </w:rPr>
        <w:t>R1-2502593</w:t>
      </w:r>
    </w:p>
    <w:p w14:paraId="27010138" w14:textId="74029EB1" w:rsidR="0054757B" w:rsidRPr="00CD3507" w:rsidRDefault="00B258ED"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Wuhan</w:t>
      </w:r>
      <w:r w:rsidR="0054757B" w:rsidRPr="00CD3507">
        <w:rPr>
          <w:rFonts w:ascii="Arial" w:eastAsia="MS Mincho" w:hAnsi="Arial" w:cs="Arial"/>
          <w:b/>
          <w:bCs/>
          <w:sz w:val="22"/>
          <w:szCs w:val="22"/>
        </w:rPr>
        <w:t xml:space="preserve">, </w:t>
      </w:r>
      <w:r>
        <w:rPr>
          <w:rFonts w:ascii="Arial" w:eastAsia="MS Mincho" w:hAnsi="Arial" w:cs="Arial"/>
          <w:b/>
          <w:bCs/>
          <w:sz w:val="22"/>
          <w:szCs w:val="22"/>
        </w:rPr>
        <w:t>China</w:t>
      </w:r>
      <w:r w:rsidR="0054757B" w:rsidRPr="00CD3507">
        <w:rPr>
          <w:rFonts w:ascii="Arial" w:eastAsia="MS Mincho" w:hAnsi="Arial" w:cs="Arial"/>
          <w:b/>
          <w:bCs/>
          <w:sz w:val="22"/>
          <w:szCs w:val="22"/>
        </w:rPr>
        <w:t xml:space="preserve">, </w:t>
      </w:r>
      <w:r>
        <w:rPr>
          <w:rFonts w:ascii="Arial" w:eastAsia="MS Mincho" w:hAnsi="Arial" w:cs="Arial"/>
          <w:b/>
          <w:bCs/>
          <w:sz w:val="22"/>
          <w:szCs w:val="22"/>
        </w:rPr>
        <w:t>April</w:t>
      </w:r>
      <w:r w:rsidR="0054757B" w:rsidRPr="00CD3507">
        <w:rPr>
          <w:rFonts w:ascii="Arial" w:eastAsia="MS Mincho" w:hAnsi="Arial" w:cs="Arial"/>
          <w:b/>
          <w:bCs/>
          <w:sz w:val="22"/>
          <w:szCs w:val="22"/>
        </w:rPr>
        <w:t xml:space="preserve"> </w:t>
      </w:r>
      <w:r w:rsidR="00942CEC">
        <w:rPr>
          <w:rFonts w:ascii="Arial" w:eastAsia="MS Mincho" w:hAnsi="Arial" w:cs="Arial"/>
          <w:b/>
          <w:bCs/>
          <w:sz w:val="22"/>
          <w:szCs w:val="22"/>
        </w:rPr>
        <w:t>7</w:t>
      </w:r>
      <w:r w:rsidR="00942CEC" w:rsidRPr="00942CEC">
        <w:rPr>
          <w:rFonts w:ascii="Arial" w:eastAsia="MS Mincho" w:hAnsi="Arial" w:cs="Arial"/>
          <w:b/>
          <w:bCs/>
          <w:sz w:val="22"/>
          <w:szCs w:val="22"/>
          <w:vertAlign w:val="superscript"/>
        </w:rPr>
        <w:t>th</w:t>
      </w:r>
      <w:r w:rsidR="00942CEC">
        <w:rPr>
          <w:rFonts w:ascii="Arial" w:eastAsia="MS Mincho" w:hAnsi="Arial" w:cs="Arial"/>
          <w:b/>
          <w:bCs/>
          <w:sz w:val="22"/>
          <w:szCs w:val="22"/>
        </w:rPr>
        <w:t xml:space="preserve"> </w:t>
      </w:r>
      <w:r w:rsidR="0054757B" w:rsidRPr="00CD3507">
        <w:rPr>
          <w:rFonts w:ascii="Arial" w:eastAsia="MS Mincho" w:hAnsi="Arial" w:cs="Arial"/>
          <w:b/>
          <w:bCs/>
          <w:sz w:val="22"/>
          <w:szCs w:val="22"/>
        </w:rPr>
        <w:t xml:space="preserve">– </w:t>
      </w:r>
      <w:r>
        <w:rPr>
          <w:rFonts w:ascii="Arial" w:eastAsia="MS Mincho" w:hAnsi="Arial" w:cs="Arial"/>
          <w:b/>
          <w:bCs/>
          <w:sz w:val="22"/>
          <w:szCs w:val="22"/>
        </w:rPr>
        <w:t>11</w:t>
      </w:r>
      <w:r w:rsidRPr="00B258ED">
        <w:rPr>
          <w:rFonts w:ascii="Arial" w:eastAsia="MS Mincho" w:hAnsi="Arial" w:cs="Arial"/>
          <w:b/>
          <w:bCs/>
          <w:sz w:val="22"/>
          <w:szCs w:val="22"/>
          <w:vertAlign w:val="superscript"/>
        </w:rPr>
        <w:t>th</w:t>
      </w:r>
      <w:r w:rsidR="00942CEC">
        <w:rPr>
          <w:rFonts w:ascii="Arial" w:eastAsia="MS Mincho" w:hAnsi="Arial" w:cs="Arial"/>
          <w:b/>
          <w:bCs/>
          <w:sz w:val="22"/>
          <w:szCs w:val="22"/>
        </w:rPr>
        <w:t>,</w:t>
      </w:r>
      <w:r w:rsidR="0054757B" w:rsidRPr="00CD3507">
        <w:rPr>
          <w:rFonts w:ascii="Arial" w:eastAsia="MS Mincho" w:hAnsi="Arial" w:cs="Arial"/>
          <w:b/>
          <w:bCs/>
          <w:sz w:val="22"/>
          <w:szCs w:val="22"/>
        </w:rPr>
        <w:t xml:space="preserve"> 202</w:t>
      </w:r>
      <w:r w:rsidR="00942CEC">
        <w:rPr>
          <w:rFonts w:ascii="Arial" w:eastAsia="MS Mincho" w:hAnsi="Arial" w:cs="Arial"/>
          <w:b/>
          <w:bCs/>
          <w:sz w:val="22"/>
          <w:szCs w:val="22"/>
        </w:rPr>
        <w:t>5</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65A7FEEF"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1B7D09">
        <w:rPr>
          <w:rFonts w:ascii="Arial" w:hAnsi="Arial" w:cs="Arial"/>
          <w:sz w:val="22"/>
          <w:szCs w:val="22"/>
        </w:rPr>
        <w:t>5</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6785B5EE"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47317F" w:rsidRPr="0047317F">
        <w:rPr>
          <w:rFonts w:ascii="Arial" w:hAnsi="Arial" w:cs="Arial"/>
          <w:sz w:val="22"/>
          <w:szCs w:val="22"/>
        </w:rPr>
        <w:t>Discussion on RAN4 LS on RRM aspects for LB CA via switching</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0BBCA021" w14:textId="6E7C3D56" w:rsidR="006D086B" w:rsidRPr="0047317F" w:rsidRDefault="00B23EB7" w:rsidP="0047317F">
      <w:pPr>
        <w:pStyle w:val="Heading1"/>
      </w:pPr>
      <w:r w:rsidRPr="00BA3534">
        <w:t>Introduction</w:t>
      </w:r>
      <w:bookmarkStart w:id="0" w:name="_Hlk58595024"/>
    </w:p>
    <w:p w14:paraId="75C5D129" w14:textId="257BE5DB" w:rsidR="006D086B" w:rsidRDefault="008B5920" w:rsidP="0047317F">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47317F">
        <w:rPr>
          <w:rFonts w:cs="Times New Roman"/>
          <w:iCs/>
          <w:sz w:val="22"/>
          <w:szCs w:val="22"/>
          <w:lang w:val="en-US"/>
        </w:rPr>
        <w:t>we discuss the impacts to be considered from the RAN4 LS that was sent related to RRM measurements for low-band carrier aggregation via switching [1].</w:t>
      </w:r>
    </w:p>
    <w:p w14:paraId="564FB38C" w14:textId="77777777" w:rsidR="00E24CEE" w:rsidRPr="006D086B" w:rsidRDefault="00E24CEE" w:rsidP="0047317F">
      <w:pPr>
        <w:pStyle w:val="0Maintext"/>
        <w:spacing w:after="0" w:afterAutospacing="0"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0599839A" w14:textId="5ED4FE58" w:rsidR="00CE6CC6" w:rsidRDefault="000E5FD4" w:rsidP="00E575C1">
      <w:pPr>
        <w:jc w:val="both"/>
        <w:rPr>
          <w:sz w:val="22"/>
          <w:szCs w:val="22"/>
        </w:rPr>
      </w:pPr>
      <w:r>
        <w:rPr>
          <w:sz w:val="22"/>
          <w:szCs w:val="22"/>
        </w:rPr>
        <w:t>In [1], RAN4 provided following information:</w:t>
      </w:r>
    </w:p>
    <w:p w14:paraId="074B4ECA" w14:textId="77777777" w:rsidR="000E5FD4" w:rsidRPr="002E0DC1" w:rsidRDefault="000E5FD4" w:rsidP="00E575C1">
      <w:pPr>
        <w:jc w:val="both"/>
        <w:rPr>
          <w:i/>
          <w:iCs/>
          <w:sz w:val="22"/>
          <w:szCs w:val="22"/>
        </w:rPr>
      </w:pPr>
    </w:p>
    <w:p w14:paraId="41906AFE" w14:textId="77777777" w:rsidR="002E0DC1" w:rsidRPr="002E0DC1" w:rsidRDefault="002E0DC1" w:rsidP="002E0DC1">
      <w:pPr>
        <w:rPr>
          <w:i/>
          <w:iCs/>
          <w:sz w:val="22"/>
          <w:szCs w:val="22"/>
        </w:rPr>
      </w:pPr>
      <w:r w:rsidRPr="002E0DC1">
        <w:rPr>
          <w:i/>
          <w:iCs/>
          <w:sz w:val="22"/>
          <w:szCs w:val="22"/>
        </w:rPr>
        <w:t>RAN4 discussed the impact of LB CA via switching on RAN4 RRM requirements and would like to share the following information to RAN1.</w:t>
      </w:r>
    </w:p>
    <w:p w14:paraId="5C656FB5" w14:textId="77777777" w:rsidR="002E0DC1" w:rsidRPr="002E0DC1" w:rsidRDefault="002E0DC1" w:rsidP="002E0DC1">
      <w:pPr>
        <w:pStyle w:val="ListParagraph"/>
        <w:numPr>
          <w:ilvl w:val="0"/>
          <w:numId w:val="107"/>
        </w:numPr>
        <w:overflowPunct w:val="0"/>
        <w:autoSpaceDE w:val="0"/>
        <w:autoSpaceDN w:val="0"/>
        <w:adjustRightInd w:val="0"/>
        <w:spacing w:after="180"/>
        <w:ind w:leftChars="0"/>
        <w:textAlignment w:val="baseline"/>
        <w:rPr>
          <w:rFonts w:ascii="Times New Roman" w:hAnsi="Times New Roman"/>
          <w:i/>
          <w:iCs/>
          <w:sz w:val="22"/>
          <w:szCs w:val="22"/>
          <w:lang w:val="en-US"/>
        </w:rPr>
      </w:pPr>
      <w:r w:rsidRPr="002E0DC1">
        <w:rPr>
          <w:rFonts w:ascii="Times New Roman" w:hAnsi="Times New Roman"/>
          <w:i/>
          <w:iCs/>
          <w:sz w:val="22"/>
          <w:szCs w:val="22"/>
          <w:lang w:val="en-US"/>
        </w:rPr>
        <w:t>In TS38.133, UL transmit timing requirements are applicable provided that at least one SSB is available at the UE during the last 160 ms.</w:t>
      </w:r>
    </w:p>
    <w:p w14:paraId="3A7B6000" w14:textId="77777777" w:rsidR="002E0DC1" w:rsidRPr="002E0DC1" w:rsidRDefault="002E0DC1" w:rsidP="002E0DC1">
      <w:pPr>
        <w:pStyle w:val="ListParagraph"/>
        <w:numPr>
          <w:ilvl w:val="0"/>
          <w:numId w:val="107"/>
        </w:numPr>
        <w:overflowPunct w:val="0"/>
        <w:autoSpaceDE w:val="0"/>
        <w:autoSpaceDN w:val="0"/>
        <w:adjustRightInd w:val="0"/>
        <w:spacing w:after="180"/>
        <w:ind w:leftChars="0"/>
        <w:textAlignment w:val="baseline"/>
        <w:rPr>
          <w:rFonts w:ascii="Times New Roman" w:hAnsi="Times New Roman"/>
          <w:i/>
          <w:iCs/>
          <w:sz w:val="22"/>
          <w:szCs w:val="22"/>
          <w:lang w:val="en-US"/>
        </w:rPr>
      </w:pPr>
      <w:r w:rsidRPr="002E0DC1">
        <w:rPr>
          <w:rFonts w:ascii="Times New Roman" w:hAnsi="Times New Roman"/>
          <w:i/>
          <w:iCs/>
          <w:sz w:val="22"/>
          <w:szCs w:val="22"/>
          <w:lang w:val="en-US"/>
        </w:rPr>
        <w:t xml:space="preserve">The required availability of SSB on </w:t>
      </w:r>
      <w:proofErr w:type="spellStart"/>
      <w:r w:rsidRPr="002E0DC1">
        <w:rPr>
          <w:rFonts w:ascii="Times New Roman" w:hAnsi="Times New Roman"/>
          <w:i/>
          <w:iCs/>
          <w:sz w:val="22"/>
          <w:szCs w:val="22"/>
          <w:lang w:val="en-US"/>
        </w:rPr>
        <w:t>PCell</w:t>
      </w:r>
      <w:proofErr w:type="spellEnd"/>
      <w:r w:rsidRPr="002E0DC1">
        <w:rPr>
          <w:rFonts w:ascii="Times New Roman" w:hAnsi="Times New Roman"/>
          <w:i/>
          <w:iCs/>
          <w:sz w:val="22"/>
          <w:szCs w:val="22"/>
          <w:lang w:val="en-US"/>
        </w:rPr>
        <w:t xml:space="preserve"> and/or </w:t>
      </w:r>
      <w:proofErr w:type="spellStart"/>
      <w:r w:rsidRPr="002E0DC1">
        <w:rPr>
          <w:rFonts w:ascii="Times New Roman" w:hAnsi="Times New Roman"/>
          <w:i/>
          <w:iCs/>
          <w:sz w:val="22"/>
          <w:szCs w:val="22"/>
          <w:lang w:val="en-US"/>
        </w:rPr>
        <w:t>SCell</w:t>
      </w:r>
      <w:proofErr w:type="spellEnd"/>
      <w:r w:rsidRPr="002E0DC1">
        <w:rPr>
          <w:rFonts w:ascii="Times New Roman" w:hAnsi="Times New Roman"/>
          <w:i/>
          <w:iCs/>
          <w:sz w:val="22"/>
          <w:szCs w:val="22"/>
          <w:lang w:val="en-US"/>
        </w:rPr>
        <w:t xml:space="preserve"> for RRM requirements is still under discussion in RAN4. RAN1 does not need to wait for RAN4 discussion.</w:t>
      </w:r>
    </w:p>
    <w:p w14:paraId="393857E3" w14:textId="77777777" w:rsidR="002E0DC1" w:rsidRDefault="002E0DC1" w:rsidP="00E575C1">
      <w:pPr>
        <w:jc w:val="both"/>
        <w:rPr>
          <w:sz w:val="22"/>
          <w:szCs w:val="22"/>
        </w:rPr>
      </w:pPr>
    </w:p>
    <w:p w14:paraId="1F6E8D92" w14:textId="202B0216" w:rsidR="000D7BD6" w:rsidRPr="004938ED" w:rsidRDefault="00E7594E" w:rsidP="00E7594E">
      <w:pPr>
        <w:jc w:val="both"/>
        <w:rPr>
          <w:sz w:val="22"/>
          <w:szCs w:val="22"/>
          <w:lang w:eastAsia="zh-CN"/>
        </w:rPr>
      </w:pPr>
      <w:r w:rsidRPr="004938ED">
        <w:rPr>
          <w:sz w:val="22"/>
          <w:szCs w:val="22"/>
          <w:lang w:eastAsia="zh-CN"/>
        </w:rPr>
        <w:t>In our view, at least based on th</w:t>
      </w:r>
      <w:r w:rsidR="007269E3">
        <w:rPr>
          <w:sz w:val="22"/>
          <w:szCs w:val="22"/>
          <w:lang w:eastAsia="zh-CN"/>
        </w:rPr>
        <w:t xml:space="preserve">is LS, </w:t>
      </w:r>
      <w:r w:rsidRPr="004938ED">
        <w:rPr>
          <w:sz w:val="22"/>
          <w:szCs w:val="22"/>
          <w:lang w:eastAsia="zh-CN"/>
        </w:rPr>
        <w:t xml:space="preserve">protecting SSB on </w:t>
      </w:r>
      <w:proofErr w:type="spellStart"/>
      <w:r w:rsidRPr="004938ED">
        <w:rPr>
          <w:sz w:val="22"/>
          <w:szCs w:val="22"/>
          <w:lang w:eastAsia="zh-CN"/>
        </w:rPr>
        <w:t>PCell</w:t>
      </w:r>
      <w:proofErr w:type="spellEnd"/>
      <w:r w:rsidRPr="004938ED">
        <w:rPr>
          <w:sz w:val="22"/>
          <w:szCs w:val="22"/>
          <w:lang w:eastAsia="zh-CN"/>
        </w:rPr>
        <w:t xml:space="preserve"> is important at least for maintaining the UL transmit timing requirements at the UE. Considering that SSB patterns are fixed in specification and are commonly applied for a serving cell, therefore, it should be feasible for network to align the switching pattern configuration such that whenever an SSB is configured on </w:t>
      </w:r>
      <w:proofErr w:type="spellStart"/>
      <w:r w:rsidRPr="004938ED">
        <w:rPr>
          <w:sz w:val="22"/>
          <w:szCs w:val="22"/>
          <w:lang w:eastAsia="zh-CN"/>
        </w:rPr>
        <w:t>PCell</w:t>
      </w:r>
      <w:proofErr w:type="spellEnd"/>
      <w:r w:rsidRPr="004938ED">
        <w:rPr>
          <w:sz w:val="22"/>
          <w:szCs w:val="22"/>
          <w:lang w:eastAsia="zh-CN"/>
        </w:rPr>
        <w:t xml:space="preserve">, then according to switching pattern, the UE should be associated with the </w:t>
      </w:r>
      <w:proofErr w:type="spellStart"/>
      <w:r w:rsidRPr="004938ED">
        <w:rPr>
          <w:sz w:val="22"/>
          <w:szCs w:val="22"/>
          <w:lang w:eastAsia="zh-CN"/>
        </w:rPr>
        <w:t>PCell</w:t>
      </w:r>
      <w:proofErr w:type="spellEnd"/>
      <w:r w:rsidRPr="004938ED">
        <w:rPr>
          <w:sz w:val="22"/>
          <w:szCs w:val="22"/>
          <w:lang w:eastAsia="zh-CN"/>
        </w:rPr>
        <w:t xml:space="preserve"> on those resources. </w:t>
      </w:r>
    </w:p>
    <w:p w14:paraId="2403523D" w14:textId="77777777" w:rsidR="004C48B7" w:rsidRPr="004938ED" w:rsidRDefault="004C48B7" w:rsidP="00E7594E">
      <w:pPr>
        <w:jc w:val="both"/>
        <w:rPr>
          <w:sz w:val="22"/>
          <w:szCs w:val="22"/>
          <w:lang w:eastAsia="zh-CN"/>
        </w:rPr>
      </w:pPr>
    </w:p>
    <w:p w14:paraId="1A4E82EE" w14:textId="4BA591D2" w:rsidR="004C48B7" w:rsidRPr="004938ED" w:rsidRDefault="004C48B7" w:rsidP="00E7594E">
      <w:pPr>
        <w:jc w:val="both"/>
        <w:rPr>
          <w:b/>
          <w:bCs/>
          <w:i/>
          <w:iCs/>
          <w:sz w:val="22"/>
          <w:szCs w:val="22"/>
          <w:lang w:eastAsia="zh-CN"/>
        </w:rPr>
      </w:pPr>
      <w:r w:rsidRPr="004938ED">
        <w:rPr>
          <w:b/>
          <w:bCs/>
          <w:i/>
          <w:iCs/>
          <w:sz w:val="22"/>
          <w:szCs w:val="22"/>
          <w:lang w:eastAsia="zh-CN"/>
        </w:rPr>
        <w:t xml:space="preserve">Observation </w:t>
      </w:r>
      <w:r w:rsidR="002E0DC1">
        <w:rPr>
          <w:b/>
          <w:bCs/>
          <w:i/>
          <w:iCs/>
          <w:sz w:val="22"/>
          <w:szCs w:val="22"/>
          <w:lang w:eastAsia="zh-CN"/>
        </w:rPr>
        <w:t>1</w:t>
      </w:r>
      <w:r w:rsidRPr="004938ED">
        <w:rPr>
          <w:b/>
          <w:bCs/>
          <w:i/>
          <w:iCs/>
          <w:sz w:val="22"/>
          <w:szCs w:val="22"/>
          <w:lang w:eastAsia="zh-CN"/>
        </w:rPr>
        <w:t xml:space="preserve">: Considering that SSB patterns are known to network and configured on serving cell basis, therefore, it would be feasible for network to ensure alignment between switching pattern configuration and at least the SSB configuration in </w:t>
      </w:r>
      <w:proofErr w:type="spellStart"/>
      <w:r w:rsidRPr="004938ED">
        <w:rPr>
          <w:b/>
          <w:bCs/>
          <w:i/>
          <w:iCs/>
          <w:sz w:val="22"/>
          <w:szCs w:val="22"/>
          <w:lang w:eastAsia="zh-CN"/>
        </w:rPr>
        <w:t>PCell</w:t>
      </w:r>
      <w:proofErr w:type="spellEnd"/>
      <w:r w:rsidRPr="004938ED">
        <w:rPr>
          <w:b/>
          <w:bCs/>
          <w:i/>
          <w:iCs/>
          <w:sz w:val="22"/>
          <w:szCs w:val="22"/>
          <w:lang w:eastAsia="zh-CN"/>
        </w:rPr>
        <w:t xml:space="preserve"> in order to protect SSB by avoiding the conflict</w:t>
      </w:r>
    </w:p>
    <w:p w14:paraId="2A6A0D0C" w14:textId="77777777" w:rsidR="004C48B7" w:rsidRPr="004938ED" w:rsidRDefault="004C48B7" w:rsidP="00E7594E">
      <w:pPr>
        <w:jc w:val="both"/>
        <w:rPr>
          <w:sz w:val="22"/>
          <w:szCs w:val="22"/>
          <w:lang w:eastAsia="zh-CN"/>
        </w:rPr>
      </w:pPr>
    </w:p>
    <w:p w14:paraId="6521F924" w14:textId="29D7F2B1" w:rsidR="004C48B7" w:rsidRPr="004938ED" w:rsidRDefault="004C48B7" w:rsidP="00E7594E">
      <w:pPr>
        <w:jc w:val="both"/>
        <w:rPr>
          <w:b/>
          <w:bCs/>
          <w:i/>
          <w:iCs/>
          <w:sz w:val="22"/>
          <w:szCs w:val="22"/>
          <w:lang w:eastAsia="zh-CN"/>
        </w:rPr>
      </w:pPr>
      <w:r w:rsidRPr="004938ED">
        <w:rPr>
          <w:b/>
          <w:bCs/>
          <w:i/>
          <w:iCs/>
          <w:sz w:val="22"/>
          <w:szCs w:val="22"/>
          <w:lang w:eastAsia="zh-CN"/>
        </w:rPr>
        <w:t xml:space="preserve">Proposal 1: Network is expected to at least avoid conflict between the SSB configuration on </w:t>
      </w:r>
      <w:proofErr w:type="spellStart"/>
      <w:r w:rsidRPr="004938ED">
        <w:rPr>
          <w:b/>
          <w:bCs/>
          <w:i/>
          <w:iCs/>
          <w:sz w:val="22"/>
          <w:szCs w:val="22"/>
          <w:lang w:eastAsia="zh-CN"/>
        </w:rPr>
        <w:t>PCell</w:t>
      </w:r>
      <w:proofErr w:type="spellEnd"/>
      <w:r w:rsidRPr="004938ED">
        <w:rPr>
          <w:b/>
          <w:bCs/>
          <w:i/>
          <w:iCs/>
          <w:sz w:val="22"/>
          <w:szCs w:val="22"/>
          <w:lang w:eastAsia="zh-CN"/>
        </w:rPr>
        <w:t xml:space="preserve"> and the switching pattern configuration to the UE</w:t>
      </w:r>
    </w:p>
    <w:p w14:paraId="18C34205" w14:textId="6CABD19A" w:rsidR="004C48B7" w:rsidRPr="004938ED" w:rsidRDefault="004C48B7" w:rsidP="004C48B7">
      <w:pPr>
        <w:pStyle w:val="ListParagraph"/>
        <w:numPr>
          <w:ilvl w:val="0"/>
          <w:numId w:val="106"/>
        </w:numPr>
        <w:ind w:leftChars="0"/>
        <w:jc w:val="both"/>
        <w:rPr>
          <w:rFonts w:ascii="Times New Roman" w:hAnsi="Times New Roman"/>
          <w:b/>
          <w:bCs/>
          <w:i/>
          <w:iCs/>
          <w:sz w:val="22"/>
          <w:szCs w:val="22"/>
          <w:lang w:eastAsia="zh-CN"/>
        </w:rPr>
      </w:pPr>
      <w:r w:rsidRPr="004938ED">
        <w:rPr>
          <w:rFonts w:ascii="Times New Roman" w:hAnsi="Times New Roman"/>
          <w:b/>
          <w:bCs/>
          <w:i/>
          <w:iCs/>
          <w:sz w:val="22"/>
          <w:szCs w:val="22"/>
          <w:lang w:eastAsia="zh-CN"/>
        </w:rPr>
        <w:t>UE is not expected to handle such conflict</w:t>
      </w:r>
    </w:p>
    <w:p w14:paraId="053D857B" w14:textId="77777777" w:rsidR="003420AB" w:rsidRDefault="003420AB" w:rsidP="00053D4F">
      <w:pPr>
        <w:jc w:val="both"/>
        <w:rPr>
          <w:b/>
          <w:bCs/>
          <w:i/>
          <w:iCs/>
          <w:sz w:val="22"/>
          <w:szCs w:val="22"/>
        </w:rPr>
      </w:pPr>
    </w:p>
    <w:p w14:paraId="60DFF839" w14:textId="6DB5A9B1" w:rsidR="00A877F3" w:rsidRDefault="009F666F" w:rsidP="00053D4F">
      <w:pPr>
        <w:jc w:val="both"/>
        <w:rPr>
          <w:sz w:val="22"/>
          <w:szCs w:val="22"/>
        </w:rPr>
      </w:pPr>
      <w:r>
        <w:rPr>
          <w:sz w:val="22"/>
          <w:szCs w:val="22"/>
        </w:rPr>
        <w:t xml:space="preserve">Furthermore, as pointed out in the LS, that whether SSB on </w:t>
      </w:r>
      <w:proofErr w:type="spellStart"/>
      <w:r>
        <w:rPr>
          <w:sz w:val="22"/>
          <w:szCs w:val="22"/>
        </w:rPr>
        <w:t>SCell</w:t>
      </w:r>
      <w:proofErr w:type="spellEnd"/>
      <w:r>
        <w:rPr>
          <w:sz w:val="22"/>
          <w:szCs w:val="22"/>
        </w:rPr>
        <w:t xml:space="preserve"> is considered or not is for discussion. In our companion contribution in RAN4 [4], more details are discussed on SSB on </w:t>
      </w:r>
      <w:proofErr w:type="spellStart"/>
      <w:r>
        <w:rPr>
          <w:sz w:val="22"/>
          <w:szCs w:val="22"/>
        </w:rPr>
        <w:t>SCell</w:t>
      </w:r>
      <w:proofErr w:type="spellEnd"/>
      <w:r>
        <w:rPr>
          <w:sz w:val="22"/>
          <w:szCs w:val="22"/>
        </w:rPr>
        <w:t xml:space="preserve"> and as a starting point it is proposed to consider SSB-less </w:t>
      </w:r>
      <w:proofErr w:type="spellStart"/>
      <w:r>
        <w:rPr>
          <w:sz w:val="22"/>
          <w:szCs w:val="22"/>
        </w:rPr>
        <w:t>SCell</w:t>
      </w:r>
      <w:proofErr w:type="spellEnd"/>
      <w:r>
        <w:rPr>
          <w:sz w:val="22"/>
          <w:szCs w:val="22"/>
        </w:rPr>
        <w:t xml:space="preserve"> for low-band carrier aggregation via switching. In ou</w:t>
      </w:r>
      <w:r w:rsidR="004511D6">
        <w:rPr>
          <w:sz w:val="22"/>
          <w:szCs w:val="22"/>
        </w:rPr>
        <w:t>r</w:t>
      </w:r>
      <w:r>
        <w:rPr>
          <w:sz w:val="22"/>
          <w:szCs w:val="22"/>
        </w:rPr>
        <w:t xml:space="preserve"> RAN1 companion paper [3], we further discuss on whether/how other signals are handled along with the semi-statically configured switching pattern.</w:t>
      </w:r>
      <w:r w:rsidR="007269E3">
        <w:rPr>
          <w:sz w:val="22"/>
          <w:szCs w:val="22"/>
        </w:rPr>
        <w:t xml:space="preserve"> </w:t>
      </w:r>
      <w:r w:rsidR="00B0444F">
        <w:rPr>
          <w:sz w:val="22"/>
          <w:szCs w:val="22"/>
        </w:rPr>
        <w:t>Also,</w:t>
      </w:r>
      <w:r w:rsidR="007269E3">
        <w:rPr>
          <w:sz w:val="22"/>
          <w:szCs w:val="22"/>
        </w:rPr>
        <w:t xml:space="preserve"> the duration and periodicity of the semi-static switching pattern are further discussed in [3].</w:t>
      </w:r>
    </w:p>
    <w:p w14:paraId="41D4296A" w14:textId="77777777" w:rsidR="009F666F" w:rsidRDefault="009F666F" w:rsidP="00053D4F">
      <w:pPr>
        <w:jc w:val="both"/>
        <w:rPr>
          <w:sz w:val="22"/>
          <w:szCs w:val="22"/>
        </w:rPr>
      </w:pPr>
    </w:p>
    <w:p w14:paraId="5AF7F5BB" w14:textId="56D7FAD9" w:rsidR="00ED7653" w:rsidRPr="00BA3534" w:rsidRDefault="008A13B7" w:rsidP="008134DE">
      <w:pPr>
        <w:pStyle w:val="Heading1"/>
      </w:pPr>
      <w:r w:rsidRPr="00BA3534">
        <w:lastRenderedPageBreak/>
        <w:t>Con</w:t>
      </w:r>
      <w:r w:rsidR="00ED7653" w:rsidRPr="00BA3534">
        <w:t>clusion</w:t>
      </w:r>
    </w:p>
    <w:p w14:paraId="2F0BF6F9" w14:textId="67239D44" w:rsidR="00E81D71"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371DC2">
        <w:rPr>
          <w:rFonts w:cs="Times New Roman"/>
          <w:sz w:val="22"/>
          <w:szCs w:val="22"/>
          <w:lang w:val="en-US"/>
        </w:rPr>
        <w:t>observations/</w:t>
      </w:r>
      <w:r w:rsidR="001E1FF1" w:rsidRPr="00BA3534">
        <w:rPr>
          <w:rFonts w:cs="Times New Roman"/>
          <w:sz w:val="22"/>
          <w:szCs w:val="22"/>
          <w:lang w:val="en-US"/>
        </w:rPr>
        <w:t>proposals</w:t>
      </w:r>
      <w:r w:rsidR="00212BCA" w:rsidRPr="00BA3534">
        <w:rPr>
          <w:rFonts w:cs="Times New Roman"/>
          <w:sz w:val="22"/>
          <w:szCs w:val="22"/>
          <w:lang w:val="en-US"/>
        </w:rPr>
        <w:t xml:space="preserve"> </w:t>
      </w:r>
      <w:r w:rsidR="00371DC2">
        <w:rPr>
          <w:rFonts w:cs="Times New Roman"/>
          <w:sz w:val="22"/>
          <w:szCs w:val="22"/>
          <w:lang w:val="en-US"/>
        </w:rPr>
        <w:t>on low-band carrier aggregation via switching</w:t>
      </w:r>
      <w:r w:rsidR="001B7320">
        <w:rPr>
          <w:rFonts w:cs="Times New Roman"/>
          <w:sz w:val="22"/>
          <w:szCs w:val="22"/>
          <w:lang w:val="en-US"/>
        </w:rPr>
        <w:t>:</w:t>
      </w:r>
    </w:p>
    <w:p w14:paraId="2D179259" w14:textId="77777777" w:rsidR="009F666F" w:rsidRPr="004938ED" w:rsidRDefault="009F666F" w:rsidP="009F666F">
      <w:pPr>
        <w:jc w:val="both"/>
        <w:rPr>
          <w:b/>
          <w:bCs/>
          <w:i/>
          <w:iCs/>
          <w:sz w:val="22"/>
          <w:szCs w:val="22"/>
          <w:lang w:eastAsia="zh-CN"/>
        </w:rPr>
      </w:pPr>
      <w:r w:rsidRPr="004938ED">
        <w:rPr>
          <w:b/>
          <w:bCs/>
          <w:i/>
          <w:iCs/>
          <w:sz w:val="22"/>
          <w:szCs w:val="22"/>
          <w:lang w:eastAsia="zh-CN"/>
        </w:rPr>
        <w:t xml:space="preserve">Observation </w:t>
      </w:r>
      <w:r>
        <w:rPr>
          <w:b/>
          <w:bCs/>
          <w:i/>
          <w:iCs/>
          <w:sz w:val="22"/>
          <w:szCs w:val="22"/>
          <w:lang w:eastAsia="zh-CN"/>
        </w:rPr>
        <w:t>1</w:t>
      </w:r>
      <w:r w:rsidRPr="004938ED">
        <w:rPr>
          <w:b/>
          <w:bCs/>
          <w:i/>
          <w:iCs/>
          <w:sz w:val="22"/>
          <w:szCs w:val="22"/>
          <w:lang w:eastAsia="zh-CN"/>
        </w:rPr>
        <w:t xml:space="preserve">: Considering that SSB patterns are known to network and configured on serving cell basis, therefore, it would be feasible for network to ensure alignment between switching pattern configuration and at least the SSB configuration in </w:t>
      </w:r>
      <w:proofErr w:type="spellStart"/>
      <w:r w:rsidRPr="004938ED">
        <w:rPr>
          <w:b/>
          <w:bCs/>
          <w:i/>
          <w:iCs/>
          <w:sz w:val="22"/>
          <w:szCs w:val="22"/>
          <w:lang w:eastAsia="zh-CN"/>
        </w:rPr>
        <w:t>PCell</w:t>
      </w:r>
      <w:proofErr w:type="spellEnd"/>
      <w:r w:rsidRPr="004938ED">
        <w:rPr>
          <w:b/>
          <w:bCs/>
          <w:i/>
          <w:iCs/>
          <w:sz w:val="22"/>
          <w:szCs w:val="22"/>
          <w:lang w:eastAsia="zh-CN"/>
        </w:rPr>
        <w:t xml:space="preserve"> in order to protect SSB by avoiding the conflict</w:t>
      </w:r>
    </w:p>
    <w:p w14:paraId="7C56366C" w14:textId="77777777" w:rsidR="009F666F" w:rsidRPr="004938ED" w:rsidRDefault="009F666F" w:rsidP="009F666F">
      <w:pPr>
        <w:jc w:val="both"/>
        <w:rPr>
          <w:sz w:val="22"/>
          <w:szCs w:val="22"/>
          <w:lang w:eastAsia="zh-CN"/>
        </w:rPr>
      </w:pPr>
    </w:p>
    <w:p w14:paraId="1272C220" w14:textId="77777777" w:rsidR="009F666F" w:rsidRPr="004938ED" w:rsidRDefault="009F666F" w:rsidP="009F666F">
      <w:pPr>
        <w:jc w:val="both"/>
        <w:rPr>
          <w:b/>
          <w:bCs/>
          <w:i/>
          <w:iCs/>
          <w:sz w:val="22"/>
          <w:szCs w:val="22"/>
          <w:lang w:eastAsia="zh-CN"/>
        </w:rPr>
      </w:pPr>
      <w:r w:rsidRPr="004938ED">
        <w:rPr>
          <w:b/>
          <w:bCs/>
          <w:i/>
          <w:iCs/>
          <w:sz w:val="22"/>
          <w:szCs w:val="22"/>
          <w:lang w:eastAsia="zh-CN"/>
        </w:rPr>
        <w:t xml:space="preserve">Proposal 1: Network is expected to at least avoid conflict between the SSB configuration on </w:t>
      </w:r>
      <w:proofErr w:type="spellStart"/>
      <w:r w:rsidRPr="004938ED">
        <w:rPr>
          <w:b/>
          <w:bCs/>
          <w:i/>
          <w:iCs/>
          <w:sz w:val="22"/>
          <w:szCs w:val="22"/>
          <w:lang w:eastAsia="zh-CN"/>
        </w:rPr>
        <w:t>PCell</w:t>
      </w:r>
      <w:proofErr w:type="spellEnd"/>
      <w:r w:rsidRPr="004938ED">
        <w:rPr>
          <w:b/>
          <w:bCs/>
          <w:i/>
          <w:iCs/>
          <w:sz w:val="22"/>
          <w:szCs w:val="22"/>
          <w:lang w:eastAsia="zh-CN"/>
        </w:rPr>
        <w:t xml:space="preserve"> and the switching pattern configuration to the UE</w:t>
      </w:r>
    </w:p>
    <w:p w14:paraId="578E06E3" w14:textId="77777777" w:rsidR="009F666F" w:rsidRPr="004938ED" w:rsidRDefault="009F666F" w:rsidP="009F666F">
      <w:pPr>
        <w:pStyle w:val="ListParagraph"/>
        <w:numPr>
          <w:ilvl w:val="0"/>
          <w:numId w:val="106"/>
        </w:numPr>
        <w:ind w:leftChars="0"/>
        <w:jc w:val="both"/>
        <w:rPr>
          <w:rFonts w:ascii="Times New Roman" w:hAnsi="Times New Roman"/>
          <w:b/>
          <w:bCs/>
          <w:i/>
          <w:iCs/>
          <w:sz w:val="22"/>
          <w:szCs w:val="22"/>
          <w:lang w:eastAsia="zh-CN"/>
        </w:rPr>
      </w:pPr>
      <w:r w:rsidRPr="004938ED">
        <w:rPr>
          <w:rFonts w:ascii="Times New Roman" w:hAnsi="Times New Roman"/>
          <w:b/>
          <w:bCs/>
          <w:i/>
          <w:iCs/>
          <w:sz w:val="22"/>
          <w:szCs w:val="22"/>
          <w:lang w:eastAsia="zh-CN"/>
        </w:rPr>
        <w:t>UE is not expected to handle such conflict</w:t>
      </w:r>
    </w:p>
    <w:p w14:paraId="630D4579" w14:textId="77777777" w:rsidR="00A73864" w:rsidRPr="00264D62" w:rsidRDefault="00A73864" w:rsidP="0065488A">
      <w:pPr>
        <w:jc w:val="both"/>
        <w:rPr>
          <w:b/>
          <w:bCs/>
          <w:i/>
          <w:iCs/>
          <w:sz w:val="22"/>
          <w:szCs w:val="22"/>
          <w:lang w:val="en-GB"/>
        </w:rPr>
      </w:pPr>
    </w:p>
    <w:p w14:paraId="2A5BA4DC" w14:textId="70EB23E2" w:rsidR="002134C9" w:rsidRPr="00BA3534" w:rsidRDefault="002134C9" w:rsidP="008134DE">
      <w:pPr>
        <w:pStyle w:val="Heading1"/>
      </w:pPr>
      <w:r w:rsidRPr="00BA3534">
        <w:t>Reference</w:t>
      </w:r>
      <w:r w:rsidR="00C71DBB" w:rsidRPr="00BA3534">
        <w:t>s</w:t>
      </w:r>
    </w:p>
    <w:p w14:paraId="5D3E5E6F" w14:textId="570AE487" w:rsidR="009F7B2A" w:rsidRDefault="009F7B2A" w:rsidP="009F7B2A">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sidRPr="00EE05ED">
        <w:rPr>
          <w:sz w:val="22"/>
          <w:szCs w:val="22"/>
          <w:lang w:val="en-GB"/>
        </w:rPr>
        <w:t>R4-2502697, “</w:t>
      </w:r>
      <w:r w:rsidRPr="00EE05ED">
        <w:rPr>
          <w:i/>
          <w:iCs/>
          <w:sz w:val="22"/>
          <w:szCs w:val="22"/>
        </w:rPr>
        <w:t>LS of RAN4 RRM agreements on LB CA via switching</w:t>
      </w:r>
      <w:r w:rsidRPr="00EE05ED">
        <w:rPr>
          <w:sz w:val="22"/>
          <w:szCs w:val="22"/>
        </w:rPr>
        <w:t>”</w:t>
      </w:r>
    </w:p>
    <w:p w14:paraId="5545181B" w14:textId="4920C06F" w:rsidR="00A22D6F" w:rsidRDefault="00A22D6F" w:rsidP="009F7B2A">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w:t>
      </w:r>
      <w:r w:rsidR="00DE1833">
        <w:rPr>
          <w:sz w:val="22"/>
          <w:szCs w:val="22"/>
        </w:rPr>
        <w:t>4</w:t>
      </w:r>
      <w:r>
        <w:rPr>
          <w:sz w:val="22"/>
          <w:szCs w:val="22"/>
        </w:rPr>
        <w:t>-250xxxx, “</w:t>
      </w:r>
      <w:r w:rsidR="008436DB" w:rsidRPr="000E75A6">
        <w:rPr>
          <w:bCs/>
          <w:i/>
          <w:iCs/>
          <w:sz w:val="22"/>
          <w:szCs w:val="22"/>
        </w:rPr>
        <w:t>On RRM requirement for R19 LB CA</w:t>
      </w:r>
      <w:r>
        <w:rPr>
          <w:sz w:val="22"/>
          <w:szCs w:val="22"/>
        </w:rPr>
        <w:t>”, Apple</w:t>
      </w:r>
    </w:p>
    <w:p w14:paraId="0C74B1FA" w14:textId="77777777" w:rsidR="003A42F8" w:rsidRPr="00EE05ED" w:rsidRDefault="003A42F8" w:rsidP="003A42F8">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R1-250xxxx, “</w:t>
      </w:r>
      <w:r w:rsidRPr="003A26E2">
        <w:rPr>
          <w:i/>
          <w:iCs/>
          <w:sz w:val="22"/>
          <w:szCs w:val="22"/>
        </w:rPr>
        <w:t>On low-band carrier aggregation via switching</w:t>
      </w:r>
      <w:r>
        <w:rPr>
          <w:sz w:val="22"/>
          <w:szCs w:val="22"/>
        </w:rPr>
        <w:t>”, Apple</w:t>
      </w:r>
    </w:p>
    <w:p w14:paraId="712AA7CF" w14:textId="77777777" w:rsidR="003A42F8" w:rsidRPr="00EE05ED" w:rsidRDefault="003A42F8" w:rsidP="003A42F8">
      <w:pPr>
        <w:overflowPunct w:val="0"/>
        <w:autoSpaceDE w:val="0"/>
        <w:autoSpaceDN w:val="0"/>
        <w:adjustRightInd w:val="0"/>
        <w:spacing w:before="100" w:beforeAutospacing="1" w:after="120" w:line="276" w:lineRule="auto"/>
        <w:ind w:left="562"/>
        <w:jc w:val="both"/>
        <w:textAlignment w:val="baseline"/>
        <w:rPr>
          <w:sz w:val="22"/>
          <w:szCs w:val="22"/>
        </w:rPr>
      </w:pPr>
    </w:p>
    <w:sectPr w:rsidR="003A42F8" w:rsidRPr="00EE05ED"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52557" w14:textId="77777777" w:rsidR="007A52DF" w:rsidRDefault="007A52DF" w:rsidP="00161DF4">
      <w:r>
        <w:separator/>
      </w:r>
    </w:p>
  </w:endnote>
  <w:endnote w:type="continuationSeparator" w:id="0">
    <w:p w14:paraId="445D7457" w14:textId="77777777" w:rsidR="007A52DF" w:rsidRDefault="007A52D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B1B23" w14:textId="77777777" w:rsidR="007A52DF" w:rsidRDefault="007A52DF" w:rsidP="00161DF4">
      <w:r>
        <w:separator/>
      </w:r>
    </w:p>
  </w:footnote>
  <w:footnote w:type="continuationSeparator" w:id="0">
    <w:p w14:paraId="4E352480" w14:textId="77777777" w:rsidR="007A52DF" w:rsidRDefault="007A52D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1"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9"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3"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4"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74"/>
  </w:num>
  <w:num w:numId="5" w16cid:durableId="533924545">
    <w:abstractNumId w:val="101"/>
  </w:num>
  <w:num w:numId="6" w16cid:durableId="1118446670">
    <w:abstractNumId w:val="100"/>
  </w:num>
  <w:num w:numId="7" w16cid:durableId="1904900216">
    <w:abstractNumId w:val="90"/>
  </w:num>
  <w:num w:numId="8" w16cid:durableId="1583759346">
    <w:abstractNumId w:val="24"/>
  </w:num>
  <w:num w:numId="9" w16cid:durableId="2006324698">
    <w:abstractNumId w:val="105"/>
  </w:num>
  <w:num w:numId="10" w16cid:durableId="1977908070">
    <w:abstractNumId w:val="39"/>
  </w:num>
  <w:num w:numId="11" w16cid:durableId="1442458455">
    <w:abstractNumId w:val="91"/>
  </w:num>
  <w:num w:numId="12" w16cid:durableId="114847758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4"/>
  </w:num>
  <w:num w:numId="15" w16cid:durableId="812212295">
    <w:abstractNumId w:val="33"/>
  </w:num>
  <w:num w:numId="16" w16cid:durableId="2891656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9"/>
  </w:num>
  <w:num w:numId="18" w16cid:durableId="1327242941">
    <w:abstractNumId w:val="29"/>
  </w:num>
  <w:num w:numId="19" w16cid:durableId="1714962288">
    <w:abstractNumId w:val="59"/>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6"/>
  </w:num>
  <w:num w:numId="26" w16cid:durableId="2122992082">
    <w:abstractNumId w:val="82"/>
  </w:num>
  <w:num w:numId="27" w16cid:durableId="1175730389">
    <w:abstractNumId w:val="99"/>
  </w:num>
  <w:num w:numId="28" w16cid:durableId="1977291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3"/>
  </w:num>
  <w:num w:numId="30" w16cid:durableId="1718889214">
    <w:abstractNumId w:val="67"/>
  </w:num>
  <w:num w:numId="31" w16cid:durableId="140313560">
    <w:abstractNumId w:val="98"/>
  </w:num>
  <w:num w:numId="32" w16cid:durableId="7647694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4"/>
  </w:num>
  <w:num w:numId="35" w16cid:durableId="842084302">
    <w:abstractNumId w:val="95"/>
  </w:num>
  <w:num w:numId="36" w16cid:durableId="782109994">
    <w:abstractNumId w:val="76"/>
    <w:lvlOverride w:ilvl="0">
      <w:startOverride w:val="1"/>
    </w:lvlOverride>
  </w:num>
  <w:num w:numId="37" w16cid:durableId="919942872">
    <w:abstractNumId w:val="7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7"/>
  </w:num>
  <w:num w:numId="39" w16cid:durableId="1517647927">
    <w:abstractNumId w:val="7"/>
  </w:num>
  <w:num w:numId="40" w16cid:durableId="589704731">
    <w:abstractNumId w:val="77"/>
  </w:num>
  <w:num w:numId="41" w16cid:durableId="337082865">
    <w:abstractNumId w:val="5"/>
  </w:num>
  <w:num w:numId="42" w16cid:durableId="1338264511">
    <w:abstractNumId w:val="88"/>
  </w:num>
  <w:num w:numId="43" w16cid:durableId="412703773">
    <w:abstractNumId w:val="19"/>
  </w:num>
  <w:num w:numId="44" w16cid:durableId="10836410">
    <w:abstractNumId w:val="10"/>
  </w:num>
  <w:num w:numId="45" w16cid:durableId="326177258">
    <w:abstractNumId w:val="21"/>
  </w:num>
  <w:num w:numId="46" w16cid:durableId="2092505769">
    <w:abstractNumId w:val="48"/>
  </w:num>
  <w:num w:numId="47" w16cid:durableId="2035038037">
    <w:abstractNumId w:val="4"/>
  </w:num>
  <w:num w:numId="48" w16cid:durableId="71434614">
    <w:abstractNumId w:val="31"/>
  </w:num>
  <w:num w:numId="49" w16cid:durableId="713845741">
    <w:abstractNumId w:val="86"/>
  </w:num>
  <w:num w:numId="50" w16cid:durableId="620579395">
    <w:abstractNumId w:val="53"/>
  </w:num>
  <w:num w:numId="51" w16cid:durableId="533428454">
    <w:abstractNumId w:val="25"/>
  </w:num>
  <w:num w:numId="52" w16cid:durableId="1568034136">
    <w:abstractNumId w:val="96"/>
  </w:num>
  <w:num w:numId="53" w16cid:durableId="1865896129">
    <w:abstractNumId w:val="70"/>
  </w:num>
  <w:num w:numId="54" w16cid:durableId="594174754">
    <w:abstractNumId w:val="89"/>
  </w:num>
  <w:num w:numId="55" w16cid:durableId="1723752453">
    <w:abstractNumId w:val="32"/>
  </w:num>
  <w:num w:numId="56" w16cid:durableId="1217470011">
    <w:abstractNumId w:val="43"/>
  </w:num>
  <w:num w:numId="57" w16cid:durableId="350373187">
    <w:abstractNumId w:val="34"/>
  </w:num>
  <w:num w:numId="58" w16cid:durableId="1331518823">
    <w:abstractNumId w:val="81"/>
  </w:num>
  <w:num w:numId="59" w16cid:durableId="2062898844">
    <w:abstractNumId w:val="27"/>
  </w:num>
  <w:num w:numId="60" w16cid:durableId="1693451868">
    <w:abstractNumId w:val="93"/>
  </w:num>
  <w:num w:numId="61" w16cid:durableId="941498212">
    <w:abstractNumId w:val="41"/>
  </w:num>
  <w:num w:numId="62" w16cid:durableId="1673218367">
    <w:abstractNumId w:val="23"/>
  </w:num>
  <w:num w:numId="63" w16cid:durableId="1222401847">
    <w:abstractNumId w:val="42"/>
  </w:num>
  <w:num w:numId="64" w16cid:durableId="125860560">
    <w:abstractNumId w:val="78"/>
  </w:num>
  <w:num w:numId="65" w16cid:durableId="1227302266">
    <w:abstractNumId w:val="13"/>
  </w:num>
  <w:num w:numId="66" w16cid:durableId="1646619423">
    <w:abstractNumId w:val="87"/>
  </w:num>
  <w:num w:numId="67" w16cid:durableId="1143355205">
    <w:abstractNumId w:val="58"/>
  </w:num>
  <w:num w:numId="68" w16cid:durableId="1419794322">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4"/>
  </w:num>
  <w:num w:numId="70" w16cid:durableId="623466001">
    <w:abstractNumId w:val="0"/>
  </w:num>
  <w:num w:numId="71" w16cid:durableId="404648242">
    <w:abstractNumId w:val="56"/>
  </w:num>
  <w:num w:numId="72" w16cid:durableId="1728718260">
    <w:abstractNumId w:val="54"/>
  </w:num>
  <w:num w:numId="73" w16cid:durableId="593434983">
    <w:abstractNumId w:val="26"/>
  </w:num>
  <w:num w:numId="74" w16cid:durableId="1283457125">
    <w:abstractNumId w:val="40"/>
  </w:num>
  <w:num w:numId="75" w16cid:durableId="1361514045">
    <w:abstractNumId w:val="1"/>
  </w:num>
  <w:num w:numId="76" w16cid:durableId="771516520">
    <w:abstractNumId w:val="102"/>
  </w:num>
  <w:num w:numId="77" w16cid:durableId="689993886">
    <w:abstractNumId w:val="71"/>
  </w:num>
  <w:num w:numId="78" w16cid:durableId="1162621695">
    <w:abstractNumId w:val="17"/>
  </w:num>
  <w:num w:numId="79" w16cid:durableId="330181258">
    <w:abstractNumId w:val="72"/>
  </w:num>
  <w:num w:numId="80" w16cid:durableId="890507097">
    <w:abstractNumId w:val="15"/>
  </w:num>
  <w:num w:numId="81" w16cid:durableId="1827018100">
    <w:abstractNumId w:val="85"/>
  </w:num>
  <w:num w:numId="82" w16cid:durableId="1881551831">
    <w:abstractNumId w:val="97"/>
  </w:num>
  <w:num w:numId="83" w16cid:durableId="1981642690">
    <w:abstractNumId w:val="16"/>
  </w:num>
  <w:num w:numId="84" w16cid:durableId="376440818">
    <w:abstractNumId w:val="79"/>
  </w:num>
  <w:num w:numId="85" w16cid:durableId="492258641">
    <w:abstractNumId w:val="49"/>
  </w:num>
  <w:num w:numId="86" w16cid:durableId="231935571">
    <w:abstractNumId w:val="65"/>
  </w:num>
  <w:num w:numId="87" w16cid:durableId="274597954">
    <w:abstractNumId w:val="92"/>
  </w:num>
  <w:num w:numId="88" w16cid:durableId="786437119">
    <w:abstractNumId w:val="3"/>
  </w:num>
  <w:num w:numId="89" w16cid:durableId="342977563">
    <w:abstractNumId w:val="20"/>
  </w:num>
  <w:num w:numId="90" w16cid:durableId="1179852474">
    <w:abstractNumId w:val="37"/>
  </w:num>
  <w:num w:numId="91" w16cid:durableId="1012804782">
    <w:abstractNumId w:val="68"/>
  </w:num>
  <w:num w:numId="92" w16cid:durableId="1841237982">
    <w:abstractNumId w:val="84"/>
  </w:num>
  <w:num w:numId="93" w16cid:durableId="1166480605">
    <w:abstractNumId w:val="18"/>
  </w:num>
  <w:num w:numId="94" w16cid:durableId="535436976">
    <w:abstractNumId w:val="104"/>
  </w:num>
  <w:num w:numId="95" w16cid:durableId="1712878081">
    <w:abstractNumId w:val="61"/>
  </w:num>
  <w:num w:numId="96" w16cid:durableId="661004034">
    <w:abstractNumId w:val="66"/>
  </w:num>
  <w:num w:numId="97" w16cid:durableId="1901406367">
    <w:abstractNumId w:val="22"/>
  </w:num>
  <w:num w:numId="98" w16cid:durableId="1429153853">
    <w:abstractNumId w:val="50"/>
  </w:num>
  <w:num w:numId="99" w16cid:durableId="2045129631">
    <w:abstractNumId w:val="30"/>
  </w:num>
  <w:num w:numId="100" w16cid:durableId="1015500349">
    <w:abstractNumId w:val="73"/>
  </w:num>
  <w:num w:numId="101" w16cid:durableId="2061704356">
    <w:abstractNumId w:val="45"/>
  </w:num>
  <w:num w:numId="102" w16cid:durableId="72705013">
    <w:abstractNumId w:val="28"/>
  </w:num>
  <w:num w:numId="103" w16cid:durableId="649401481">
    <w:abstractNumId w:val="44"/>
  </w:num>
  <w:num w:numId="104" w16cid:durableId="1256204469">
    <w:abstractNumId w:val="51"/>
  </w:num>
  <w:num w:numId="105" w16cid:durableId="2095544354">
    <w:abstractNumId w:val="35"/>
  </w:num>
  <w:num w:numId="106" w16cid:durableId="1738744935">
    <w:abstractNumId w:val="52"/>
  </w:num>
  <w:num w:numId="107" w16cid:durableId="1657950495">
    <w:abstractNumId w:val="8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38"/>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5FD4"/>
    <w:rsid w:val="000E6772"/>
    <w:rsid w:val="000E6DCE"/>
    <w:rsid w:val="000E75A6"/>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B7D0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C6D"/>
    <w:rsid w:val="00203D8E"/>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0DC1"/>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6E2"/>
    <w:rsid w:val="003A2958"/>
    <w:rsid w:val="003A42F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670"/>
    <w:rsid w:val="003F1894"/>
    <w:rsid w:val="003F1969"/>
    <w:rsid w:val="003F2F07"/>
    <w:rsid w:val="003F2F79"/>
    <w:rsid w:val="003F312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1D6"/>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2946"/>
    <w:rsid w:val="0047317F"/>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5F5"/>
    <w:rsid w:val="005D135F"/>
    <w:rsid w:val="005D2371"/>
    <w:rsid w:val="005D25FA"/>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269E3"/>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7A5"/>
    <w:rsid w:val="00750A0B"/>
    <w:rsid w:val="007514AF"/>
    <w:rsid w:val="00751993"/>
    <w:rsid w:val="007544F6"/>
    <w:rsid w:val="00754B3C"/>
    <w:rsid w:val="00754BFD"/>
    <w:rsid w:val="00754F87"/>
    <w:rsid w:val="00756E0E"/>
    <w:rsid w:val="00756F9A"/>
    <w:rsid w:val="00756FBE"/>
    <w:rsid w:val="0076028F"/>
    <w:rsid w:val="00760492"/>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2DF"/>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4EB2"/>
    <w:rsid w:val="007C5685"/>
    <w:rsid w:val="007C59EE"/>
    <w:rsid w:val="007C5C8C"/>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F8A"/>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E69"/>
    <w:rsid w:val="00843064"/>
    <w:rsid w:val="008436DB"/>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6F"/>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17B45"/>
    <w:rsid w:val="00A200F4"/>
    <w:rsid w:val="00A21A21"/>
    <w:rsid w:val="00A21BE4"/>
    <w:rsid w:val="00A223F2"/>
    <w:rsid w:val="00A22D6F"/>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4F"/>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7F8"/>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42AC"/>
    <w:rsid w:val="00CE4350"/>
    <w:rsid w:val="00CE4C1B"/>
    <w:rsid w:val="00CE5858"/>
    <w:rsid w:val="00CE5968"/>
    <w:rsid w:val="00CE623D"/>
    <w:rsid w:val="00CE69F1"/>
    <w:rsid w:val="00CE6C73"/>
    <w:rsid w:val="00CE6CAA"/>
    <w:rsid w:val="00CE6CC6"/>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7737"/>
    <w:rsid w:val="00DD7902"/>
    <w:rsid w:val="00DE0741"/>
    <w:rsid w:val="00DE0744"/>
    <w:rsid w:val="00DE1548"/>
    <w:rsid w:val="00DE1833"/>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5A2"/>
    <w:rsid w:val="00E07633"/>
    <w:rsid w:val="00E07FCF"/>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CEE"/>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287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D1A"/>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2025-03-27T08:56:00Z</dcterms:created>
  <dcterms:modified xsi:type="dcterms:W3CDTF">2025-03-28T09:44:00Z</dcterms:modified>
  <cp:category/>
</cp:coreProperties>
</file>