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FC569" w14:textId="5EA6720A" w:rsidR="00704225" w:rsidRPr="00666500" w:rsidRDefault="00704225" w:rsidP="00704225">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 xml:space="preserve">3GPP TSG </w:t>
      </w:r>
      <w:r w:rsidRPr="00666500">
        <w:rPr>
          <w:rFonts w:cs="Arial"/>
          <w:noProof w:val="0"/>
          <w:sz w:val="28"/>
          <w:szCs w:val="28"/>
          <w:lang w:val="en-US"/>
        </w:rPr>
        <w:t>RAN WG1 #1</w:t>
      </w:r>
      <w:r w:rsidR="009A2A41">
        <w:rPr>
          <w:rFonts w:cs="Arial"/>
          <w:noProof w:val="0"/>
          <w:sz w:val="28"/>
          <w:szCs w:val="28"/>
          <w:lang w:val="en-US"/>
        </w:rPr>
        <w:t>20</w:t>
      </w:r>
      <w:r w:rsidRPr="00666500">
        <w:rPr>
          <w:rFonts w:cs="Arial"/>
          <w:noProof w:val="0"/>
          <w:sz w:val="28"/>
          <w:szCs w:val="28"/>
          <w:lang w:val="en-US"/>
        </w:rPr>
        <w:tab/>
      </w:r>
      <w:r w:rsidRPr="00D834DA">
        <w:rPr>
          <w:rFonts w:cs="Arial"/>
          <w:noProof w:val="0"/>
          <w:sz w:val="28"/>
          <w:szCs w:val="28"/>
          <w:lang w:val="en-US"/>
        </w:rPr>
        <w:t>R1-</w:t>
      </w:r>
      <w:r w:rsidR="004E3AFE" w:rsidRPr="00D834DA">
        <w:t xml:space="preserve"> </w:t>
      </w:r>
      <w:r w:rsidR="00107B82" w:rsidRPr="00D834DA">
        <w:rPr>
          <w:rFonts w:cs="Arial"/>
          <w:noProof w:val="0"/>
          <w:sz w:val="28"/>
          <w:szCs w:val="28"/>
          <w:lang w:val="en-US"/>
        </w:rPr>
        <w:t>2</w:t>
      </w:r>
      <w:r w:rsidR="009A2A41" w:rsidRPr="00D834DA">
        <w:rPr>
          <w:rFonts w:cs="Arial"/>
          <w:noProof w:val="0"/>
          <w:sz w:val="28"/>
          <w:szCs w:val="28"/>
          <w:lang w:val="en-US"/>
        </w:rPr>
        <w:t>50</w:t>
      </w:r>
      <w:r w:rsidR="00D834DA" w:rsidRPr="00D834DA">
        <w:rPr>
          <w:rFonts w:cs="Arial"/>
          <w:noProof w:val="0"/>
          <w:sz w:val="28"/>
          <w:szCs w:val="28"/>
          <w:lang w:val="en-US"/>
        </w:rPr>
        <w:t>1129</w:t>
      </w:r>
    </w:p>
    <w:bookmarkEnd w:id="0"/>
    <w:p w14:paraId="18EF3BC8" w14:textId="2F95ACF1" w:rsidR="00CC16F3" w:rsidRPr="00666500" w:rsidRDefault="009A2A41" w:rsidP="00704225">
      <w:pPr>
        <w:pStyle w:val="a3"/>
        <w:rPr>
          <w:rFonts w:asciiTheme="majorHAnsi" w:eastAsia="SimSun" w:hAnsiTheme="majorHAnsi" w:cstheme="majorHAnsi"/>
          <w:sz w:val="28"/>
          <w:szCs w:val="28"/>
          <w:lang w:val="en-US" w:eastAsia="zh-CN"/>
        </w:rPr>
      </w:pPr>
      <w:r>
        <w:rPr>
          <w:rFonts w:asciiTheme="majorHAnsi" w:eastAsia="SimSun" w:hAnsiTheme="majorHAnsi" w:cstheme="majorHAnsi"/>
          <w:sz w:val="28"/>
          <w:szCs w:val="28"/>
          <w:lang w:val="en-US" w:eastAsia="zh-CN"/>
        </w:rPr>
        <w:t>Athens</w:t>
      </w:r>
      <w:r w:rsidR="00FD1EEF" w:rsidRPr="00666500">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FD1EEF" w:rsidRPr="00666500">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FD1EEF" w:rsidRPr="00666500">
        <w:rPr>
          <w:rFonts w:asciiTheme="majorHAnsi" w:eastAsia="SimSun" w:hAnsiTheme="majorHAnsi" w:cstheme="majorHAnsi"/>
          <w:sz w:val="28"/>
          <w:szCs w:val="28"/>
          <w:lang w:val="en-US" w:eastAsia="zh-CN"/>
        </w:rPr>
        <w:t xml:space="preserve"> 1</w:t>
      </w:r>
      <w:r>
        <w:rPr>
          <w:rFonts w:asciiTheme="majorHAnsi" w:eastAsia="SimSun" w:hAnsiTheme="majorHAnsi" w:cstheme="majorHAnsi"/>
          <w:sz w:val="28"/>
          <w:szCs w:val="28"/>
          <w:lang w:val="en-US" w:eastAsia="zh-CN"/>
        </w:rPr>
        <w:t>7</w:t>
      </w:r>
      <w:r w:rsidR="00FD1EEF" w:rsidRPr="00666500">
        <w:rPr>
          <w:rFonts w:asciiTheme="majorHAnsi" w:eastAsia="SimSun" w:hAnsiTheme="majorHAnsi" w:cstheme="majorHAnsi"/>
          <w:sz w:val="28"/>
          <w:szCs w:val="28"/>
          <w:lang w:val="en-US" w:eastAsia="zh-CN"/>
        </w:rPr>
        <w:t>th – 2</w:t>
      </w:r>
      <w:r>
        <w:rPr>
          <w:rFonts w:asciiTheme="majorHAnsi" w:eastAsia="SimSun" w:hAnsiTheme="majorHAnsi" w:cstheme="majorHAnsi"/>
          <w:sz w:val="28"/>
          <w:szCs w:val="28"/>
          <w:lang w:val="en-US" w:eastAsia="zh-CN"/>
        </w:rPr>
        <w:t>1st</w:t>
      </w:r>
      <w:r w:rsidR="00FD1EEF" w:rsidRPr="00666500">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5</w:t>
      </w:r>
    </w:p>
    <w:p w14:paraId="2E7B3FD7" w14:textId="16FE037B"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22FC799B"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C72761" w:rsidRPr="00666500">
        <w:rPr>
          <w:rFonts w:ascii="Arial" w:hAnsi="Arial" w:cs="Arial"/>
          <w:b/>
          <w:sz w:val="28"/>
          <w:szCs w:val="28"/>
          <w:lang w:val="en-US"/>
        </w:rPr>
        <w:t>Support for 3-antenna-port transmission</w:t>
      </w:r>
    </w:p>
    <w:p w14:paraId="26DC8AEB" w14:textId="7009DF1A"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B110B3" w:rsidRPr="00666500">
        <w:rPr>
          <w:rFonts w:ascii="Arial" w:eastAsiaTheme="minorEastAsia" w:hAnsi="Arial" w:cs="Arial"/>
          <w:b/>
          <w:sz w:val="28"/>
          <w:szCs w:val="28"/>
          <w:lang w:val="pt-BR"/>
        </w:rPr>
        <w:t>9.2</w:t>
      </w:r>
      <w:r w:rsidR="001E0623" w:rsidRPr="00666500">
        <w:rPr>
          <w:rFonts w:ascii="Arial" w:eastAsiaTheme="minorEastAsia" w:hAnsi="Arial" w:cs="Arial"/>
          <w:b/>
          <w:sz w:val="28"/>
          <w:szCs w:val="28"/>
          <w:lang w:val="pt-BR"/>
        </w:rPr>
        <w:t>.</w:t>
      </w:r>
      <w:r w:rsidR="00C72761" w:rsidRPr="00666500">
        <w:rPr>
          <w:rFonts w:ascii="Arial" w:eastAsiaTheme="minorEastAsia" w:hAnsi="Arial" w:cs="Arial" w:hint="eastAsia"/>
          <w:b/>
          <w:sz w:val="28"/>
          <w:szCs w:val="28"/>
          <w:lang w:val="pt-BR"/>
        </w:rPr>
        <w:t>3</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2" w:name="DocumentFor"/>
      <w:bookmarkEnd w:id="2"/>
      <w:r w:rsidR="00DF7448" w:rsidRPr="00666500">
        <w:rPr>
          <w:rFonts w:ascii="Arial" w:hAnsi="Arial" w:cs="Arial" w:hint="eastAsia"/>
          <w:b/>
          <w:sz w:val="28"/>
          <w:szCs w:val="28"/>
          <w:lang w:val="en-US"/>
        </w:rPr>
        <w:t xml:space="preserve"> and Decision</w:t>
      </w:r>
    </w:p>
    <w:bookmarkEnd w:id="1"/>
    <w:p w14:paraId="658F1927" w14:textId="4D7985D2" w:rsidR="00004B52" w:rsidRPr="00666500" w:rsidRDefault="00D74DC6" w:rsidP="005544D4">
      <w:pPr>
        <w:pStyle w:val="10"/>
        <w:adjustRightInd w:val="0"/>
        <w:spacing w:before="100" w:beforeAutospacing="1" w:afterLines="0"/>
        <w:rPr>
          <w:lang w:val="en-US"/>
        </w:rPr>
      </w:pPr>
      <w:r w:rsidRPr="00666500">
        <w:rPr>
          <w:lang w:val="en-US"/>
        </w:rPr>
        <w:t>Background</w:t>
      </w:r>
    </w:p>
    <w:p w14:paraId="2D85A636" w14:textId="77777777" w:rsidR="002A4EC4" w:rsidRPr="00666500" w:rsidRDefault="002A4EC4" w:rsidP="002A4EC4">
      <w:pPr>
        <w:pStyle w:val="Style1"/>
        <w:snapToGrid w:val="0"/>
        <w:spacing w:line="240" w:lineRule="auto"/>
        <w:ind w:firstLine="0"/>
        <w:contextualSpacing w:val="0"/>
        <w:rPr>
          <w:rFonts w:eastAsia="ＭＳ ゴシック"/>
          <w:sz w:val="24"/>
          <w:lang w:val="en-GB" w:eastAsia="ja-JP"/>
        </w:rPr>
      </w:pPr>
      <w:r w:rsidRPr="00666500">
        <w:rPr>
          <w:rFonts w:eastAsia="ＭＳ ゴシック" w:hint="eastAsia"/>
          <w:sz w:val="24"/>
          <w:lang w:val="en-GB" w:eastAsia="ja-JP"/>
        </w:rPr>
        <w:t>I</w:t>
      </w:r>
      <w:r w:rsidRPr="00666500">
        <w:rPr>
          <w:rFonts w:eastAsia="ＭＳ ゴシック"/>
          <w:sz w:val="24"/>
          <w:lang w:val="en-GB" w:eastAsia="ja-JP"/>
        </w:rPr>
        <w:t>n RAN#102 and #105, the working item to enhance NR MIMO operations in Rel-19 was agreed and revised, respectively [1,2].</w:t>
      </w:r>
    </w:p>
    <w:p w14:paraId="7EC8494F" w14:textId="0C928DEF" w:rsidR="00600EA9" w:rsidRPr="00666500" w:rsidRDefault="00600EA9" w:rsidP="00A24545">
      <w:pPr>
        <w:pStyle w:val="Style1"/>
        <w:snapToGrid w:val="0"/>
        <w:spacing w:line="240" w:lineRule="auto"/>
        <w:ind w:firstLine="0"/>
        <w:contextualSpacing w:val="0"/>
        <w:rPr>
          <w:rFonts w:eastAsia="ＭＳ ゴシック"/>
          <w:sz w:val="24"/>
          <w:lang w:val="en-GB" w:eastAsia="ja-JP"/>
        </w:rPr>
      </w:pPr>
      <w:r w:rsidRPr="00666500">
        <w:rPr>
          <w:rFonts w:eastAsia="ＭＳ ゴシック"/>
          <w:sz w:val="24"/>
          <w:lang w:val="en-GB" w:eastAsia="ja-JP"/>
        </w:rPr>
        <w:t>The detailed objective is as follows:</w:t>
      </w:r>
    </w:p>
    <w:p w14:paraId="6DFC39FD" w14:textId="77777777" w:rsidR="002A4EC4" w:rsidRDefault="002A4EC4" w:rsidP="002A4EC4">
      <w:pPr>
        <w:numPr>
          <w:ilvl w:val="0"/>
          <w:numId w:val="42"/>
        </w:numPr>
        <w:spacing w:after="0" w:afterAutospacing="0"/>
        <w:jc w:val="left"/>
        <w:rPr>
          <w:rFonts w:eastAsia="Times New Roman"/>
          <w:szCs w:val="24"/>
          <w:lang w:val="en-US" w:eastAsia="en-US"/>
        </w:rPr>
      </w:pPr>
      <w:r w:rsidRPr="00666500">
        <w:rPr>
          <w:rFonts w:eastAsia="Times New Roman"/>
          <w:szCs w:val="24"/>
          <w:lang w:val="en-US" w:eastAsia="en-US"/>
        </w:rPr>
        <w:t>Specify non-coherent UL codebook to facilitate 3-antenna-port codebook-based transmiss</w:t>
      </w:r>
      <w:r w:rsidRPr="000D100E">
        <w:rPr>
          <w:rFonts w:eastAsia="Times New Roman"/>
          <w:szCs w:val="24"/>
          <w:lang w:val="en-US" w:eastAsia="en-US"/>
        </w:rPr>
        <w:t xml:space="preserve">ions, </w:t>
      </w:r>
      <w:r w:rsidRPr="001A530A">
        <w:rPr>
          <w:rFonts w:eastAsia="Times New Roman"/>
          <w:szCs w:val="24"/>
          <w:lang w:val="en-US" w:eastAsia="en-US"/>
        </w:rPr>
        <w:t xml:space="preserve">enhancement(s) to enable </w:t>
      </w:r>
      <w:r w:rsidRPr="001A530A">
        <w:rPr>
          <w:rFonts w:eastAsia="Times New Roman"/>
          <w:szCs w:val="24"/>
          <w:lang w:eastAsia="en-US"/>
        </w:rPr>
        <w:t>3T6R SRS antenna switching</w:t>
      </w:r>
      <w:r w:rsidRPr="001A530A">
        <w:rPr>
          <w:rFonts w:eastAsia="Times New Roman"/>
          <w:szCs w:val="24"/>
          <w:lang w:val="en-US" w:eastAsia="en-US"/>
        </w:rPr>
        <w:t xml:space="preserve">, as well as UE capability signaling for 3T3R </w:t>
      </w:r>
      <w:r>
        <w:rPr>
          <w:rFonts w:eastAsia="Times New Roman"/>
          <w:szCs w:val="24"/>
          <w:lang w:val="en-US" w:eastAsia="en-US"/>
        </w:rPr>
        <w:t xml:space="preserve">antenna switching </w:t>
      </w:r>
      <w:r w:rsidRPr="001A530A">
        <w:rPr>
          <w:rFonts w:eastAsia="Times New Roman"/>
          <w:szCs w:val="24"/>
          <w:lang w:val="en-US" w:eastAsia="en-US"/>
        </w:rPr>
        <w:t>and 3-antenna-port non-codebook-based transmissions,</w:t>
      </w:r>
      <w:r>
        <w:rPr>
          <w:rFonts w:eastAsia="Times New Roman"/>
          <w:szCs w:val="24"/>
          <w:lang w:val="en-US" w:eastAsia="en-US"/>
        </w:rPr>
        <w:t xml:space="preserve"> </w:t>
      </w:r>
      <w:r w:rsidRPr="000D100E">
        <w:rPr>
          <w:rFonts w:eastAsia="Times New Roman"/>
          <w:szCs w:val="24"/>
          <w:lang w:val="en-US" w:eastAsia="en-US"/>
        </w:rPr>
        <w:t xml:space="preserve">without enhancement on UL full power transmission and without enhancement on SRS </w:t>
      </w:r>
      <w:proofErr w:type="gramStart"/>
      <w:r w:rsidRPr="000D100E">
        <w:rPr>
          <w:rFonts w:eastAsia="Times New Roman"/>
          <w:szCs w:val="24"/>
          <w:lang w:val="en-US" w:eastAsia="en-US"/>
        </w:rPr>
        <w:t>resource</w:t>
      </w:r>
      <w:proofErr w:type="gramEnd"/>
    </w:p>
    <w:p w14:paraId="00499F6B" w14:textId="77777777" w:rsidR="002A4EC4" w:rsidRDefault="002A4EC4" w:rsidP="002A4EC4">
      <w:pPr>
        <w:spacing w:after="0"/>
        <w:ind w:firstLine="720"/>
        <w:rPr>
          <w:rFonts w:eastAsia="Times New Roman"/>
          <w:szCs w:val="24"/>
          <w:lang w:val="en-US" w:eastAsia="en-US"/>
        </w:rPr>
      </w:pPr>
      <w:r>
        <w:rPr>
          <w:rFonts w:eastAsia="Times New Roman"/>
          <w:szCs w:val="24"/>
          <w:lang w:val="en-US" w:eastAsia="en-US"/>
        </w:rPr>
        <w:t>Note: UL full power transmission mode 1 and 2 are not supported.</w:t>
      </w:r>
    </w:p>
    <w:p w14:paraId="23756CC4" w14:textId="77777777" w:rsidR="002A4EC4" w:rsidRPr="000D100E" w:rsidRDefault="002A4EC4" w:rsidP="002A4EC4">
      <w:pPr>
        <w:spacing w:after="0"/>
        <w:ind w:left="720"/>
        <w:rPr>
          <w:rFonts w:eastAsia="Times New Roman"/>
          <w:szCs w:val="24"/>
          <w:lang w:val="en-US" w:eastAsia="en-US"/>
        </w:rPr>
      </w:pPr>
      <w:r w:rsidRPr="001A530A">
        <w:rPr>
          <w:rFonts w:eastAsia="Times New Roman"/>
          <w:szCs w:val="24"/>
          <w:lang w:val="en-US" w:eastAsia="en-US"/>
        </w:rPr>
        <w:t xml:space="preserve">Note: </w:t>
      </w:r>
      <w:r>
        <w:rPr>
          <w:rFonts w:eastAsia="Times New Roman"/>
          <w:szCs w:val="24"/>
          <w:lang w:val="en-US" w:eastAsia="en-US"/>
        </w:rPr>
        <w:t>O</w:t>
      </w:r>
      <w:proofErr w:type="spellStart"/>
      <w:r>
        <w:rPr>
          <w:rFonts w:eastAsia="Times New Roman"/>
          <w:szCs w:val="24"/>
          <w:lang w:eastAsia="en-US"/>
        </w:rPr>
        <w:t>ther</w:t>
      </w:r>
      <w:proofErr w:type="spellEnd"/>
      <w:r>
        <w:rPr>
          <w:rFonts w:eastAsia="Times New Roman"/>
          <w:szCs w:val="24"/>
          <w:lang w:eastAsia="en-US"/>
        </w:rPr>
        <w:t xml:space="preserve"> than UE capability signaling, no other enhancement is specified for 3T3R SRS antenna switching.</w:t>
      </w:r>
    </w:p>
    <w:p w14:paraId="693FC75E" w14:textId="6583F83B" w:rsidR="004136BA" w:rsidRPr="002A4EC4" w:rsidRDefault="004136BA" w:rsidP="007252DD">
      <w:pPr>
        <w:spacing w:after="0" w:afterAutospacing="0"/>
        <w:jc w:val="left"/>
        <w:rPr>
          <w:rFonts w:eastAsiaTheme="minorEastAsia"/>
          <w:szCs w:val="24"/>
          <w:lang w:val="en-US"/>
        </w:rPr>
      </w:pPr>
    </w:p>
    <w:p w14:paraId="67B18D45" w14:textId="35BEB088" w:rsidR="002B2AFD" w:rsidRDefault="00C32C7C" w:rsidP="002B2AFD">
      <w:pPr>
        <w:pStyle w:val="10"/>
        <w:spacing w:after="180"/>
      </w:pPr>
      <w:r>
        <w:t>D</w:t>
      </w:r>
      <w:r w:rsidR="002C2DE4">
        <w:t>iscussions</w:t>
      </w:r>
    </w:p>
    <w:tbl>
      <w:tblPr>
        <w:tblStyle w:val="af0"/>
        <w:tblW w:w="0" w:type="auto"/>
        <w:tblLook w:val="04A0" w:firstRow="1" w:lastRow="0" w:firstColumn="1" w:lastColumn="0" w:noHBand="0" w:noVBand="1"/>
      </w:tblPr>
      <w:tblGrid>
        <w:gridCol w:w="9954"/>
      </w:tblGrid>
      <w:tr w:rsidR="002A4EC4" w14:paraId="2383EF70" w14:textId="77777777" w:rsidTr="002A4EC4">
        <w:tc>
          <w:tcPr>
            <w:tcW w:w="9954" w:type="dxa"/>
          </w:tcPr>
          <w:p w14:paraId="1027E2E3" w14:textId="77777777" w:rsidR="00F24E91" w:rsidRPr="00F24E91" w:rsidRDefault="00F24E91" w:rsidP="00F24E91">
            <w:pPr>
              <w:snapToGrid/>
              <w:spacing w:after="0" w:afterAutospacing="0"/>
              <w:contextualSpacing/>
              <w:jc w:val="left"/>
              <w:rPr>
                <w:rFonts w:eastAsia="Times New Roman"/>
                <w:b/>
                <w:bCs/>
                <w:sz w:val="20"/>
                <w:szCs w:val="24"/>
                <w:lang w:eastAsia="en-US"/>
              </w:rPr>
            </w:pPr>
            <w:r w:rsidRPr="00F24E91">
              <w:rPr>
                <w:rFonts w:eastAsia="Times New Roman"/>
                <w:b/>
                <w:bCs/>
                <w:sz w:val="20"/>
                <w:szCs w:val="24"/>
                <w:lang w:eastAsia="en-US"/>
              </w:rPr>
              <w:t>Conclusion</w:t>
            </w:r>
          </w:p>
          <w:p w14:paraId="6537CB0C" w14:textId="77777777" w:rsidR="00F24E91" w:rsidRPr="00F24E91" w:rsidRDefault="00F24E91" w:rsidP="00F24E91">
            <w:pPr>
              <w:snapToGrid/>
              <w:spacing w:after="0" w:afterAutospacing="0"/>
              <w:contextualSpacing/>
              <w:rPr>
                <w:rFonts w:eastAsia="Times New Roman"/>
                <w:bCs/>
                <w:sz w:val="20"/>
                <w:szCs w:val="24"/>
                <w:lang w:eastAsia="en-US"/>
              </w:rPr>
            </w:pPr>
            <w:r w:rsidRPr="00F24E91">
              <w:rPr>
                <w:rFonts w:eastAsia="Times New Roman"/>
                <w:bCs/>
                <w:sz w:val="20"/>
                <w:szCs w:val="24"/>
                <w:lang w:eastAsia="en-US"/>
              </w:rPr>
              <w:t>To support 3T6R antenna switching for a 3TX UE,</w:t>
            </w:r>
          </w:p>
          <w:p w14:paraId="2875681F" w14:textId="77777777" w:rsidR="00F24E91" w:rsidRPr="00F24E91" w:rsidRDefault="00F24E91" w:rsidP="00F24E91">
            <w:pPr>
              <w:numPr>
                <w:ilvl w:val="0"/>
                <w:numId w:val="35"/>
              </w:numPr>
              <w:snapToGrid/>
              <w:spacing w:after="0" w:afterAutospacing="0"/>
              <w:ind w:left="760"/>
              <w:contextualSpacing/>
              <w:jc w:val="left"/>
              <w:rPr>
                <w:rFonts w:eastAsia="Times New Roman"/>
                <w:bCs/>
                <w:color w:val="FF0000"/>
                <w:sz w:val="20"/>
                <w:szCs w:val="24"/>
                <w:lang w:eastAsia="en-US"/>
              </w:rPr>
            </w:pPr>
            <w:r w:rsidRPr="00F24E91">
              <w:rPr>
                <w:rFonts w:eastAsia="Times New Roman"/>
                <w:bCs/>
                <w:sz w:val="20"/>
                <w:szCs w:val="24"/>
                <w:lang w:eastAsia="en-US"/>
              </w:rPr>
              <w:t xml:space="preserve">Reuse the power control parameters configuration principles of 4T8R for 3T6R, i.e., when two aperiodic SRS resource sets are configured, </w:t>
            </w:r>
          </w:p>
          <w:p w14:paraId="3B284228" w14:textId="77777777" w:rsidR="00F24E91" w:rsidRPr="00F24E91" w:rsidRDefault="00F24E91" w:rsidP="00F24E91">
            <w:pPr>
              <w:numPr>
                <w:ilvl w:val="1"/>
                <w:numId w:val="35"/>
              </w:numPr>
              <w:snapToGrid/>
              <w:spacing w:after="0" w:afterAutospacing="0"/>
              <w:contextualSpacing/>
              <w:jc w:val="left"/>
              <w:rPr>
                <w:rFonts w:eastAsia="Times New Roman"/>
                <w:bCs/>
                <w:sz w:val="20"/>
                <w:szCs w:val="24"/>
                <w:lang w:eastAsia="en-US"/>
              </w:rPr>
            </w:pPr>
            <w:r w:rsidRPr="00F24E91">
              <w:rPr>
                <w:rFonts w:eastAsia="Times New Roman"/>
                <w:bCs/>
                <w:sz w:val="20"/>
                <w:szCs w:val="24"/>
                <w:lang w:eastAsia="en-US"/>
              </w:rPr>
              <w:t>if a UE is provided TCI-State in dl-</w:t>
            </w:r>
            <w:proofErr w:type="spellStart"/>
            <w:r w:rsidRPr="00F24E91">
              <w:rPr>
                <w:rFonts w:eastAsia="Times New Roman"/>
                <w:bCs/>
                <w:sz w:val="20"/>
                <w:szCs w:val="24"/>
                <w:lang w:eastAsia="en-US"/>
              </w:rPr>
              <w:t>OrJointTCI</w:t>
            </w:r>
            <w:proofErr w:type="spellEnd"/>
            <w:r w:rsidRPr="00F24E91">
              <w:rPr>
                <w:rFonts w:eastAsia="Times New Roman"/>
                <w:bCs/>
                <w:sz w:val="20"/>
                <w:szCs w:val="24"/>
                <w:lang w:eastAsia="en-US"/>
              </w:rPr>
              <w:t>-</w:t>
            </w:r>
            <w:proofErr w:type="spellStart"/>
            <w:r w:rsidRPr="00F24E91">
              <w:rPr>
                <w:rFonts w:eastAsia="Times New Roman"/>
                <w:bCs/>
                <w:sz w:val="20"/>
                <w:szCs w:val="24"/>
                <w:lang w:eastAsia="en-US"/>
              </w:rPr>
              <w:t>StateList</w:t>
            </w:r>
            <w:proofErr w:type="spellEnd"/>
            <w:r w:rsidRPr="00F24E91">
              <w:rPr>
                <w:rFonts w:eastAsia="Times New Roman"/>
                <w:bCs/>
                <w:sz w:val="20"/>
                <w:szCs w:val="24"/>
                <w:lang w:eastAsia="en-US"/>
              </w:rPr>
              <w:t xml:space="preserve"> or TCI-UL-State, the UE shall expect that the two SRS resource sets are associated with the same values of the higher layer parameters p0AlphaSetforSRS and </w:t>
            </w:r>
            <w:proofErr w:type="spellStart"/>
            <w:r w:rsidRPr="00F24E91">
              <w:rPr>
                <w:rFonts w:eastAsia="Times New Roman"/>
                <w:bCs/>
                <w:sz w:val="20"/>
                <w:szCs w:val="24"/>
                <w:lang w:eastAsia="en-US"/>
              </w:rPr>
              <w:t>pathlossReferenceRS</w:t>
            </w:r>
            <w:proofErr w:type="spellEnd"/>
            <w:r w:rsidRPr="00F24E91">
              <w:rPr>
                <w:rFonts w:eastAsia="Times New Roman"/>
                <w:bCs/>
                <w:sz w:val="20"/>
                <w:szCs w:val="24"/>
                <w:lang w:eastAsia="en-US"/>
              </w:rPr>
              <w:t>-</w:t>
            </w:r>
            <w:proofErr w:type="gramStart"/>
            <w:r w:rsidRPr="00F24E91">
              <w:rPr>
                <w:rFonts w:eastAsia="Times New Roman"/>
                <w:bCs/>
                <w:sz w:val="20"/>
                <w:szCs w:val="24"/>
                <w:lang w:eastAsia="en-US"/>
              </w:rPr>
              <w:t>Id</w:t>
            </w:r>
            <w:proofErr w:type="gramEnd"/>
            <w:r w:rsidRPr="00F24E91">
              <w:rPr>
                <w:rFonts w:eastAsia="Times New Roman"/>
                <w:bCs/>
                <w:sz w:val="20"/>
                <w:szCs w:val="24"/>
                <w:lang w:eastAsia="en-US"/>
              </w:rPr>
              <w:t xml:space="preserve"> </w:t>
            </w:r>
          </w:p>
          <w:p w14:paraId="127ECAA8" w14:textId="77777777" w:rsidR="00F24E91" w:rsidRPr="00F24E91" w:rsidRDefault="00F24E91" w:rsidP="00F24E91">
            <w:pPr>
              <w:numPr>
                <w:ilvl w:val="1"/>
                <w:numId w:val="35"/>
              </w:numPr>
              <w:snapToGrid/>
              <w:spacing w:after="0" w:afterAutospacing="0"/>
              <w:contextualSpacing/>
              <w:jc w:val="left"/>
              <w:rPr>
                <w:rFonts w:eastAsia="Times New Roman"/>
                <w:bCs/>
                <w:sz w:val="20"/>
                <w:szCs w:val="24"/>
                <w:lang w:eastAsia="en-US"/>
              </w:rPr>
            </w:pPr>
            <w:r w:rsidRPr="00F24E91">
              <w:rPr>
                <w:rFonts w:eastAsia="Times New Roman"/>
                <w:bCs/>
                <w:sz w:val="20"/>
                <w:szCs w:val="24"/>
                <w:lang w:eastAsia="en-US"/>
              </w:rPr>
              <w:t xml:space="preserve">Otherwise, the UE shall expect that the two SRS resource sets are configured with the same values of the higher layer parameters alpha, p0, </w:t>
            </w:r>
            <w:proofErr w:type="spellStart"/>
            <w:r w:rsidRPr="00F24E91">
              <w:rPr>
                <w:rFonts w:eastAsia="Times New Roman"/>
                <w:bCs/>
                <w:sz w:val="20"/>
                <w:szCs w:val="24"/>
                <w:lang w:eastAsia="en-US"/>
              </w:rPr>
              <w:t>pathlossReferenceRS</w:t>
            </w:r>
            <w:proofErr w:type="spellEnd"/>
            <w:r w:rsidRPr="00F24E91">
              <w:rPr>
                <w:rFonts w:eastAsia="Times New Roman"/>
                <w:bCs/>
                <w:sz w:val="20"/>
                <w:szCs w:val="24"/>
                <w:lang w:eastAsia="en-US"/>
              </w:rPr>
              <w:t xml:space="preserve">, and </w:t>
            </w:r>
            <w:proofErr w:type="spellStart"/>
            <w:r w:rsidRPr="00F24E91">
              <w:rPr>
                <w:rFonts w:eastAsia="Times New Roman"/>
                <w:bCs/>
                <w:sz w:val="20"/>
                <w:szCs w:val="24"/>
                <w:lang w:eastAsia="en-US"/>
              </w:rPr>
              <w:t>srs-PowerControlAdjustmentStates</w:t>
            </w:r>
            <w:proofErr w:type="spellEnd"/>
            <w:r w:rsidRPr="00F24E91">
              <w:rPr>
                <w:rFonts w:eastAsia="Times New Roman"/>
                <w:bCs/>
                <w:sz w:val="20"/>
                <w:szCs w:val="24"/>
                <w:lang w:eastAsia="en-US"/>
              </w:rPr>
              <w:t xml:space="preserve"> in SRS-</w:t>
            </w:r>
            <w:proofErr w:type="spellStart"/>
            <w:r w:rsidRPr="00F24E91">
              <w:rPr>
                <w:rFonts w:eastAsia="Times New Roman"/>
                <w:bCs/>
                <w:sz w:val="20"/>
                <w:szCs w:val="24"/>
                <w:lang w:eastAsia="en-US"/>
              </w:rPr>
              <w:t>ResourceSet</w:t>
            </w:r>
            <w:proofErr w:type="spellEnd"/>
            <w:r w:rsidRPr="00F24E91">
              <w:rPr>
                <w:rFonts w:eastAsia="Times New Roman"/>
                <w:bCs/>
                <w:sz w:val="20"/>
                <w:szCs w:val="24"/>
                <w:lang w:eastAsia="en-US"/>
              </w:rPr>
              <w:t>.</w:t>
            </w:r>
          </w:p>
          <w:p w14:paraId="25314582" w14:textId="77777777" w:rsidR="00F24E91" w:rsidRPr="00F24E91" w:rsidRDefault="00F24E91" w:rsidP="00F24E91">
            <w:pPr>
              <w:snapToGrid/>
              <w:spacing w:after="0" w:afterAutospacing="0"/>
              <w:contextualSpacing/>
              <w:rPr>
                <w:rFonts w:eastAsia="Batang"/>
                <w:b/>
                <w:bCs/>
                <w:sz w:val="20"/>
                <w:szCs w:val="24"/>
                <w:highlight w:val="yellow"/>
                <w:lang w:eastAsia="x-none"/>
              </w:rPr>
            </w:pPr>
          </w:p>
          <w:p w14:paraId="6E4441B9" w14:textId="77777777" w:rsidR="00F24E91" w:rsidRPr="00F24E91" w:rsidRDefault="00F24E91" w:rsidP="00F24E91">
            <w:pPr>
              <w:snapToGrid/>
              <w:spacing w:after="0" w:afterAutospacing="0"/>
              <w:contextualSpacing/>
              <w:rPr>
                <w:rFonts w:eastAsia="Batang"/>
                <w:b/>
                <w:bCs/>
                <w:sz w:val="20"/>
                <w:szCs w:val="24"/>
                <w:highlight w:val="green"/>
                <w:lang w:eastAsia="x-none"/>
              </w:rPr>
            </w:pPr>
            <w:r w:rsidRPr="00F24E91">
              <w:rPr>
                <w:rFonts w:eastAsia="Batang"/>
                <w:b/>
                <w:bCs/>
                <w:sz w:val="20"/>
                <w:szCs w:val="24"/>
                <w:highlight w:val="green"/>
                <w:lang w:eastAsia="x-none"/>
              </w:rPr>
              <w:t>Agreement</w:t>
            </w:r>
          </w:p>
          <w:p w14:paraId="4B9A4A92" w14:textId="77777777" w:rsidR="00F24E91" w:rsidRPr="00F24E91" w:rsidRDefault="00F24E91" w:rsidP="00F24E91">
            <w:pPr>
              <w:snapToGrid/>
              <w:spacing w:after="0" w:afterAutospacing="0"/>
              <w:contextualSpacing/>
              <w:rPr>
                <w:rFonts w:eastAsia="Batang"/>
                <w:sz w:val="20"/>
                <w:szCs w:val="24"/>
                <w:lang w:eastAsia="x-none"/>
              </w:rPr>
            </w:pPr>
            <w:r w:rsidRPr="00F24E91">
              <w:rPr>
                <w:rFonts w:eastAsia="Batang"/>
                <w:sz w:val="20"/>
                <w:szCs w:val="24"/>
                <w:lang w:eastAsia="x-none"/>
              </w:rPr>
              <w:t>The following capabilities are introduced for Rel-19</w:t>
            </w:r>
          </w:p>
          <w:p w14:paraId="792BA052" w14:textId="77777777" w:rsidR="00F24E91" w:rsidRPr="00F24E91" w:rsidRDefault="00F24E91" w:rsidP="00F24E91">
            <w:pPr>
              <w:numPr>
                <w:ilvl w:val="0"/>
                <w:numId w:val="35"/>
              </w:numPr>
              <w:snapToGrid/>
              <w:spacing w:after="0" w:afterAutospacing="0"/>
              <w:ind w:left="760"/>
              <w:contextualSpacing/>
              <w:jc w:val="left"/>
              <w:rPr>
                <w:rFonts w:eastAsia="Times New Roman"/>
                <w:bCs/>
                <w:i/>
                <w:iCs/>
                <w:sz w:val="20"/>
                <w:szCs w:val="24"/>
                <w:lang w:eastAsia="en-US"/>
              </w:rPr>
            </w:pPr>
            <w:r w:rsidRPr="00F24E91">
              <w:rPr>
                <w:rFonts w:eastAsia="Times New Roman"/>
                <w:bCs/>
                <w:i/>
                <w:iCs/>
                <w:sz w:val="20"/>
                <w:szCs w:val="24"/>
                <w:lang w:eastAsia="en-US"/>
              </w:rPr>
              <w:t xml:space="preserve">'t3r3' for 3T3R. </w:t>
            </w:r>
          </w:p>
          <w:p w14:paraId="19B26F77" w14:textId="77777777" w:rsidR="00F24E91" w:rsidRPr="00F24E91" w:rsidRDefault="00F24E91" w:rsidP="00F24E91">
            <w:pPr>
              <w:numPr>
                <w:ilvl w:val="0"/>
                <w:numId w:val="35"/>
              </w:numPr>
              <w:snapToGrid/>
              <w:spacing w:after="0" w:afterAutospacing="0"/>
              <w:ind w:left="760"/>
              <w:contextualSpacing/>
              <w:jc w:val="left"/>
              <w:rPr>
                <w:rFonts w:eastAsia="Times New Roman"/>
                <w:bCs/>
                <w:i/>
                <w:iCs/>
                <w:sz w:val="20"/>
                <w:szCs w:val="24"/>
                <w:lang w:eastAsia="en-US"/>
              </w:rPr>
            </w:pPr>
            <w:r w:rsidRPr="00F24E91">
              <w:rPr>
                <w:rFonts w:eastAsia="Times New Roman"/>
                <w:bCs/>
                <w:i/>
                <w:iCs/>
                <w:sz w:val="20"/>
                <w:szCs w:val="24"/>
                <w:lang w:eastAsia="en-US"/>
              </w:rPr>
              <w:lastRenderedPageBreak/>
              <w:t xml:space="preserve">'t3r6' for 3T6R. </w:t>
            </w:r>
          </w:p>
          <w:p w14:paraId="71484E4D" w14:textId="77777777" w:rsidR="00FD1EEF" w:rsidRDefault="00FD1EEF" w:rsidP="00F24E91">
            <w:pPr>
              <w:snapToGrid/>
              <w:spacing w:after="0" w:afterAutospacing="0"/>
              <w:contextualSpacing/>
              <w:jc w:val="left"/>
            </w:pPr>
          </w:p>
          <w:p w14:paraId="7DF0D9A7" w14:textId="77777777" w:rsidR="00F24E91" w:rsidRPr="00F24E91" w:rsidRDefault="00F24E91" w:rsidP="00F24E91">
            <w:pPr>
              <w:shd w:val="clear" w:color="auto" w:fill="FFFFFF"/>
              <w:spacing w:after="0" w:afterAutospacing="0"/>
              <w:jc w:val="left"/>
              <w:rPr>
                <w:rFonts w:ascii="Times" w:eastAsia="SimSun" w:hAnsi="Times"/>
                <w:color w:val="000000"/>
                <w:sz w:val="20"/>
                <w:lang w:eastAsia="en-US"/>
              </w:rPr>
            </w:pPr>
            <w:r w:rsidRPr="00F24E91">
              <w:rPr>
                <w:rFonts w:ascii="Times" w:eastAsia="SimSun" w:hAnsi="Times"/>
                <w:b/>
                <w:bCs/>
                <w:iCs/>
                <w:color w:val="000000"/>
                <w:sz w:val="20"/>
                <w:highlight w:val="green"/>
                <w:lang w:eastAsia="en-US"/>
              </w:rPr>
              <w:t>Agreement</w:t>
            </w:r>
          </w:p>
          <w:p w14:paraId="1BDADB46" w14:textId="77777777" w:rsidR="00F24E91" w:rsidRPr="00F24E91" w:rsidRDefault="00F24E91" w:rsidP="00F24E91">
            <w:pPr>
              <w:snapToGrid/>
              <w:spacing w:after="0" w:afterAutospacing="0"/>
              <w:contextualSpacing/>
              <w:jc w:val="left"/>
              <w:rPr>
                <w:rFonts w:eastAsia="Times New Roman"/>
                <w:bCs/>
                <w:sz w:val="20"/>
                <w:szCs w:val="24"/>
                <w:lang w:eastAsia="en-US"/>
              </w:rPr>
            </w:pPr>
            <w:r w:rsidRPr="00F24E91">
              <w:rPr>
                <w:rFonts w:eastAsia="Times New Roman"/>
                <w:bCs/>
                <w:sz w:val="20"/>
                <w:szCs w:val="24"/>
                <w:lang w:eastAsia="en-US"/>
              </w:rPr>
              <w:t xml:space="preserve">For a UE operating with 3TX, </w:t>
            </w:r>
          </w:p>
          <w:p w14:paraId="361ACCCB" w14:textId="77777777" w:rsidR="00F24E91" w:rsidRPr="00F24E91" w:rsidRDefault="00F24E91" w:rsidP="00F24E91">
            <w:pPr>
              <w:numPr>
                <w:ilvl w:val="0"/>
                <w:numId w:val="45"/>
              </w:numPr>
              <w:snapToGrid/>
              <w:spacing w:after="0" w:afterAutospacing="0"/>
              <w:contextualSpacing/>
              <w:jc w:val="left"/>
              <w:rPr>
                <w:rFonts w:eastAsia="Times New Roman"/>
                <w:bCs/>
                <w:sz w:val="20"/>
                <w:szCs w:val="24"/>
                <w:lang w:eastAsia="x-none"/>
              </w:rPr>
            </w:pPr>
            <w:r w:rsidRPr="00F24E91">
              <w:rPr>
                <w:rFonts w:eastAsia="Times New Roman"/>
                <w:bCs/>
                <w:sz w:val="20"/>
                <w:szCs w:val="24"/>
                <w:lang w:eastAsia="x-none"/>
              </w:rPr>
              <w:t>the RRC parameter for enabling a configured 4-port SRS resource with port 1003 disabled, is applied for all SRS resource set(s) for SRS usage set as codebook.</w:t>
            </w:r>
          </w:p>
          <w:p w14:paraId="3D2F62B6" w14:textId="77777777" w:rsidR="00F24E91" w:rsidRPr="00F24E91" w:rsidRDefault="00F24E91" w:rsidP="00F24E91">
            <w:pPr>
              <w:numPr>
                <w:ilvl w:val="0"/>
                <w:numId w:val="45"/>
              </w:numPr>
              <w:snapToGrid/>
              <w:spacing w:after="0" w:afterAutospacing="0"/>
              <w:contextualSpacing/>
              <w:jc w:val="left"/>
              <w:rPr>
                <w:rFonts w:eastAsia="Times New Roman"/>
                <w:bCs/>
                <w:sz w:val="20"/>
                <w:szCs w:val="24"/>
                <w:lang w:eastAsia="x-none"/>
              </w:rPr>
            </w:pPr>
            <w:r w:rsidRPr="00F24E91">
              <w:rPr>
                <w:rFonts w:eastAsia="Times New Roman"/>
                <w:bCs/>
                <w:sz w:val="20"/>
                <w:szCs w:val="24"/>
                <w:lang w:eastAsia="x-none"/>
              </w:rPr>
              <w:t>the RRC parameter for enabling a configured 4-port SRS resource with port 1003 disabled, is applied for all SRS resource set(s) for SRS usage set as antenna switching.</w:t>
            </w:r>
          </w:p>
          <w:p w14:paraId="5DEAA739" w14:textId="77777777" w:rsidR="00F24E91" w:rsidRPr="00F24E91" w:rsidRDefault="00F24E91" w:rsidP="00F24E91">
            <w:pPr>
              <w:numPr>
                <w:ilvl w:val="0"/>
                <w:numId w:val="45"/>
              </w:numPr>
              <w:snapToGrid/>
              <w:spacing w:after="0" w:afterAutospacing="0"/>
              <w:contextualSpacing/>
              <w:jc w:val="left"/>
              <w:rPr>
                <w:rFonts w:eastAsia="Times New Roman"/>
                <w:bCs/>
                <w:sz w:val="20"/>
                <w:szCs w:val="24"/>
                <w:lang w:eastAsia="x-none"/>
              </w:rPr>
            </w:pPr>
            <w:r w:rsidRPr="00F24E91">
              <w:rPr>
                <w:rFonts w:eastAsia="Times New Roman"/>
                <w:bCs/>
                <w:sz w:val="20"/>
                <w:szCs w:val="24"/>
                <w:lang w:eastAsia="x-none"/>
              </w:rPr>
              <w:t>Note: The RRC parameter mentioned in the above two bullets is configured per set</w:t>
            </w:r>
          </w:p>
          <w:p w14:paraId="0E1E1E03" w14:textId="77777777" w:rsidR="00F24E91" w:rsidRPr="00F24E91" w:rsidRDefault="00F24E91" w:rsidP="00F24E91">
            <w:pPr>
              <w:snapToGrid/>
              <w:spacing w:after="0" w:afterAutospacing="0"/>
              <w:contextualSpacing/>
              <w:rPr>
                <w:rFonts w:eastAsia="Batang"/>
                <w:sz w:val="20"/>
                <w:szCs w:val="24"/>
                <w:lang w:eastAsia="x-none"/>
              </w:rPr>
            </w:pPr>
            <w:r w:rsidRPr="00F24E91">
              <w:rPr>
                <w:rFonts w:eastAsia="Batang"/>
                <w:sz w:val="20"/>
                <w:szCs w:val="24"/>
                <w:lang w:eastAsia="x-none"/>
              </w:rPr>
              <w:t>A UE does not expect an SRS resource to be configured in both codebook and antenna switching resource sets with conflicting (disabled state) configuration for the port 1003.</w:t>
            </w:r>
          </w:p>
          <w:p w14:paraId="26F1C0F3" w14:textId="77777777" w:rsidR="00F24E91" w:rsidRPr="00F24E91" w:rsidRDefault="00F24E91" w:rsidP="00F24E91">
            <w:pPr>
              <w:snapToGrid/>
              <w:spacing w:after="0" w:afterAutospacing="0"/>
              <w:contextualSpacing/>
              <w:jc w:val="left"/>
            </w:pPr>
          </w:p>
        </w:tc>
      </w:tr>
    </w:tbl>
    <w:p w14:paraId="1C2E1F72" w14:textId="77777777" w:rsidR="002A4EC4" w:rsidRDefault="002A4EC4" w:rsidP="002A4EC4"/>
    <w:p w14:paraId="54C25F26" w14:textId="77777777" w:rsidR="00F24E91" w:rsidRPr="002A4EC4" w:rsidRDefault="00F24E91" w:rsidP="002A4EC4"/>
    <w:p w14:paraId="2E0E4B83" w14:textId="1ED8062F" w:rsidR="002A4EC4" w:rsidRDefault="002A4EC4" w:rsidP="002A4EC4">
      <w:pPr>
        <w:pStyle w:val="10"/>
        <w:numPr>
          <w:ilvl w:val="1"/>
          <w:numId w:val="1"/>
        </w:numPr>
        <w:spacing w:after="180"/>
      </w:pPr>
      <w:r>
        <w:rPr>
          <w:rFonts w:hint="eastAsia"/>
        </w:rPr>
        <w:t>3</w:t>
      </w:r>
      <w:r>
        <w:t>T</w:t>
      </w:r>
      <w:r w:rsidR="006351F9">
        <w:t>3</w:t>
      </w:r>
      <w:r>
        <w:t xml:space="preserve">R antenna </w:t>
      </w:r>
      <w:proofErr w:type="gramStart"/>
      <w:r>
        <w:t>switching</w:t>
      </w:r>
      <w:proofErr w:type="gramEnd"/>
    </w:p>
    <w:p w14:paraId="111BE5E7" w14:textId="468D1965" w:rsidR="00F24E91" w:rsidRDefault="005E7D19" w:rsidP="002A4EC4">
      <w:r>
        <w:rPr>
          <w:rFonts w:hint="eastAsia"/>
        </w:rPr>
        <w:t>A</w:t>
      </w:r>
      <w:r>
        <w:t>ccording to the a</w:t>
      </w:r>
      <w:r w:rsidRPr="005E7D19">
        <w:t>dditional RAN guidance on Rel-19 NR MIMO</w:t>
      </w:r>
      <w:r>
        <w:t>, the following way forward has been achieved:</w:t>
      </w:r>
    </w:p>
    <w:tbl>
      <w:tblPr>
        <w:tblStyle w:val="af0"/>
        <w:tblW w:w="0" w:type="auto"/>
        <w:tblLook w:val="04A0" w:firstRow="1" w:lastRow="0" w:firstColumn="1" w:lastColumn="0" w:noHBand="0" w:noVBand="1"/>
      </w:tblPr>
      <w:tblGrid>
        <w:gridCol w:w="9954"/>
      </w:tblGrid>
      <w:tr w:rsidR="005E7D19" w14:paraId="61F1CAB8" w14:textId="77777777" w:rsidTr="005E7D19">
        <w:tc>
          <w:tcPr>
            <w:tcW w:w="9954" w:type="dxa"/>
          </w:tcPr>
          <w:p w14:paraId="69B90167" w14:textId="77777777" w:rsidR="005E7D19" w:rsidRPr="005E7D19" w:rsidRDefault="005E7D19" w:rsidP="005E7D19">
            <w:pPr>
              <w:snapToGrid/>
              <w:spacing w:after="0" w:afterAutospacing="0"/>
              <w:jc w:val="left"/>
              <w:rPr>
                <w:rFonts w:ascii="Times" w:eastAsia="Batang" w:hAnsi="Times"/>
                <w:sz w:val="20"/>
                <w:szCs w:val="24"/>
                <w:lang w:val="en-US" w:eastAsia="ko-KR"/>
              </w:rPr>
            </w:pPr>
            <w:r w:rsidRPr="005E7D19">
              <w:rPr>
                <w:rFonts w:ascii="Times" w:eastAsia="Batang" w:hAnsi="Times"/>
                <w:b/>
                <w:bCs/>
                <w:sz w:val="20"/>
                <w:szCs w:val="24"/>
                <w:lang w:val="en-US" w:eastAsia="ko-KR"/>
              </w:rPr>
              <w:t>Proposal</w:t>
            </w:r>
            <w:r w:rsidRPr="005E7D19">
              <w:rPr>
                <w:rFonts w:ascii="Times" w:eastAsia="Batang" w:hAnsi="Times"/>
                <w:sz w:val="20"/>
                <w:szCs w:val="24"/>
                <w:lang w:val="en-US" w:eastAsia="ko-KR"/>
              </w:rPr>
              <w:t xml:space="preserve">: RAN clarifies that for ‘3T3R’ antenna switching, SRS configuration i.e., SRS resource/set definition for ‘3T3R’ antenna switching can be discussed and supported as part of Rel-19 MIMO in RAN1. </w:t>
            </w:r>
          </w:p>
          <w:p w14:paraId="7977BAB6" w14:textId="77777777" w:rsidR="005E7D19" w:rsidRPr="005E7D19" w:rsidRDefault="005E7D19" w:rsidP="005E7D19">
            <w:pPr>
              <w:numPr>
                <w:ilvl w:val="0"/>
                <w:numId w:val="46"/>
              </w:numPr>
              <w:snapToGrid/>
              <w:spacing w:after="0" w:afterAutospacing="0"/>
              <w:jc w:val="left"/>
              <w:rPr>
                <w:rFonts w:ascii="Times" w:eastAsia="Batang" w:hAnsi="Times"/>
                <w:sz w:val="20"/>
                <w:szCs w:val="24"/>
                <w:lang w:val="en-US" w:eastAsia="ko-KR"/>
              </w:rPr>
            </w:pPr>
            <w:r w:rsidRPr="005E7D19">
              <w:rPr>
                <w:rFonts w:ascii="Times" w:eastAsia="Batang" w:hAnsi="Times"/>
                <w:sz w:val="20"/>
                <w:szCs w:val="24"/>
                <w:lang w:val="en-US" w:eastAsia="ko-KR"/>
              </w:rPr>
              <w:t xml:space="preserve">where ‘3T3R’ is only applicable for the UE equipped with 4Rx, 6Rx, or 8Rx antenna ports. </w:t>
            </w:r>
          </w:p>
          <w:p w14:paraId="0142C059" w14:textId="77777777" w:rsidR="005E7D19" w:rsidRPr="005E7D19" w:rsidRDefault="005E7D19" w:rsidP="005E7D19">
            <w:pPr>
              <w:numPr>
                <w:ilvl w:val="0"/>
                <w:numId w:val="46"/>
              </w:numPr>
              <w:snapToGrid/>
              <w:spacing w:after="0" w:afterAutospacing="0"/>
              <w:jc w:val="left"/>
              <w:rPr>
                <w:rFonts w:ascii="Times" w:eastAsia="Batang" w:hAnsi="Times"/>
                <w:sz w:val="20"/>
                <w:szCs w:val="24"/>
                <w:lang w:val="en-US" w:eastAsia="ko-KR"/>
              </w:rPr>
            </w:pPr>
            <w:r w:rsidRPr="005E7D19">
              <w:rPr>
                <w:rFonts w:ascii="Times" w:eastAsia="Batang" w:hAnsi="Times"/>
                <w:sz w:val="20"/>
                <w:szCs w:val="24"/>
                <w:lang w:val="en-US" w:eastAsia="ko-KR"/>
              </w:rPr>
              <w:t>No RAN4 impact.</w:t>
            </w:r>
          </w:p>
          <w:p w14:paraId="1B7E939E" w14:textId="77777777" w:rsidR="005E7D19" w:rsidRDefault="005E7D19" w:rsidP="002A4EC4"/>
        </w:tc>
      </w:tr>
    </w:tbl>
    <w:p w14:paraId="55E27E32" w14:textId="77777777" w:rsidR="005E7D19" w:rsidRDefault="005E7D19" w:rsidP="002A4EC4"/>
    <w:p w14:paraId="1CD181A8" w14:textId="7B51C990" w:rsidR="00476247" w:rsidRDefault="005E7D19" w:rsidP="002A4EC4">
      <w:r>
        <w:rPr>
          <w:rFonts w:hint="eastAsia"/>
        </w:rPr>
        <w:t>I</w:t>
      </w:r>
      <w:r>
        <w:t xml:space="preserve">n RAN1#119 meeting, it was agreed to introduce </w:t>
      </w:r>
      <w:r w:rsidR="00476247">
        <w:t>‘t3r3’ for 3T3R and ‘t3r6’ for 3T6R on SRS antenna switching. Furthermore, 3T6R antenna switching is defined by reusing the principle of 4T8R antenna switching while muting port 1003. However, the definition of 3T3R antenna switching has not been defined yet.</w:t>
      </w:r>
      <w:r w:rsidR="00F163E0">
        <w:t xml:space="preserve"> According to the WID, the </w:t>
      </w:r>
      <w:r w:rsidR="00816711">
        <w:t>3T3R antenna switching is supported without enhancement on SRS resource. Therefore, to define 3T3R antenna switching, the principle of 4T4R antenna switching should be reused while muting port 1003.</w:t>
      </w:r>
    </w:p>
    <w:p w14:paraId="4491CB48" w14:textId="316E2CE4" w:rsidR="00816711" w:rsidRPr="00A04407" w:rsidRDefault="00816711" w:rsidP="002A4EC4">
      <w:pPr>
        <w:rPr>
          <w:b/>
          <w:bCs/>
        </w:rPr>
      </w:pPr>
      <w:r w:rsidRPr="00A04407">
        <w:rPr>
          <w:rFonts w:hint="eastAsia"/>
          <w:b/>
          <w:bCs/>
        </w:rPr>
        <w:t>P</w:t>
      </w:r>
      <w:r w:rsidRPr="00A04407">
        <w:rPr>
          <w:b/>
          <w:bCs/>
        </w:rPr>
        <w:t>roposal 1: To define 3T3R antenna switching, the principle of 4T4R antenna switching should be reused while muting port 1003.</w:t>
      </w:r>
    </w:p>
    <w:p w14:paraId="2F6CE6AE" w14:textId="17DA67FF" w:rsidR="005625F0" w:rsidRDefault="00F163E0" w:rsidP="00F163E0">
      <w:r>
        <w:t xml:space="preserve">For 4T=4R, </w:t>
      </w:r>
      <w:r w:rsidR="005625F0">
        <w:t xml:space="preserve">up to two SRS resource sets each with one SRS resource, which consists of 4 ports, </w:t>
      </w:r>
      <w:r w:rsidR="00AA1DFF">
        <w:t xml:space="preserve">can be </w:t>
      </w:r>
      <w:r w:rsidR="005625F0">
        <w:t>configured if srs-AntennaSwitching2SP-1Periodic is not indicated by the UE. For this reason, the same configuration should be reused for 3T=3R while muting port 1003. Likewise, if srs-AntennaSwitching2SP-1Periodic is indicated by the UE, the same configuration as 4T=4R should be allowed for 3T=3R.</w:t>
      </w:r>
    </w:p>
    <w:p w14:paraId="1F387A8A" w14:textId="7136F47C" w:rsidR="00F163E0" w:rsidRPr="005625F0" w:rsidRDefault="005625F0" w:rsidP="002A4EC4">
      <w:pPr>
        <w:rPr>
          <w:b/>
          <w:bCs/>
        </w:rPr>
      </w:pPr>
      <w:r w:rsidRPr="005625F0">
        <w:rPr>
          <w:rFonts w:hint="eastAsia"/>
          <w:b/>
          <w:bCs/>
        </w:rPr>
        <w:lastRenderedPageBreak/>
        <w:t>P</w:t>
      </w:r>
      <w:r w:rsidRPr="005625F0">
        <w:rPr>
          <w:b/>
          <w:bCs/>
        </w:rPr>
        <w:t>roposal 2:</w:t>
      </w:r>
      <w:r w:rsidRPr="005625F0">
        <w:rPr>
          <w:rFonts w:hint="eastAsia"/>
          <w:b/>
          <w:bCs/>
        </w:rPr>
        <w:t xml:space="preserve"> </w:t>
      </w:r>
      <w:r w:rsidR="00F163E0" w:rsidRPr="005625F0">
        <w:rPr>
          <w:rFonts w:hint="eastAsia"/>
          <w:b/>
          <w:bCs/>
        </w:rPr>
        <w:t>F</w:t>
      </w:r>
      <w:r w:rsidR="00F163E0" w:rsidRPr="005625F0">
        <w:rPr>
          <w:b/>
          <w:bCs/>
        </w:rPr>
        <w:t xml:space="preserve">or 3T=3R, </w:t>
      </w:r>
      <w:r w:rsidRPr="005625F0">
        <w:rPr>
          <w:rFonts w:hint="eastAsia"/>
          <w:b/>
          <w:bCs/>
        </w:rPr>
        <w:t>t</w:t>
      </w:r>
      <w:r w:rsidRPr="005625F0">
        <w:rPr>
          <w:b/>
          <w:bCs/>
        </w:rPr>
        <w:t>he following SRS antenna switching should be supported i</w:t>
      </w:r>
      <w:r w:rsidR="00F163E0" w:rsidRPr="005625F0">
        <w:rPr>
          <w:b/>
          <w:bCs/>
        </w:rPr>
        <w:t xml:space="preserve">f srs-AntennaSwitching2SP-1Periodic is </w:t>
      </w:r>
      <w:r w:rsidRPr="005625F0">
        <w:rPr>
          <w:b/>
          <w:bCs/>
        </w:rPr>
        <w:t>not</w:t>
      </w:r>
      <w:r w:rsidR="00F163E0" w:rsidRPr="005625F0">
        <w:rPr>
          <w:b/>
          <w:bCs/>
        </w:rPr>
        <w:t xml:space="preserve"> indicated</w:t>
      </w:r>
      <w:r w:rsidR="00A04407" w:rsidRPr="005625F0">
        <w:rPr>
          <w:b/>
          <w:bCs/>
        </w:rPr>
        <w:t xml:space="preserve"> by the UE</w:t>
      </w:r>
      <w:r w:rsidRPr="005625F0">
        <w:rPr>
          <w:b/>
          <w:bCs/>
        </w:rPr>
        <w:t>:</w:t>
      </w:r>
    </w:p>
    <w:p w14:paraId="7A358E78" w14:textId="6FF33B47" w:rsidR="00F163E0" w:rsidRPr="005625F0" w:rsidRDefault="00F163E0" w:rsidP="00F163E0">
      <w:pPr>
        <w:pStyle w:val="aff5"/>
        <w:numPr>
          <w:ilvl w:val="0"/>
          <w:numId w:val="45"/>
        </w:numPr>
        <w:ind w:leftChars="0"/>
        <w:rPr>
          <w:b/>
          <w:bCs/>
        </w:rPr>
      </w:pPr>
      <w:r w:rsidRPr="005625F0">
        <w:rPr>
          <w:b/>
          <w:bCs/>
        </w:rPr>
        <w:t xml:space="preserve">Up to two SRS resource sets each with one SRS resource </w:t>
      </w:r>
      <w:r w:rsidR="005625F0" w:rsidRPr="005625F0">
        <w:rPr>
          <w:b/>
          <w:bCs/>
        </w:rPr>
        <w:t>can</w:t>
      </w:r>
      <w:r w:rsidRPr="005625F0">
        <w:rPr>
          <w:b/>
          <w:bCs/>
        </w:rPr>
        <w:t xml:space="preserve"> be configured.</w:t>
      </w:r>
    </w:p>
    <w:p w14:paraId="1512F482" w14:textId="5163B51A" w:rsidR="00F163E0" w:rsidRPr="005625F0" w:rsidRDefault="00F163E0" w:rsidP="00F163E0">
      <w:pPr>
        <w:pStyle w:val="aff5"/>
        <w:numPr>
          <w:ilvl w:val="0"/>
          <w:numId w:val="45"/>
        </w:numPr>
        <w:ind w:leftChars="0"/>
        <w:rPr>
          <w:b/>
          <w:bCs/>
        </w:rPr>
      </w:pPr>
      <w:r w:rsidRPr="005625F0">
        <w:rPr>
          <w:rFonts w:hint="eastAsia"/>
          <w:b/>
          <w:bCs/>
        </w:rPr>
        <w:t>T</w:t>
      </w:r>
      <w:r w:rsidRPr="005625F0">
        <w:rPr>
          <w:b/>
          <w:bCs/>
        </w:rPr>
        <w:t xml:space="preserve">he number of SRS ports for each resource </w:t>
      </w:r>
      <w:r w:rsidR="005625F0" w:rsidRPr="005625F0">
        <w:rPr>
          <w:b/>
          <w:bCs/>
        </w:rPr>
        <w:t>is</w:t>
      </w:r>
      <w:r w:rsidRPr="005625F0">
        <w:rPr>
          <w:b/>
          <w:bCs/>
        </w:rPr>
        <w:t xml:space="preserve"> 4 with port 1003 disabled.</w:t>
      </w:r>
    </w:p>
    <w:p w14:paraId="7C7BAC01" w14:textId="076ED78E" w:rsidR="00F163E0" w:rsidRPr="005625F0" w:rsidRDefault="005625F0" w:rsidP="00F163E0">
      <w:pPr>
        <w:rPr>
          <w:b/>
          <w:bCs/>
        </w:rPr>
      </w:pPr>
      <w:r w:rsidRPr="005625F0">
        <w:rPr>
          <w:rFonts w:hint="eastAsia"/>
          <w:b/>
          <w:bCs/>
        </w:rPr>
        <w:t>P</w:t>
      </w:r>
      <w:r w:rsidRPr="005625F0">
        <w:rPr>
          <w:b/>
          <w:bCs/>
        </w:rPr>
        <w:t>roposal 3: For 3T</w:t>
      </w:r>
      <w:r w:rsidR="00B83A72">
        <w:rPr>
          <w:b/>
          <w:bCs/>
        </w:rPr>
        <w:t>=</w:t>
      </w:r>
      <w:r w:rsidRPr="005625F0">
        <w:rPr>
          <w:b/>
          <w:bCs/>
        </w:rPr>
        <w:t>3R, the following SRS antenna switching should be supported if</w:t>
      </w:r>
      <w:r w:rsidRPr="005625F0">
        <w:rPr>
          <w:rFonts w:hint="eastAsia"/>
          <w:b/>
          <w:bCs/>
        </w:rPr>
        <w:t xml:space="preserve"> </w:t>
      </w:r>
      <w:r w:rsidR="00F163E0" w:rsidRPr="005625F0">
        <w:rPr>
          <w:b/>
          <w:bCs/>
        </w:rPr>
        <w:t>srs-AntennaSwitching2SP-1Periodic is indicated</w:t>
      </w:r>
      <w:r w:rsidR="00A04407" w:rsidRPr="005625F0">
        <w:rPr>
          <w:b/>
          <w:bCs/>
        </w:rPr>
        <w:t xml:space="preserve"> by the UE</w:t>
      </w:r>
      <w:r w:rsidRPr="005625F0">
        <w:rPr>
          <w:b/>
          <w:bCs/>
        </w:rPr>
        <w:t>:</w:t>
      </w:r>
    </w:p>
    <w:p w14:paraId="1714D217" w14:textId="63BF88A2" w:rsidR="00F163E0" w:rsidRPr="005625F0" w:rsidRDefault="00F163E0" w:rsidP="00F163E0">
      <w:pPr>
        <w:pStyle w:val="aff5"/>
        <w:numPr>
          <w:ilvl w:val="0"/>
          <w:numId w:val="45"/>
        </w:numPr>
        <w:ind w:leftChars="0"/>
        <w:rPr>
          <w:b/>
          <w:bCs/>
        </w:rPr>
      </w:pPr>
      <w:r w:rsidRPr="005625F0">
        <w:rPr>
          <w:b/>
          <w:bCs/>
        </w:rPr>
        <w:t xml:space="preserve">Up to two semi-persistent SRS resource sets and one periodic SRS resource set </w:t>
      </w:r>
      <w:r w:rsidR="005625F0" w:rsidRPr="005625F0">
        <w:rPr>
          <w:b/>
          <w:bCs/>
        </w:rPr>
        <w:t>can</w:t>
      </w:r>
      <w:r w:rsidRPr="005625F0">
        <w:rPr>
          <w:b/>
          <w:bCs/>
        </w:rPr>
        <w:t xml:space="preserve"> be configured.</w:t>
      </w:r>
    </w:p>
    <w:p w14:paraId="7DBE0D90" w14:textId="77777777" w:rsidR="00E02F79" w:rsidRDefault="00E02F79" w:rsidP="002A4EC4"/>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21C71C5" w14:textId="77777777" w:rsidR="00B83A72" w:rsidRPr="00A04407" w:rsidRDefault="00B83A72" w:rsidP="00B83A72">
      <w:pPr>
        <w:rPr>
          <w:b/>
          <w:bCs/>
        </w:rPr>
      </w:pPr>
      <w:r w:rsidRPr="00A04407">
        <w:rPr>
          <w:rFonts w:hint="eastAsia"/>
          <w:b/>
          <w:bCs/>
        </w:rPr>
        <w:t>P</w:t>
      </w:r>
      <w:r w:rsidRPr="00A04407">
        <w:rPr>
          <w:b/>
          <w:bCs/>
        </w:rPr>
        <w:t>roposal 1: To define 3T3R antenna switching, the principle of 4T4R antenna switching should be reused while muting port 1003.</w:t>
      </w:r>
    </w:p>
    <w:p w14:paraId="7C03A157" w14:textId="77777777" w:rsidR="00B83A72" w:rsidRPr="005625F0" w:rsidRDefault="00B83A72" w:rsidP="00B83A72">
      <w:pPr>
        <w:rPr>
          <w:b/>
          <w:bCs/>
        </w:rPr>
      </w:pPr>
      <w:r w:rsidRPr="005625F0">
        <w:rPr>
          <w:rFonts w:hint="eastAsia"/>
          <w:b/>
          <w:bCs/>
        </w:rPr>
        <w:t>P</w:t>
      </w:r>
      <w:r w:rsidRPr="005625F0">
        <w:rPr>
          <w:b/>
          <w:bCs/>
        </w:rPr>
        <w:t>roposal 2:</w:t>
      </w:r>
      <w:r w:rsidRPr="005625F0">
        <w:rPr>
          <w:rFonts w:hint="eastAsia"/>
          <w:b/>
          <w:bCs/>
        </w:rPr>
        <w:t xml:space="preserve"> F</w:t>
      </w:r>
      <w:r w:rsidRPr="005625F0">
        <w:rPr>
          <w:b/>
          <w:bCs/>
        </w:rPr>
        <w:t xml:space="preserve">or 3T=3R, </w:t>
      </w:r>
      <w:r w:rsidRPr="005625F0">
        <w:rPr>
          <w:rFonts w:hint="eastAsia"/>
          <w:b/>
          <w:bCs/>
        </w:rPr>
        <w:t>t</w:t>
      </w:r>
      <w:r w:rsidRPr="005625F0">
        <w:rPr>
          <w:b/>
          <w:bCs/>
        </w:rPr>
        <w:t>he following SRS antenna switching should be supported if srs-AntennaSwitching2SP-1Periodic is not indicated by the UE:</w:t>
      </w:r>
    </w:p>
    <w:p w14:paraId="3251890F" w14:textId="77777777" w:rsidR="00B83A72" w:rsidRPr="005625F0" w:rsidRDefault="00B83A72" w:rsidP="00B83A72">
      <w:pPr>
        <w:pStyle w:val="aff5"/>
        <w:numPr>
          <w:ilvl w:val="0"/>
          <w:numId w:val="45"/>
        </w:numPr>
        <w:ind w:leftChars="0"/>
        <w:rPr>
          <w:b/>
          <w:bCs/>
        </w:rPr>
      </w:pPr>
      <w:r w:rsidRPr="005625F0">
        <w:rPr>
          <w:b/>
          <w:bCs/>
        </w:rPr>
        <w:t>Up to two SRS resource sets each with one SRS resource can be configured.</w:t>
      </w:r>
    </w:p>
    <w:p w14:paraId="7D03C110" w14:textId="77777777" w:rsidR="00B83A72" w:rsidRPr="005625F0" w:rsidRDefault="00B83A72" w:rsidP="00B83A72">
      <w:pPr>
        <w:pStyle w:val="aff5"/>
        <w:numPr>
          <w:ilvl w:val="0"/>
          <w:numId w:val="45"/>
        </w:numPr>
        <w:ind w:leftChars="0"/>
        <w:rPr>
          <w:b/>
          <w:bCs/>
        </w:rPr>
      </w:pPr>
      <w:r w:rsidRPr="005625F0">
        <w:rPr>
          <w:rFonts w:hint="eastAsia"/>
          <w:b/>
          <w:bCs/>
        </w:rPr>
        <w:t>T</w:t>
      </w:r>
      <w:r w:rsidRPr="005625F0">
        <w:rPr>
          <w:b/>
          <w:bCs/>
        </w:rPr>
        <w:t>he number of SRS ports for each resource is 4 with port 1003 disabled.</w:t>
      </w:r>
    </w:p>
    <w:p w14:paraId="141280FF" w14:textId="77777777" w:rsidR="00B83A72" w:rsidRPr="005625F0" w:rsidRDefault="00B83A72" w:rsidP="00B83A72">
      <w:pPr>
        <w:rPr>
          <w:b/>
          <w:bCs/>
        </w:rPr>
      </w:pPr>
      <w:r w:rsidRPr="005625F0">
        <w:rPr>
          <w:rFonts w:hint="eastAsia"/>
          <w:b/>
          <w:bCs/>
        </w:rPr>
        <w:t>P</w:t>
      </w:r>
      <w:r w:rsidRPr="005625F0">
        <w:rPr>
          <w:b/>
          <w:bCs/>
        </w:rPr>
        <w:t>roposal 3: For 3T</w:t>
      </w:r>
      <w:r>
        <w:rPr>
          <w:b/>
          <w:bCs/>
        </w:rPr>
        <w:t>=</w:t>
      </w:r>
      <w:r w:rsidRPr="005625F0">
        <w:rPr>
          <w:b/>
          <w:bCs/>
        </w:rPr>
        <w:t>3R, the following SRS antenna switching should be supported if</w:t>
      </w:r>
      <w:r w:rsidRPr="005625F0">
        <w:rPr>
          <w:rFonts w:hint="eastAsia"/>
          <w:b/>
          <w:bCs/>
        </w:rPr>
        <w:t xml:space="preserve"> </w:t>
      </w:r>
      <w:r w:rsidRPr="005625F0">
        <w:rPr>
          <w:b/>
          <w:bCs/>
        </w:rPr>
        <w:t>srs-AntennaSwitching2SP-1Periodic is indicated by the UE:</w:t>
      </w:r>
    </w:p>
    <w:p w14:paraId="42C97057" w14:textId="74883C16" w:rsidR="007F0ABA" w:rsidRPr="00B83A72" w:rsidRDefault="00B83A72" w:rsidP="007F0ABA">
      <w:pPr>
        <w:pStyle w:val="aff5"/>
        <w:numPr>
          <w:ilvl w:val="0"/>
          <w:numId w:val="45"/>
        </w:numPr>
        <w:ind w:leftChars="0"/>
        <w:rPr>
          <w:b/>
          <w:bCs/>
        </w:rPr>
      </w:pPr>
      <w:r w:rsidRPr="005625F0">
        <w:rPr>
          <w:b/>
          <w:bCs/>
        </w:rPr>
        <w:t>Up to two semi-persistent SRS resource sets and one periodic SRS resource set can be configured.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77777777"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RP-234007, New WID: NR MIMO Phase 5, </w:t>
      </w:r>
      <w:proofErr w:type="gramStart"/>
      <w:r>
        <w:rPr>
          <w:szCs w:val="24"/>
          <w:lang w:eastAsia="ja-JP"/>
        </w:rPr>
        <w:t>Dec.,</w:t>
      </w:r>
      <w:proofErr w:type="gramEnd"/>
      <w:r>
        <w:rPr>
          <w:szCs w:val="24"/>
          <w:lang w:eastAsia="ja-JP"/>
        </w:rPr>
        <w:t xml:space="preserve"> 2023.</w:t>
      </w:r>
    </w:p>
    <w:p w14:paraId="6D909AF3" w14:textId="77777777" w:rsidR="002A4EC4" w:rsidRPr="00555770"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5BFB" w14:textId="77777777" w:rsidR="00C230BB" w:rsidRDefault="00C230BB">
      <w:r>
        <w:separator/>
      </w:r>
    </w:p>
  </w:endnote>
  <w:endnote w:type="continuationSeparator" w:id="0">
    <w:p w14:paraId="77F161A7" w14:textId="77777777" w:rsidR="00C230BB" w:rsidRDefault="00C230BB">
      <w:r>
        <w:continuationSeparator/>
      </w:r>
    </w:p>
  </w:endnote>
  <w:endnote w:type="continuationNotice" w:id="1">
    <w:p w14:paraId="5D802E45" w14:textId="77777777" w:rsidR="00C230BB" w:rsidRDefault="00C23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0F1B0" w14:textId="77777777" w:rsidR="00C230BB" w:rsidRDefault="00C230BB">
      <w:r>
        <w:separator/>
      </w:r>
    </w:p>
  </w:footnote>
  <w:footnote w:type="continuationSeparator" w:id="0">
    <w:p w14:paraId="2A832106" w14:textId="77777777" w:rsidR="00C230BB" w:rsidRDefault="00C230BB">
      <w:r>
        <w:continuationSeparator/>
      </w:r>
    </w:p>
  </w:footnote>
  <w:footnote w:type="continuationNotice" w:id="1">
    <w:p w14:paraId="4862A00D" w14:textId="77777777" w:rsidR="00C230BB" w:rsidRDefault="00C230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1041702">
    <w:abstractNumId w:val="36"/>
  </w:num>
  <w:num w:numId="2" w16cid:durableId="875967151">
    <w:abstractNumId w:val="7"/>
  </w:num>
  <w:num w:numId="3" w16cid:durableId="2017920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632100">
    <w:abstractNumId w:val="38"/>
  </w:num>
  <w:num w:numId="5" w16cid:durableId="1412576990">
    <w:abstractNumId w:val="24"/>
  </w:num>
  <w:num w:numId="6" w16cid:durableId="2008051329">
    <w:abstractNumId w:val="25"/>
  </w:num>
  <w:num w:numId="7" w16cid:durableId="448858778">
    <w:abstractNumId w:val="22"/>
  </w:num>
  <w:num w:numId="8" w16cid:durableId="2086026849">
    <w:abstractNumId w:val="5"/>
  </w:num>
  <w:num w:numId="9" w16cid:durableId="2042898334">
    <w:abstractNumId w:val="42"/>
  </w:num>
  <w:num w:numId="10" w16cid:durableId="395012961">
    <w:abstractNumId w:val="20"/>
  </w:num>
  <w:num w:numId="11" w16cid:durableId="37094377">
    <w:abstractNumId w:val="2"/>
  </w:num>
  <w:num w:numId="12" w16cid:durableId="5935607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7865918">
    <w:abstractNumId w:val="37"/>
  </w:num>
  <w:num w:numId="14" w16cid:durableId="627858674">
    <w:abstractNumId w:val="11"/>
  </w:num>
  <w:num w:numId="15" w16cid:durableId="1799716853">
    <w:abstractNumId w:val="4"/>
  </w:num>
  <w:num w:numId="16" w16cid:durableId="641160289">
    <w:abstractNumId w:val="8"/>
  </w:num>
  <w:num w:numId="17" w16cid:durableId="742802627">
    <w:abstractNumId w:val="41"/>
  </w:num>
  <w:num w:numId="18" w16cid:durableId="251815206">
    <w:abstractNumId w:val="32"/>
  </w:num>
  <w:num w:numId="19" w16cid:durableId="1867911798">
    <w:abstractNumId w:val="28"/>
  </w:num>
  <w:num w:numId="20" w16cid:durableId="923419212">
    <w:abstractNumId w:val="30"/>
  </w:num>
  <w:num w:numId="21" w16cid:durableId="1952129020">
    <w:abstractNumId w:val="10"/>
  </w:num>
  <w:num w:numId="22" w16cid:durableId="20672932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4017209">
    <w:abstractNumId w:val="12"/>
  </w:num>
  <w:num w:numId="24" w16cid:durableId="1065372729">
    <w:abstractNumId w:val="34"/>
  </w:num>
  <w:num w:numId="25" w16cid:durableId="680280131">
    <w:abstractNumId w:val="33"/>
  </w:num>
  <w:num w:numId="26" w16cid:durableId="29956608">
    <w:abstractNumId w:val="6"/>
  </w:num>
  <w:num w:numId="27" w16cid:durableId="490365108">
    <w:abstractNumId w:val="16"/>
  </w:num>
  <w:num w:numId="28" w16cid:durableId="1705205316">
    <w:abstractNumId w:val="35"/>
  </w:num>
  <w:num w:numId="29" w16cid:durableId="1874876852">
    <w:abstractNumId w:val="31"/>
  </w:num>
  <w:num w:numId="30" w16cid:durableId="1526864558">
    <w:abstractNumId w:val="1"/>
  </w:num>
  <w:num w:numId="31" w16cid:durableId="2072999212">
    <w:abstractNumId w:val="29"/>
  </w:num>
  <w:num w:numId="32" w16cid:durableId="1731076836">
    <w:abstractNumId w:val="27"/>
  </w:num>
  <w:num w:numId="33" w16cid:durableId="461192707">
    <w:abstractNumId w:val="17"/>
  </w:num>
  <w:num w:numId="34" w16cid:durableId="2021856400">
    <w:abstractNumId w:val="26"/>
  </w:num>
  <w:num w:numId="35" w16cid:durableId="196242156">
    <w:abstractNumId w:val="23"/>
  </w:num>
  <w:num w:numId="36" w16cid:durableId="1479611994">
    <w:abstractNumId w:val="18"/>
  </w:num>
  <w:num w:numId="37" w16cid:durableId="1827816924">
    <w:abstractNumId w:val="19"/>
  </w:num>
  <w:num w:numId="38" w16cid:durableId="642858453">
    <w:abstractNumId w:val="9"/>
  </w:num>
  <w:num w:numId="39" w16cid:durableId="2037343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121994810">
    <w:abstractNumId w:val="43"/>
  </w:num>
  <w:num w:numId="41" w16cid:durableId="1024212934">
    <w:abstractNumId w:val="3"/>
  </w:num>
  <w:num w:numId="42" w16cid:durableId="1614708402">
    <w:abstractNumId w:val="39"/>
  </w:num>
  <w:num w:numId="43" w16cid:durableId="1798527709">
    <w:abstractNumId w:val="40"/>
  </w:num>
  <w:num w:numId="44" w16cid:durableId="431516299">
    <w:abstractNumId w:val="21"/>
  </w:num>
  <w:num w:numId="45" w16cid:durableId="2049526403">
    <w:abstractNumId w:val="15"/>
  </w:num>
  <w:num w:numId="46" w16cid:durableId="21148637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21A"/>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190B5-7312-4C0F-A962-4CBD256D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4384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2025-02-07T05:40:00Z</dcterms:created>
  <dcterms:modified xsi:type="dcterms:W3CDTF">2025-02-07T05:40:00Z</dcterms:modified>
</cp:coreProperties>
</file>