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7AD950CD"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w:t>
      </w:r>
      <w:r w:rsidR="00934E4D">
        <w:rPr>
          <w:rFonts w:eastAsia="宋体"/>
          <w:sz w:val="22"/>
          <w:lang w:eastAsia="zh-CN"/>
        </w:rPr>
        <w:t>20</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934E4D">
        <w:rPr>
          <w:rFonts w:eastAsia="宋体"/>
          <w:sz w:val="22"/>
          <w:lang w:eastAsia="zh-CN"/>
        </w:rPr>
        <w:t>5</w:t>
      </w:r>
      <w:r w:rsidR="00862D1B">
        <w:rPr>
          <w:rFonts w:eastAsia="宋体"/>
          <w:sz w:val="22"/>
          <w:lang w:eastAsia="zh-CN"/>
        </w:rPr>
        <w:t>0</w:t>
      </w:r>
      <w:r w:rsidR="00B43B9C">
        <w:rPr>
          <w:rFonts w:eastAsia="宋体"/>
          <w:sz w:val="22"/>
          <w:lang w:eastAsia="zh-CN"/>
        </w:rPr>
        <w:t>0431</w:t>
      </w:r>
    </w:p>
    <w:p w14:paraId="6ED628F2" w14:textId="60DD9F90" w:rsidR="003D3369" w:rsidRDefault="00090218" w:rsidP="003D3369">
      <w:pPr>
        <w:pStyle w:val="Header"/>
        <w:tabs>
          <w:tab w:val="left" w:pos="1800"/>
        </w:tabs>
        <w:ind w:left="1800" w:hanging="1800"/>
        <w:rPr>
          <w:rFonts w:eastAsia="宋体"/>
          <w:sz w:val="22"/>
          <w:lang w:eastAsia="zh-CN"/>
        </w:rPr>
      </w:pPr>
      <w:r>
        <w:rPr>
          <w:rFonts w:eastAsia="宋体"/>
          <w:sz w:val="22"/>
          <w:lang w:eastAsia="zh-CN"/>
        </w:rPr>
        <w:t>Athens</w:t>
      </w:r>
      <w:r w:rsidR="008646B9">
        <w:rPr>
          <w:rFonts w:eastAsia="宋体"/>
          <w:sz w:val="22"/>
          <w:lang w:eastAsia="zh-CN"/>
        </w:rPr>
        <w:t xml:space="preserve">, </w:t>
      </w:r>
      <w:r>
        <w:rPr>
          <w:rFonts w:eastAsia="宋体"/>
          <w:sz w:val="22"/>
          <w:lang w:eastAsia="zh-CN"/>
        </w:rPr>
        <w:t>Greece</w:t>
      </w:r>
      <w:r w:rsidR="00904CCD">
        <w:rPr>
          <w:rFonts w:eastAsia="宋体"/>
          <w:sz w:val="22"/>
          <w:lang w:eastAsia="zh-CN"/>
        </w:rPr>
        <w:t xml:space="preserve">, </w:t>
      </w:r>
      <w:r>
        <w:rPr>
          <w:rFonts w:eastAsia="宋体"/>
          <w:sz w:val="22"/>
          <w:lang w:eastAsia="zh-CN"/>
        </w:rPr>
        <w:t>February</w:t>
      </w:r>
      <w:r w:rsidR="00904CCD">
        <w:rPr>
          <w:rFonts w:eastAsia="宋体"/>
          <w:sz w:val="22"/>
          <w:lang w:eastAsia="zh-CN"/>
        </w:rPr>
        <w:t xml:space="preserve"> </w:t>
      </w:r>
      <w:r w:rsidR="00CE3703">
        <w:rPr>
          <w:rFonts w:eastAsia="宋体"/>
          <w:sz w:val="22"/>
          <w:lang w:eastAsia="zh-CN"/>
        </w:rPr>
        <w:t>1</w:t>
      </w:r>
      <w:r>
        <w:rPr>
          <w:rFonts w:eastAsia="宋体"/>
          <w:sz w:val="22"/>
          <w:lang w:eastAsia="zh-CN"/>
        </w:rPr>
        <w:t>7</w:t>
      </w:r>
      <w:r w:rsidR="002A137F"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21</w:t>
      </w:r>
      <w:r w:rsidRPr="00090218">
        <w:rPr>
          <w:rFonts w:eastAsia="宋体"/>
          <w:sz w:val="22"/>
          <w:vertAlign w:val="superscript"/>
          <w:lang w:eastAsia="zh-CN"/>
        </w:rPr>
        <w:t>st</w:t>
      </w:r>
      <w:r w:rsidR="003D3369" w:rsidRPr="00240590">
        <w:rPr>
          <w:rFonts w:eastAsia="宋体"/>
          <w:sz w:val="22"/>
          <w:lang w:eastAsia="zh-CN"/>
        </w:rPr>
        <w:t>, 20</w:t>
      </w:r>
      <w:r w:rsidR="003D3369">
        <w:rPr>
          <w:rFonts w:eastAsia="宋体"/>
          <w:sz w:val="22"/>
          <w:lang w:eastAsia="zh-CN"/>
        </w:rPr>
        <w:t>2</w:t>
      </w:r>
      <w:r>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446D9DD"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D7EE7" w:rsidRPr="000D7EE7">
        <w:rPr>
          <w:rFonts w:cs="Arial"/>
          <w:sz w:val="22"/>
        </w:rPr>
        <w:t xml:space="preserve">Discussion on </w:t>
      </w:r>
      <w:r w:rsidR="00B2766D" w:rsidRPr="00B2766D">
        <w:rPr>
          <w:rFonts w:cs="Arial"/>
          <w:sz w:val="22"/>
        </w:rPr>
        <w:t xml:space="preserve">LS on </w:t>
      </w:r>
      <w:r w:rsidR="00E229E0" w:rsidRPr="00E229E0">
        <w:rPr>
          <w:rFonts w:cs="Arial"/>
          <w:sz w:val="22"/>
        </w:rPr>
        <w:t>LTM UE capabilities for cross-band operation</w:t>
      </w:r>
    </w:p>
    <w:p w14:paraId="4D626EB5" w14:textId="6414897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54FD2">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1447FE41" w:rsidR="0024376A" w:rsidRDefault="007F5A04" w:rsidP="00497AFF">
      <w:pPr>
        <w:pStyle w:val="00Text"/>
      </w:pPr>
      <w:r>
        <w:t xml:space="preserve">In </w:t>
      </w:r>
      <w:r w:rsidR="009F1FA8">
        <w:t>[1], RAN</w:t>
      </w:r>
      <w:r w:rsidR="00B2766D">
        <w:t>2</w:t>
      </w:r>
      <w:r w:rsidR="009F1FA8">
        <w:t xml:space="preserve"> asked </w:t>
      </w:r>
      <w:r w:rsidR="00023C0E">
        <w:t>questions on UE capability per band reporting granularity</w:t>
      </w:r>
      <w:r w:rsidR="009F1FA8">
        <w:t>.</w:t>
      </w:r>
      <w:r w:rsidR="00023C0E">
        <w:t xml:space="preserve"> Particularly, RAN2 asked whether the per band reporting granularity of some LTM UE capabilities should refer to the source band or the target band.</w:t>
      </w:r>
    </w:p>
    <w:p w14:paraId="624F367C" w14:textId="235F56DC" w:rsidR="00856939" w:rsidRDefault="009F1FA8" w:rsidP="00413219">
      <w:pPr>
        <w:pStyle w:val="01"/>
        <w:numPr>
          <w:ilvl w:val="0"/>
          <w:numId w:val="1"/>
        </w:numPr>
        <w:ind w:left="562" w:hanging="562"/>
      </w:pPr>
      <w:r>
        <w:t>Discussion</w:t>
      </w:r>
    </w:p>
    <w:p w14:paraId="5E9E854E" w14:textId="48D4445F" w:rsidR="00023C0E" w:rsidRDefault="00023C0E" w:rsidP="00E07442">
      <w:pPr>
        <w:pStyle w:val="00Text"/>
      </w:pPr>
      <w:bookmarkStart w:id="0" w:name="OLE_LINK11"/>
      <w:bookmarkStart w:id="1" w:name="OLE_LINK12"/>
      <w:r>
        <w:t>Some LTM UE capabilities are defined as per-band UE capabilities. RAN2 asked whether the following per-band LTM UE capabilities should refer to the source band or the target band:</w:t>
      </w:r>
    </w:p>
    <w:p w14:paraId="334A4E59"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ue-TA-Measurement-r18</w:t>
      </w:r>
    </w:p>
    <w:p w14:paraId="44AC6E7E"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ltm-BeamIndicationJointTCI-r18</w:t>
      </w:r>
    </w:p>
    <w:p w14:paraId="2617C086"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ltm-BeamIndicationSeparateTCI-r18</w:t>
      </w:r>
    </w:p>
    <w:p w14:paraId="7841ABF8"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rach-EarlyTA-Measurement-r18</w:t>
      </w:r>
    </w:p>
    <w:p w14:paraId="0A6F3A64"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ltm-MAC-CE-JointTCI-r18</w:t>
      </w:r>
    </w:p>
    <w:p w14:paraId="681FB404" w14:textId="77777777" w:rsidR="00023C0E" w:rsidRPr="00023C0E" w:rsidRDefault="00023C0E" w:rsidP="00023C0E">
      <w:pPr>
        <w:pStyle w:val="00Text"/>
        <w:spacing w:before="0" w:after="0" w:line="240" w:lineRule="auto"/>
        <w:ind w:left="284" w:firstLine="142"/>
      </w:pPr>
      <w:r w:rsidRPr="00023C0E">
        <w:rPr>
          <w:rFonts w:hint="eastAsia"/>
        </w:rPr>
        <w:t>•</w:t>
      </w:r>
      <w:r w:rsidRPr="00023C0E">
        <w:tab/>
        <w:t>ltm-MAC-CE-SeparateTCI-r18</w:t>
      </w:r>
    </w:p>
    <w:p w14:paraId="18CB0A94" w14:textId="2349E54E" w:rsidR="00023C0E" w:rsidRPr="00023C0E" w:rsidRDefault="00023C0E" w:rsidP="00023C0E">
      <w:pPr>
        <w:pStyle w:val="00Text"/>
        <w:spacing w:before="0" w:after="0" w:line="240" w:lineRule="auto"/>
        <w:ind w:left="284" w:firstLine="142"/>
      </w:pPr>
      <w:r w:rsidRPr="00023C0E">
        <w:rPr>
          <w:rFonts w:hint="eastAsia"/>
        </w:rPr>
        <w:t>•</w:t>
      </w:r>
      <w:r w:rsidRPr="00023C0E">
        <w:tab/>
        <w:t>ta-IndicationCellSwitch-r18</w:t>
      </w:r>
    </w:p>
    <w:p w14:paraId="34254F51" w14:textId="1C80185C" w:rsidR="00023C0E" w:rsidRDefault="002476D0" w:rsidP="00E07442">
      <w:pPr>
        <w:pStyle w:val="00Text"/>
      </w:pPr>
      <w:r>
        <w:t xml:space="preserve">The </w:t>
      </w:r>
      <w:r w:rsidRPr="002476D0">
        <w:rPr>
          <w:i/>
          <w:iCs/>
        </w:rPr>
        <w:t>ue-TA-Measurement-r18</w:t>
      </w:r>
      <w:r>
        <w:t xml:space="preserve"> defines the UE capability of UE-based TA measurement and it includes the maximum number of candidate cells that the UE can maintain the TA for. </w:t>
      </w:r>
      <w:r w:rsidR="00E23B05">
        <w:t>It defines the UE operation when the UE is still in source cell. For it, the per band refers to the source band.</w:t>
      </w:r>
    </w:p>
    <w:p w14:paraId="3277E6A3" w14:textId="509AE576" w:rsidR="00E23B05" w:rsidRDefault="00E23B05" w:rsidP="00E07442">
      <w:pPr>
        <w:pStyle w:val="00Text"/>
      </w:pPr>
      <w:r>
        <w:t xml:space="preserve">The </w:t>
      </w:r>
      <w:r w:rsidRPr="00E23B05">
        <w:rPr>
          <w:i/>
          <w:iCs/>
        </w:rPr>
        <w:t>ltm-BeamIndicationJointTCI-r18</w:t>
      </w:r>
      <w:r>
        <w:t xml:space="preserve"> and </w:t>
      </w:r>
      <w:r w:rsidRPr="00E23B05">
        <w:rPr>
          <w:i/>
          <w:iCs/>
        </w:rPr>
        <w:t>ltm-BeamIndicationSeparateTCI-r18</w:t>
      </w:r>
      <w:r>
        <w:t xml:space="preserve"> define the UE capability of TCI state indication for LTM procedure. Either of them includes the maximum number of TCI states per candidate cell and the maximum number of TCI states across all the candidate cells. They also define the UE capabilities, like how many TCI states of candidate cells the UE can maintain, when the UE is still in the serving cell, i.e., source band. Thus, the per band of them refers to the source band.</w:t>
      </w:r>
    </w:p>
    <w:p w14:paraId="0031C2FF" w14:textId="4F6FB58F" w:rsidR="00E23B05" w:rsidRDefault="00E23B05" w:rsidP="00E07442">
      <w:pPr>
        <w:pStyle w:val="00Text"/>
      </w:pPr>
      <w:r>
        <w:t xml:space="preserve">The </w:t>
      </w:r>
      <w:r w:rsidRPr="00E23B05">
        <w:rPr>
          <w:i/>
          <w:iCs/>
        </w:rPr>
        <w:t>rach-EarlyTA-Measurement-r18</w:t>
      </w:r>
      <w:r>
        <w:t xml:space="preserve"> defines the UE capability of rach-based early TA acquisition. It includes the maximum number of candidate cells for TA acquisition based on PDCCH ordered RACH. Similar to the UE capabilities discussed above, this UE capability also defines the UE behavior </w:t>
      </w:r>
      <w:r w:rsidR="00CB7853">
        <w:t>when the UE is still connected to the serving cell, i.e., source band. Thus, the per band of this UE capability also refers to the source band.</w:t>
      </w:r>
    </w:p>
    <w:p w14:paraId="5EDC334F" w14:textId="77777777" w:rsidR="00CB7853" w:rsidRDefault="00CB7853" w:rsidP="00E07442">
      <w:pPr>
        <w:pStyle w:val="00Text"/>
      </w:pPr>
      <w:r>
        <w:t xml:space="preserve">The </w:t>
      </w:r>
      <w:r w:rsidRPr="00CB7853">
        <w:rPr>
          <w:i/>
          <w:iCs/>
        </w:rPr>
        <w:t>ltm-MAC-CE-JointTCI-r18</w:t>
      </w:r>
      <w:r>
        <w:t xml:space="preserve"> and </w:t>
      </w:r>
      <w:r w:rsidRPr="00023C0E">
        <w:t>ltm-MAC-CE-SeparateTCI-r18</w:t>
      </w:r>
      <w:r>
        <w:t xml:space="preserve"> define the UE capability of supporting MAC CE based TCI state activation for candidate cells. They both include the maximum number of MAC CE activated TCI states per candidate cell and maximum number of MAC CE activated TCI states across all candidate cells. They also define the UE behavior before the UE switches to the target cell. Thus, the per band of them should refer to the source band too.</w:t>
      </w:r>
    </w:p>
    <w:p w14:paraId="6F680016" w14:textId="13EC9729" w:rsidR="00CB7853" w:rsidRDefault="00CB7853" w:rsidP="00E07442">
      <w:pPr>
        <w:pStyle w:val="00Text"/>
      </w:pPr>
      <w:r>
        <w:t xml:space="preserve">The </w:t>
      </w:r>
      <w:r w:rsidRPr="00CB7853">
        <w:rPr>
          <w:i/>
          <w:iCs/>
        </w:rPr>
        <w:t>ta-IndicationCellSwitch-r18</w:t>
      </w:r>
      <w:r>
        <w:t xml:space="preserve"> defines whether the UE supports TA indication in the LTM cell switch command. It is related whether the UE is capable of processing the TA indication for the target cell. Thus, the per band of this UE capability should refer to the target band.</w:t>
      </w:r>
    </w:p>
    <w:p w14:paraId="38467DE8" w14:textId="145DC6CF" w:rsidR="00CB7853" w:rsidRDefault="00CB7853" w:rsidP="00A072EF">
      <w:pPr>
        <w:pStyle w:val="00Text"/>
      </w:pPr>
      <w:r>
        <w:lastRenderedPageBreak/>
        <w:t xml:space="preserve">To summarize, </w:t>
      </w:r>
      <w:bookmarkStart w:id="2" w:name="_Hlk188910853"/>
      <w:r>
        <w:t xml:space="preserve">the </w:t>
      </w:r>
      <w:r w:rsidR="00A072EF" w:rsidRPr="00A072EF">
        <w:t>per band reporting granularity</w:t>
      </w:r>
      <w:r w:rsidR="00A072EF">
        <w:t xml:space="preserve"> of  </w:t>
      </w:r>
      <w:r w:rsidR="00A072EF" w:rsidRPr="00A072EF">
        <w:rPr>
          <w:i/>
          <w:iCs/>
        </w:rPr>
        <w:t>ue-TA-Measurement-r18</w:t>
      </w:r>
      <w:r w:rsidR="00A072EF">
        <w:t xml:space="preserve">, </w:t>
      </w:r>
      <w:r w:rsidR="00A072EF" w:rsidRPr="00A072EF">
        <w:rPr>
          <w:i/>
          <w:iCs/>
        </w:rPr>
        <w:t>ltm-BeamIndicationJointTCI-r18</w:t>
      </w:r>
      <w:r w:rsidR="00A072EF">
        <w:t xml:space="preserve">, </w:t>
      </w:r>
      <w:r w:rsidR="00A072EF" w:rsidRPr="00A072EF">
        <w:rPr>
          <w:i/>
          <w:iCs/>
        </w:rPr>
        <w:t>ltm-BeamIndicationSeparateTCI-r18</w:t>
      </w:r>
      <w:r w:rsidR="00A072EF">
        <w:t xml:space="preserve">, </w:t>
      </w:r>
      <w:r w:rsidR="00A072EF" w:rsidRPr="00A072EF">
        <w:rPr>
          <w:i/>
          <w:iCs/>
        </w:rPr>
        <w:t>rach-EarlyTA-Measurement-r18</w:t>
      </w:r>
      <w:r w:rsidR="00A072EF">
        <w:t xml:space="preserve">,  </w:t>
      </w:r>
      <w:r w:rsidR="00A072EF" w:rsidRPr="00A072EF">
        <w:rPr>
          <w:i/>
          <w:iCs/>
        </w:rPr>
        <w:t>ltm-MAC-CE-JointTCI-r18</w:t>
      </w:r>
      <w:r w:rsidR="00A072EF">
        <w:t xml:space="preserve"> and </w:t>
      </w:r>
      <w:r w:rsidR="00A072EF">
        <w:tab/>
      </w:r>
      <w:r w:rsidR="00A072EF" w:rsidRPr="00A072EF">
        <w:rPr>
          <w:i/>
          <w:iCs/>
        </w:rPr>
        <w:t>ltm-MAC-CE-SeparateTCI-r18</w:t>
      </w:r>
      <w:r w:rsidR="00A072EF">
        <w:t xml:space="preserve"> should refer to the source band while the per band reporting granularity of </w:t>
      </w:r>
      <w:r w:rsidR="00A072EF" w:rsidRPr="00A072EF">
        <w:rPr>
          <w:i/>
          <w:iCs/>
        </w:rPr>
        <w:t>ta-IndicationCellSwitch-r18</w:t>
      </w:r>
      <w:r w:rsidR="00A072EF">
        <w:t xml:space="preserve"> should refer to the target band</w:t>
      </w:r>
      <w:bookmarkEnd w:id="2"/>
      <w:r w:rsidR="00A072EF">
        <w:t>.</w:t>
      </w:r>
    </w:p>
    <w:p w14:paraId="1650E292" w14:textId="08620ACB" w:rsidR="00593B63" w:rsidRDefault="00F2204B" w:rsidP="00470D69">
      <w:pPr>
        <w:pStyle w:val="00Text"/>
      </w:pPr>
      <w:r>
        <w:t>Thus, we propose to answer RAN2 as follows</w:t>
      </w:r>
      <w:r w:rsidR="002311EF">
        <w:t>.</w:t>
      </w:r>
    </w:p>
    <w:p w14:paraId="24EEE334" w14:textId="69A5B256" w:rsidR="002311EF" w:rsidRDefault="002311EF" w:rsidP="002311EF">
      <w:pPr>
        <w:pStyle w:val="000proposal"/>
      </w:pPr>
      <w:r>
        <w:t>Proposal 1: Answer RAN</w:t>
      </w:r>
      <w:r w:rsidR="00A072EF">
        <w:t>2</w:t>
      </w:r>
      <w:r>
        <w:t xml:space="preserve"> as follows:</w:t>
      </w:r>
    </w:p>
    <w:p w14:paraId="388473A2" w14:textId="77777777" w:rsidR="00543B84" w:rsidRDefault="00A072EF" w:rsidP="002311EF">
      <w:pPr>
        <w:pStyle w:val="000proposal"/>
        <w:numPr>
          <w:ilvl w:val="0"/>
          <w:numId w:val="38"/>
        </w:numPr>
      </w:pPr>
      <w:r>
        <w:t xml:space="preserve">the </w:t>
      </w:r>
      <w:r w:rsidRPr="00A072EF">
        <w:t>per band reporting granularity</w:t>
      </w:r>
      <w:r>
        <w:t xml:space="preserve"> of  </w:t>
      </w:r>
      <w:r w:rsidRPr="00A072EF">
        <w:rPr>
          <w:i w:val="0"/>
          <w:iCs w:val="0"/>
        </w:rPr>
        <w:t>ue-TA-Measurement-r18</w:t>
      </w:r>
      <w:r>
        <w:t xml:space="preserve">, </w:t>
      </w:r>
      <w:r w:rsidRPr="00A072EF">
        <w:rPr>
          <w:i w:val="0"/>
          <w:iCs w:val="0"/>
        </w:rPr>
        <w:t>ltm-BeamIndicationJointTCI-r18</w:t>
      </w:r>
      <w:r>
        <w:t xml:space="preserve">, </w:t>
      </w:r>
      <w:r w:rsidRPr="00A072EF">
        <w:rPr>
          <w:i w:val="0"/>
          <w:iCs w:val="0"/>
        </w:rPr>
        <w:t>ltm-BeamIndicationSeparateTCI-r18</w:t>
      </w:r>
      <w:r>
        <w:t xml:space="preserve">, </w:t>
      </w:r>
      <w:r w:rsidRPr="00A072EF">
        <w:rPr>
          <w:i w:val="0"/>
          <w:iCs w:val="0"/>
        </w:rPr>
        <w:t>rach-EarlyTA-Measurement-r18</w:t>
      </w:r>
      <w:r>
        <w:t xml:space="preserve">,  </w:t>
      </w:r>
      <w:r w:rsidRPr="00A072EF">
        <w:rPr>
          <w:i w:val="0"/>
          <w:iCs w:val="0"/>
        </w:rPr>
        <w:t>ltm-MAC-CE-JointTCI-r18</w:t>
      </w:r>
      <w:r>
        <w:t xml:space="preserve"> and </w:t>
      </w:r>
      <w:r>
        <w:tab/>
      </w:r>
      <w:r w:rsidRPr="00A072EF">
        <w:rPr>
          <w:i w:val="0"/>
          <w:iCs w:val="0"/>
        </w:rPr>
        <w:t>ltm-MAC-CE-SeparateTCI-r18</w:t>
      </w:r>
      <w:r>
        <w:t xml:space="preserve"> should refer to the source band </w:t>
      </w:r>
    </w:p>
    <w:p w14:paraId="1095DF5D" w14:textId="783C332E" w:rsidR="002311EF" w:rsidRDefault="00A072EF" w:rsidP="002311EF">
      <w:pPr>
        <w:pStyle w:val="000proposal"/>
        <w:numPr>
          <w:ilvl w:val="0"/>
          <w:numId w:val="38"/>
        </w:numPr>
      </w:pPr>
      <w:r>
        <w:t xml:space="preserve">while the per band reporting granularity of </w:t>
      </w:r>
      <w:r w:rsidRPr="00A072EF">
        <w:rPr>
          <w:i w:val="0"/>
          <w:iCs w:val="0"/>
        </w:rPr>
        <w:t>ta-IndicationCellSwitch-r18</w:t>
      </w:r>
      <w:r>
        <w:t xml:space="preserve"> should refer to the target band</w:t>
      </w:r>
      <w:r w:rsidR="002311EF">
        <w:t>.</w:t>
      </w:r>
    </w:p>
    <w:bookmarkEnd w:id="0"/>
    <w:bookmarkEnd w:id="1"/>
    <w:p w14:paraId="3882022D" w14:textId="206F0462" w:rsidR="00071427" w:rsidRDefault="00071427" w:rsidP="00071427">
      <w:pPr>
        <w:pStyle w:val="01"/>
        <w:numPr>
          <w:ilvl w:val="0"/>
          <w:numId w:val="1"/>
        </w:numPr>
        <w:ind w:left="562" w:hanging="562"/>
      </w:pPr>
      <w:r>
        <w:t>Conclusion</w:t>
      </w:r>
    </w:p>
    <w:p w14:paraId="434E3673" w14:textId="79131117" w:rsidR="00960699" w:rsidRDefault="00262BCE" w:rsidP="00960699">
      <w:pPr>
        <w:pStyle w:val="00Text"/>
      </w:pPr>
      <w:r w:rsidRPr="00D870D2">
        <w:t xml:space="preserve">In this contribution, we </w:t>
      </w:r>
      <w:r w:rsidR="00A4047C">
        <w:t xml:space="preserve">presented </w:t>
      </w:r>
      <w:r w:rsidR="0036355A">
        <w:t xml:space="preserve">our views to the </w:t>
      </w:r>
      <w:r w:rsidR="00470D69">
        <w:t>q</w:t>
      </w:r>
      <w:r w:rsidR="0036355A">
        <w:t>uestion in [</w:t>
      </w:r>
      <w:r w:rsidR="00470D69">
        <w:t>1</w:t>
      </w:r>
      <w:r w:rsidR="0036355A">
        <w:t>] and made the following proposals</w:t>
      </w:r>
      <w:r w:rsidR="00153001">
        <w:t>:</w:t>
      </w:r>
    </w:p>
    <w:p w14:paraId="05BADD5E" w14:textId="77777777" w:rsidR="00A072EF" w:rsidRDefault="00A072EF" w:rsidP="00A072EF">
      <w:pPr>
        <w:pStyle w:val="000proposal"/>
      </w:pPr>
      <w:r>
        <w:t>Proposal 1: Answer RAN2 as follows:</w:t>
      </w:r>
    </w:p>
    <w:p w14:paraId="326589E4" w14:textId="77777777" w:rsidR="00454253" w:rsidRDefault="00A072EF" w:rsidP="00A072EF">
      <w:pPr>
        <w:pStyle w:val="000proposal"/>
        <w:numPr>
          <w:ilvl w:val="0"/>
          <w:numId w:val="38"/>
        </w:numPr>
      </w:pPr>
      <w:r>
        <w:t xml:space="preserve">the </w:t>
      </w:r>
      <w:r w:rsidRPr="00A072EF">
        <w:t>per band reporting granularity</w:t>
      </w:r>
      <w:r>
        <w:t xml:space="preserve"> of  </w:t>
      </w:r>
      <w:r w:rsidRPr="00A072EF">
        <w:rPr>
          <w:i w:val="0"/>
          <w:iCs w:val="0"/>
        </w:rPr>
        <w:t>ue-TA-Measurement-r18</w:t>
      </w:r>
      <w:r>
        <w:t xml:space="preserve">, </w:t>
      </w:r>
      <w:r w:rsidRPr="00A072EF">
        <w:rPr>
          <w:i w:val="0"/>
          <w:iCs w:val="0"/>
        </w:rPr>
        <w:t>ltm-BeamIndicationJointTCI-r18</w:t>
      </w:r>
      <w:r>
        <w:t xml:space="preserve">, </w:t>
      </w:r>
      <w:r w:rsidRPr="00A072EF">
        <w:rPr>
          <w:i w:val="0"/>
          <w:iCs w:val="0"/>
        </w:rPr>
        <w:t>ltm-BeamIndicationSeparateTCI-r18</w:t>
      </w:r>
      <w:r>
        <w:t xml:space="preserve">, </w:t>
      </w:r>
      <w:r w:rsidRPr="00A072EF">
        <w:rPr>
          <w:i w:val="0"/>
          <w:iCs w:val="0"/>
        </w:rPr>
        <w:t>rach-EarlyTA-Measurement-r18</w:t>
      </w:r>
      <w:r>
        <w:t xml:space="preserve">,  </w:t>
      </w:r>
      <w:r w:rsidRPr="00A072EF">
        <w:rPr>
          <w:i w:val="0"/>
          <w:iCs w:val="0"/>
        </w:rPr>
        <w:t>ltm-MAC-CE-JointTCI-r18</w:t>
      </w:r>
      <w:r>
        <w:t xml:space="preserve"> and </w:t>
      </w:r>
      <w:r>
        <w:tab/>
      </w:r>
      <w:r w:rsidRPr="00A072EF">
        <w:rPr>
          <w:i w:val="0"/>
          <w:iCs w:val="0"/>
        </w:rPr>
        <w:t>ltm-MAC-CE-SeparateTCI-r18</w:t>
      </w:r>
      <w:r>
        <w:t xml:space="preserve"> should refer to the source band </w:t>
      </w:r>
    </w:p>
    <w:p w14:paraId="6CCB1E76" w14:textId="0CD06955" w:rsidR="00A072EF" w:rsidRDefault="00A072EF" w:rsidP="00A072EF">
      <w:pPr>
        <w:pStyle w:val="000proposal"/>
        <w:numPr>
          <w:ilvl w:val="0"/>
          <w:numId w:val="38"/>
        </w:numPr>
      </w:pPr>
      <w:r>
        <w:t xml:space="preserve">while the per band reporting granularity of </w:t>
      </w:r>
      <w:r w:rsidRPr="00A072EF">
        <w:rPr>
          <w:i w:val="0"/>
          <w:iCs w:val="0"/>
        </w:rPr>
        <w:t>ta-IndicationCellSwitch-r18</w:t>
      </w:r>
      <w:r>
        <w:t xml:space="preserve"> should refer to the target band.</w:t>
      </w:r>
    </w:p>
    <w:p w14:paraId="5A95A0EE" w14:textId="1E0ECCEC" w:rsidR="009B2043" w:rsidRDefault="0044100E" w:rsidP="009B2043">
      <w:pPr>
        <w:pStyle w:val="01"/>
        <w:numPr>
          <w:ilvl w:val="0"/>
          <w:numId w:val="1"/>
        </w:numPr>
        <w:ind w:left="562" w:hanging="562"/>
      </w:pPr>
      <w:r>
        <w:t>R</w:t>
      </w:r>
      <w:r w:rsidR="009B2043">
        <w:t>eference</w:t>
      </w:r>
    </w:p>
    <w:p w14:paraId="7AC7B429" w14:textId="4C3C0E0E" w:rsidR="00500269" w:rsidRPr="002B5D92" w:rsidRDefault="00D63AF7" w:rsidP="000D7EE7">
      <w:pPr>
        <w:pStyle w:val="05reference"/>
        <w:rPr>
          <w:szCs w:val="20"/>
          <w:lang w:val="it-IT"/>
        </w:rPr>
      </w:pPr>
      <w:r w:rsidRPr="00D63AF7">
        <w:rPr>
          <w:szCs w:val="20"/>
          <w:lang w:val="it-IT"/>
        </w:rPr>
        <w:t>R1-2</w:t>
      </w:r>
      <w:r w:rsidR="00B12A88">
        <w:rPr>
          <w:szCs w:val="20"/>
          <w:lang w:val="it-IT"/>
        </w:rPr>
        <w:t>5</w:t>
      </w:r>
      <w:r w:rsidRPr="00D63AF7">
        <w:rPr>
          <w:szCs w:val="20"/>
          <w:lang w:val="it-IT"/>
        </w:rPr>
        <w:t>0</w:t>
      </w:r>
      <w:r w:rsidR="00B12A88">
        <w:rPr>
          <w:szCs w:val="20"/>
          <w:lang w:val="it-IT"/>
        </w:rPr>
        <w:t>0010</w:t>
      </w:r>
      <w:r>
        <w:rPr>
          <w:szCs w:val="20"/>
          <w:lang w:val="it-IT"/>
        </w:rPr>
        <w:t xml:space="preserve"> </w:t>
      </w:r>
      <w:r w:rsidR="00B2766D" w:rsidRPr="00B2766D">
        <w:rPr>
          <w:rFonts w:eastAsiaTheme="minorEastAsia"/>
          <w:szCs w:val="20"/>
          <w:lang w:val="it-IT" w:eastAsia="zh-CN"/>
        </w:rPr>
        <w:t xml:space="preserve">LS </w:t>
      </w:r>
      <w:r w:rsidR="00B12A88" w:rsidRPr="00B12A88">
        <w:rPr>
          <w:rFonts w:eastAsiaTheme="minorEastAsia"/>
          <w:szCs w:val="20"/>
          <w:lang w:val="it-IT" w:eastAsia="zh-CN"/>
        </w:rPr>
        <w:t>on LTM UE capabilities for cross-band operation</w:t>
      </w:r>
    </w:p>
    <w:sectPr w:rsidR="00500269" w:rsidRPr="002B5D9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DDE81" w14:textId="77777777" w:rsidR="00DF4788" w:rsidRDefault="00DF4788">
      <w:r>
        <w:separator/>
      </w:r>
    </w:p>
  </w:endnote>
  <w:endnote w:type="continuationSeparator" w:id="0">
    <w:p w14:paraId="3B3BCADE" w14:textId="77777777" w:rsidR="00DF4788" w:rsidRDefault="00DF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A0CD" w14:textId="77777777" w:rsidR="00DF4788" w:rsidRDefault="00DF4788">
      <w:r>
        <w:separator/>
      </w:r>
    </w:p>
  </w:footnote>
  <w:footnote w:type="continuationSeparator" w:id="0">
    <w:p w14:paraId="268CD963" w14:textId="77777777" w:rsidR="00DF4788" w:rsidRDefault="00DF4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660F4"/>
    <w:multiLevelType w:val="hybridMultilevel"/>
    <w:tmpl w:val="7BB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5"/>
  </w:num>
  <w:num w:numId="2" w16cid:durableId="88620007">
    <w:abstractNumId w:val="13"/>
  </w:num>
  <w:num w:numId="3" w16cid:durableId="123159343">
    <w:abstractNumId w:val="28"/>
  </w:num>
  <w:num w:numId="4" w16cid:durableId="1426074486">
    <w:abstractNumId w:val="22"/>
  </w:num>
  <w:num w:numId="5" w16cid:durableId="1325162131">
    <w:abstractNumId w:val="4"/>
  </w:num>
  <w:num w:numId="6" w16cid:durableId="840241853">
    <w:abstractNumId w:val="6"/>
  </w:num>
  <w:num w:numId="7" w16cid:durableId="1828013031">
    <w:abstractNumId w:val="15"/>
  </w:num>
  <w:num w:numId="8" w16cid:durableId="434520049">
    <w:abstractNumId w:val="23"/>
  </w:num>
  <w:num w:numId="9" w16cid:durableId="2089962024">
    <w:abstractNumId w:val="30"/>
  </w:num>
  <w:num w:numId="10" w16cid:durableId="446001870">
    <w:abstractNumId w:val="7"/>
  </w:num>
  <w:num w:numId="11" w16cid:durableId="1814907546">
    <w:abstractNumId w:val="18"/>
  </w:num>
  <w:num w:numId="12" w16cid:durableId="1221020232">
    <w:abstractNumId w:val="27"/>
  </w:num>
  <w:num w:numId="13" w16cid:durableId="1940750200">
    <w:abstractNumId w:val="32"/>
  </w:num>
  <w:num w:numId="14" w16cid:durableId="1718506227">
    <w:abstractNumId w:val="36"/>
  </w:num>
  <w:num w:numId="15" w16cid:durableId="731273421">
    <w:abstractNumId w:val="2"/>
  </w:num>
  <w:num w:numId="16" w16cid:durableId="797842484">
    <w:abstractNumId w:val="14"/>
  </w:num>
  <w:num w:numId="17" w16cid:durableId="1768649698">
    <w:abstractNumId w:val="33"/>
  </w:num>
  <w:num w:numId="18" w16cid:durableId="1928807138">
    <w:abstractNumId w:val="5"/>
  </w:num>
  <w:num w:numId="19" w16cid:durableId="1441993963">
    <w:abstractNumId w:val="19"/>
  </w:num>
  <w:num w:numId="20" w16cid:durableId="1152023335">
    <w:abstractNumId w:val="19"/>
  </w:num>
  <w:num w:numId="21" w16cid:durableId="1843007900">
    <w:abstractNumId w:val="17"/>
  </w:num>
  <w:num w:numId="22" w16cid:durableId="503010540">
    <w:abstractNumId w:val="29"/>
  </w:num>
  <w:num w:numId="23" w16cid:durableId="1485660275">
    <w:abstractNumId w:val="31"/>
  </w:num>
  <w:num w:numId="24" w16cid:durableId="870998646">
    <w:abstractNumId w:val="3"/>
  </w:num>
  <w:num w:numId="25" w16cid:durableId="115879973">
    <w:abstractNumId w:val="34"/>
  </w:num>
  <w:num w:numId="26" w16cid:durableId="1015500391">
    <w:abstractNumId w:val="0"/>
  </w:num>
  <w:num w:numId="27" w16cid:durableId="888420351">
    <w:abstractNumId w:val="9"/>
  </w:num>
  <w:num w:numId="28" w16cid:durableId="981812377">
    <w:abstractNumId w:val="8"/>
  </w:num>
  <w:num w:numId="29" w16cid:durableId="1343897192">
    <w:abstractNumId w:val="24"/>
  </w:num>
  <w:num w:numId="30" w16cid:durableId="589049147">
    <w:abstractNumId w:val="11"/>
  </w:num>
  <w:num w:numId="31" w16cid:durableId="1277634339">
    <w:abstractNumId w:val="12"/>
  </w:num>
  <w:num w:numId="32" w16cid:durableId="2055616486">
    <w:abstractNumId w:val="16"/>
  </w:num>
  <w:num w:numId="33" w16cid:durableId="1642005738">
    <w:abstractNumId w:val="10"/>
  </w:num>
  <w:num w:numId="34" w16cid:durableId="1260681539">
    <w:abstractNumId w:val="25"/>
  </w:num>
  <w:num w:numId="35" w16cid:durableId="1560820397">
    <w:abstractNumId w:val="21"/>
  </w:num>
  <w:num w:numId="36" w16cid:durableId="144124033">
    <w:abstractNumId w:val="26"/>
  </w:num>
  <w:num w:numId="37" w16cid:durableId="1398700248">
    <w:abstractNumId w:val="20"/>
  </w:num>
  <w:num w:numId="38" w16cid:durableId="104749299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07943"/>
    <w:rsid w:val="00013B03"/>
    <w:rsid w:val="00014144"/>
    <w:rsid w:val="00015DD7"/>
    <w:rsid w:val="00016230"/>
    <w:rsid w:val="000170A7"/>
    <w:rsid w:val="000202D5"/>
    <w:rsid w:val="000226B4"/>
    <w:rsid w:val="000227D6"/>
    <w:rsid w:val="00023C0E"/>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0218"/>
    <w:rsid w:val="00092692"/>
    <w:rsid w:val="000939D7"/>
    <w:rsid w:val="00095022"/>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19D"/>
    <w:rsid w:val="00164A53"/>
    <w:rsid w:val="00165271"/>
    <w:rsid w:val="001667AD"/>
    <w:rsid w:val="001708FD"/>
    <w:rsid w:val="0017128E"/>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972C9"/>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3A76"/>
    <w:rsid w:val="001F4B67"/>
    <w:rsid w:val="001F558D"/>
    <w:rsid w:val="001F592D"/>
    <w:rsid w:val="001F6947"/>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1EF"/>
    <w:rsid w:val="0023177B"/>
    <w:rsid w:val="002328B0"/>
    <w:rsid w:val="002360B6"/>
    <w:rsid w:val="00236764"/>
    <w:rsid w:val="00236ED8"/>
    <w:rsid w:val="00237DB1"/>
    <w:rsid w:val="00237F85"/>
    <w:rsid w:val="0024376A"/>
    <w:rsid w:val="00246EB5"/>
    <w:rsid w:val="002476D0"/>
    <w:rsid w:val="00247AE8"/>
    <w:rsid w:val="002504A3"/>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0CEA"/>
    <w:rsid w:val="002B2E3E"/>
    <w:rsid w:val="002B3587"/>
    <w:rsid w:val="002B39D3"/>
    <w:rsid w:val="002B5D92"/>
    <w:rsid w:val="002C09EE"/>
    <w:rsid w:val="002C129A"/>
    <w:rsid w:val="002C17E1"/>
    <w:rsid w:val="002C3012"/>
    <w:rsid w:val="002D0F0E"/>
    <w:rsid w:val="002D12C4"/>
    <w:rsid w:val="002D28A7"/>
    <w:rsid w:val="002D3F3F"/>
    <w:rsid w:val="002D5916"/>
    <w:rsid w:val="002D5FDD"/>
    <w:rsid w:val="002D6287"/>
    <w:rsid w:val="002E20AD"/>
    <w:rsid w:val="002E2C84"/>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4CAC"/>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4253"/>
    <w:rsid w:val="0045636D"/>
    <w:rsid w:val="00461818"/>
    <w:rsid w:val="004631E3"/>
    <w:rsid w:val="00463E2B"/>
    <w:rsid w:val="0046418B"/>
    <w:rsid w:val="00464789"/>
    <w:rsid w:val="0046537A"/>
    <w:rsid w:val="0046567E"/>
    <w:rsid w:val="004656BA"/>
    <w:rsid w:val="00467C12"/>
    <w:rsid w:val="00470D69"/>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352F"/>
    <w:rsid w:val="00514197"/>
    <w:rsid w:val="0052017D"/>
    <w:rsid w:val="005226D4"/>
    <w:rsid w:val="00527D26"/>
    <w:rsid w:val="0053029C"/>
    <w:rsid w:val="005350B8"/>
    <w:rsid w:val="0053652F"/>
    <w:rsid w:val="005366B1"/>
    <w:rsid w:val="0054041F"/>
    <w:rsid w:val="00540D9B"/>
    <w:rsid w:val="0054212F"/>
    <w:rsid w:val="00543B84"/>
    <w:rsid w:val="00544A7B"/>
    <w:rsid w:val="0054622D"/>
    <w:rsid w:val="005517D2"/>
    <w:rsid w:val="00554FD2"/>
    <w:rsid w:val="00556940"/>
    <w:rsid w:val="00560E61"/>
    <w:rsid w:val="00566601"/>
    <w:rsid w:val="0057268B"/>
    <w:rsid w:val="00572ACD"/>
    <w:rsid w:val="005753EB"/>
    <w:rsid w:val="00575B1D"/>
    <w:rsid w:val="00576532"/>
    <w:rsid w:val="005806EF"/>
    <w:rsid w:val="005809A8"/>
    <w:rsid w:val="00582C25"/>
    <w:rsid w:val="0058647E"/>
    <w:rsid w:val="00587473"/>
    <w:rsid w:val="00590297"/>
    <w:rsid w:val="0059033D"/>
    <w:rsid w:val="0059211A"/>
    <w:rsid w:val="00592F45"/>
    <w:rsid w:val="00593891"/>
    <w:rsid w:val="00593B63"/>
    <w:rsid w:val="00594B79"/>
    <w:rsid w:val="00595661"/>
    <w:rsid w:val="005A09CE"/>
    <w:rsid w:val="005A0ACB"/>
    <w:rsid w:val="005A3BCB"/>
    <w:rsid w:val="005A5197"/>
    <w:rsid w:val="005A6187"/>
    <w:rsid w:val="005A7BEB"/>
    <w:rsid w:val="005B0252"/>
    <w:rsid w:val="005B1ABC"/>
    <w:rsid w:val="005B2B52"/>
    <w:rsid w:val="005B383C"/>
    <w:rsid w:val="005B4E6D"/>
    <w:rsid w:val="005B58B9"/>
    <w:rsid w:val="005B6691"/>
    <w:rsid w:val="005B6F08"/>
    <w:rsid w:val="005C01D6"/>
    <w:rsid w:val="005C3C64"/>
    <w:rsid w:val="005C5EB6"/>
    <w:rsid w:val="005D01E6"/>
    <w:rsid w:val="005D0425"/>
    <w:rsid w:val="005D3063"/>
    <w:rsid w:val="005D5DDE"/>
    <w:rsid w:val="005D6A40"/>
    <w:rsid w:val="005D7F02"/>
    <w:rsid w:val="005E3428"/>
    <w:rsid w:val="005E3ED5"/>
    <w:rsid w:val="005E4884"/>
    <w:rsid w:val="005E4DD3"/>
    <w:rsid w:val="005E6930"/>
    <w:rsid w:val="005F0162"/>
    <w:rsid w:val="005F47B2"/>
    <w:rsid w:val="00602598"/>
    <w:rsid w:val="00602F41"/>
    <w:rsid w:val="006050CA"/>
    <w:rsid w:val="006051F8"/>
    <w:rsid w:val="00605D5C"/>
    <w:rsid w:val="0060784C"/>
    <w:rsid w:val="0061067B"/>
    <w:rsid w:val="006134A1"/>
    <w:rsid w:val="0061366B"/>
    <w:rsid w:val="006139B3"/>
    <w:rsid w:val="006157FC"/>
    <w:rsid w:val="00625B5A"/>
    <w:rsid w:val="00627A36"/>
    <w:rsid w:val="00630FE7"/>
    <w:rsid w:val="00631533"/>
    <w:rsid w:val="00633674"/>
    <w:rsid w:val="00635687"/>
    <w:rsid w:val="00640DF0"/>
    <w:rsid w:val="0064214C"/>
    <w:rsid w:val="00643311"/>
    <w:rsid w:val="00647000"/>
    <w:rsid w:val="00647D9E"/>
    <w:rsid w:val="006537EC"/>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A66D4"/>
    <w:rsid w:val="006B0E04"/>
    <w:rsid w:val="006B10E7"/>
    <w:rsid w:val="006B1665"/>
    <w:rsid w:val="006B1876"/>
    <w:rsid w:val="006B2BED"/>
    <w:rsid w:val="006B46F3"/>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406B"/>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73F3D"/>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53B6"/>
    <w:rsid w:val="007D78C1"/>
    <w:rsid w:val="007E730D"/>
    <w:rsid w:val="007E7852"/>
    <w:rsid w:val="007F1D2C"/>
    <w:rsid w:val="007F5A04"/>
    <w:rsid w:val="007F6852"/>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1661"/>
    <w:rsid w:val="00862D1B"/>
    <w:rsid w:val="00863576"/>
    <w:rsid w:val="0086387F"/>
    <w:rsid w:val="008646B9"/>
    <w:rsid w:val="00867129"/>
    <w:rsid w:val="008677D2"/>
    <w:rsid w:val="00870B5C"/>
    <w:rsid w:val="00870BE4"/>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4E4D"/>
    <w:rsid w:val="009355ED"/>
    <w:rsid w:val="00937583"/>
    <w:rsid w:val="0094132E"/>
    <w:rsid w:val="0094294A"/>
    <w:rsid w:val="00944E79"/>
    <w:rsid w:val="00945C92"/>
    <w:rsid w:val="009477E9"/>
    <w:rsid w:val="00952C0B"/>
    <w:rsid w:val="00960699"/>
    <w:rsid w:val="00960CDA"/>
    <w:rsid w:val="00963ED0"/>
    <w:rsid w:val="00966F81"/>
    <w:rsid w:val="009678A0"/>
    <w:rsid w:val="00967A17"/>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721C"/>
    <w:rsid w:val="00A02203"/>
    <w:rsid w:val="00A041E2"/>
    <w:rsid w:val="00A04A39"/>
    <w:rsid w:val="00A05D95"/>
    <w:rsid w:val="00A06008"/>
    <w:rsid w:val="00A071D2"/>
    <w:rsid w:val="00A072EF"/>
    <w:rsid w:val="00A075BC"/>
    <w:rsid w:val="00A1097F"/>
    <w:rsid w:val="00A11AD2"/>
    <w:rsid w:val="00A130A8"/>
    <w:rsid w:val="00A16EB4"/>
    <w:rsid w:val="00A17C12"/>
    <w:rsid w:val="00A21A2E"/>
    <w:rsid w:val="00A22211"/>
    <w:rsid w:val="00A223F9"/>
    <w:rsid w:val="00A2277A"/>
    <w:rsid w:val="00A22C64"/>
    <w:rsid w:val="00A24372"/>
    <w:rsid w:val="00A2600B"/>
    <w:rsid w:val="00A27485"/>
    <w:rsid w:val="00A27A77"/>
    <w:rsid w:val="00A27E90"/>
    <w:rsid w:val="00A30697"/>
    <w:rsid w:val="00A3448F"/>
    <w:rsid w:val="00A401F0"/>
    <w:rsid w:val="00A4047C"/>
    <w:rsid w:val="00A41113"/>
    <w:rsid w:val="00A43007"/>
    <w:rsid w:val="00A44D01"/>
    <w:rsid w:val="00A45001"/>
    <w:rsid w:val="00A460E2"/>
    <w:rsid w:val="00A46E23"/>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089"/>
    <w:rsid w:val="00AD7A83"/>
    <w:rsid w:val="00AE2E6F"/>
    <w:rsid w:val="00AE300B"/>
    <w:rsid w:val="00AF1775"/>
    <w:rsid w:val="00AF4418"/>
    <w:rsid w:val="00AF545D"/>
    <w:rsid w:val="00B011FB"/>
    <w:rsid w:val="00B03F4F"/>
    <w:rsid w:val="00B06207"/>
    <w:rsid w:val="00B063FA"/>
    <w:rsid w:val="00B12A88"/>
    <w:rsid w:val="00B12F2F"/>
    <w:rsid w:val="00B1447C"/>
    <w:rsid w:val="00B16457"/>
    <w:rsid w:val="00B17991"/>
    <w:rsid w:val="00B20B4D"/>
    <w:rsid w:val="00B21B4F"/>
    <w:rsid w:val="00B21BCE"/>
    <w:rsid w:val="00B225C0"/>
    <w:rsid w:val="00B2467D"/>
    <w:rsid w:val="00B26561"/>
    <w:rsid w:val="00B27537"/>
    <w:rsid w:val="00B2766D"/>
    <w:rsid w:val="00B27FAE"/>
    <w:rsid w:val="00B30B2A"/>
    <w:rsid w:val="00B34DCF"/>
    <w:rsid w:val="00B355FE"/>
    <w:rsid w:val="00B35C83"/>
    <w:rsid w:val="00B372FA"/>
    <w:rsid w:val="00B41147"/>
    <w:rsid w:val="00B43B9C"/>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3D97"/>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B7853"/>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3AF7"/>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07E"/>
    <w:rsid w:val="00DF4788"/>
    <w:rsid w:val="00DF4F8F"/>
    <w:rsid w:val="00DF6151"/>
    <w:rsid w:val="00DF720E"/>
    <w:rsid w:val="00DF7E27"/>
    <w:rsid w:val="00E00E06"/>
    <w:rsid w:val="00E01A4F"/>
    <w:rsid w:val="00E01BE2"/>
    <w:rsid w:val="00E02307"/>
    <w:rsid w:val="00E02776"/>
    <w:rsid w:val="00E035BA"/>
    <w:rsid w:val="00E03946"/>
    <w:rsid w:val="00E04EA6"/>
    <w:rsid w:val="00E0664E"/>
    <w:rsid w:val="00E07442"/>
    <w:rsid w:val="00E11D09"/>
    <w:rsid w:val="00E11D2A"/>
    <w:rsid w:val="00E1309B"/>
    <w:rsid w:val="00E15946"/>
    <w:rsid w:val="00E174B6"/>
    <w:rsid w:val="00E17EB8"/>
    <w:rsid w:val="00E200FA"/>
    <w:rsid w:val="00E20C98"/>
    <w:rsid w:val="00E21B7A"/>
    <w:rsid w:val="00E229E0"/>
    <w:rsid w:val="00E22C6E"/>
    <w:rsid w:val="00E237B2"/>
    <w:rsid w:val="00E23B05"/>
    <w:rsid w:val="00E24F03"/>
    <w:rsid w:val="00E25814"/>
    <w:rsid w:val="00E26758"/>
    <w:rsid w:val="00E26B65"/>
    <w:rsid w:val="00E30CE6"/>
    <w:rsid w:val="00E32A27"/>
    <w:rsid w:val="00E330A0"/>
    <w:rsid w:val="00E34AE5"/>
    <w:rsid w:val="00E41BF7"/>
    <w:rsid w:val="00E46B92"/>
    <w:rsid w:val="00E46F0A"/>
    <w:rsid w:val="00E47088"/>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67E0"/>
    <w:rsid w:val="00EE7306"/>
    <w:rsid w:val="00EF10CF"/>
    <w:rsid w:val="00EF1179"/>
    <w:rsid w:val="00EF129F"/>
    <w:rsid w:val="00EF1490"/>
    <w:rsid w:val="00EF3E00"/>
    <w:rsid w:val="00EF4EE9"/>
    <w:rsid w:val="00EF6D9F"/>
    <w:rsid w:val="00F0173C"/>
    <w:rsid w:val="00F01C02"/>
    <w:rsid w:val="00F05E99"/>
    <w:rsid w:val="00F107E2"/>
    <w:rsid w:val="00F10E15"/>
    <w:rsid w:val="00F12921"/>
    <w:rsid w:val="00F12AA3"/>
    <w:rsid w:val="00F12DF2"/>
    <w:rsid w:val="00F131F8"/>
    <w:rsid w:val="00F139F2"/>
    <w:rsid w:val="00F14210"/>
    <w:rsid w:val="00F2204B"/>
    <w:rsid w:val="00F23C89"/>
    <w:rsid w:val="00F26FC2"/>
    <w:rsid w:val="00F302D7"/>
    <w:rsid w:val="00F35520"/>
    <w:rsid w:val="00F35987"/>
    <w:rsid w:val="00F375A4"/>
    <w:rsid w:val="00F40045"/>
    <w:rsid w:val="00F41C4A"/>
    <w:rsid w:val="00F43264"/>
    <w:rsid w:val="00F435F1"/>
    <w:rsid w:val="00F43A9C"/>
    <w:rsid w:val="00F4571B"/>
    <w:rsid w:val="00F46F00"/>
    <w:rsid w:val="00F47263"/>
    <w:rsid w:val="00F60E1F"/>
    <w:rsid w:val="00F63906"/>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593B63"/>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5Char">
    <w:name w:val="Heading 5 Char"/>
    <w:basedOn w:val="DefaultParagraphFont"/>
    <w:link w:val="Heading5"/>
    <w:uiPriority w:val="9"/>
    <w:semiHidden/>
    <w:rsid w:val="00593B63"/>
    <w:rPr>
      <w:rFonts w:asciiTheme="majorHAnsi" w:eastAsiaTheme="majorEastAsia" w:hAnsiTheme="majorHAnsi" w:cstheme="majorBidi"/>
      <w:color w:val="2F5496" w:themeColor="accent1" w:themeShade="BF"/>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49750162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8893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2025-02-07T01:28:00Z</dcterms:modified>
</cp:coreProperties>
</file>