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5E4F25DC" w:rsidR="00DB6729" w:rsidRPr="00B03586" w:rsidRDefault="00DB6729" w:rsidP="00DB6729">
      <w:pPr>
        <w:widowControl w:val="0"/>
        <w:tabs>
          <w:tab w:val="right" w:pos="9639"/>
        </w:tabs>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MeetingName  \* MERGEFORMAT </w:instrText>
      </w:r>
      <w:r w:rsidRPr="00B03586">
        <w:rPr>
          <w:rFonts w:ascii="Arial" w:hAnsi="Arial"/>
          <w:b/>
          <w:sz w:val="24"/>
          <w:szCs w:val="24"/>
        </w:rPr>
        <w:fldChar w:fldCharType="separate"/>
      </w:r>
      <w:r w:rsidR="0039394E" w:rsidRPr="0039394E">
        <w:rPr>
          <w:rFonts w:ascii="Arial" w:hAnsi="Arial"/>
          <w:b/>
          <w:sz w:val="24"/>
          <w:szCs w:val="24"/>
          <w:lang w:val="en-US"/>
        </w:rPr>
        <w:t>3GPP TSG RAN WG1 #120</w:t>
      </w:r>
      <w:r w:rsidRPr="00B03586">
        <w:rPr>
          <w:rFonts w:ascii="Arial" w:hAnsi="Arial"/>
          <w:b/>
          <w:sz w:val="24"/>
          <w:szCs w:val="24"/>
        </w:rPr>
        <w:fldChar w:fldCharType="end"/>
      </w:r>
      <w:r w:rsidRPr="00B03586">
        <w:rPr>
          <w:rFonts w:ascii="Arial" w:hAnsi="Arial"/>
          <w:b/>
          <w:sz w:val="18"/>
        </w:rPr>
        <w:tab/>
      </w:r>
      <w:r w:rsidRPr="00B03586">
        <w:rPr>
          <w:rFonts w:ascii="Arial" w:hAnsi="Arial"/>
          <w:b/>
          <w:sz w:val="24"/>
          <w:szCs w:val="24"/>
        </w:rPr>
        <w:fldChar w:fldCharType="begin"/>
      </w:r>
      <w:r w:rsidRPr="00B03586">
        <w:rPr>
          <w:rFonts w:ascii="Arial" w:hAnsi="Arial"/>
          <w:b/>
          <w:sz w:val="24"/>
          <w:szCs w:val="24"/>
        </w:rPr>
        <w:instrText xml:space="preserve"> DOCPROPERTY  TdocId  \* MERGEFORMAT </w:instrText>
      </w:r>
      <w:r w:rsidRPr="00B03586">
        <w:rPr>
          <w:rFonts w:ascii="Arial" w:hAnsi="Arial"/>
          <w:b/>
          <w:sz w:val="24"/>
          <w:szCs w:val="24"/>
        </w:rPr>
        <w:fldChar w:fldCharType="separate"/>
      </w:r>
      <w:r w:rsidR="0039394E" w:rsidRPr="0039394E">
        <w:rPr>
          <w:rFonts w:ascii="Arial" w:hAnsi="Arial"/>
          <w:b/>
          <w:sz w:val="24"/>
          <w:szCs w:val="24"/>
          <w:lang w:val="en-US"/>
        </w:rPr>
        <w:t>R1-2500396</w:t>
      </w:r>
      <w:r w:rsidRPr="00B03586">
        <w:rPr>
          <w:rFonts w:ascii="Arial" w:hAnsi="Arial"/>
          <w:b/>
          <w:sz w:val="24"/>
          <w:szCs w:val="24"/>
        </w:rPr>
        <w:fldChar w:fldCharType="end"/>
      </w:r>
    </w:p>
    <w:p w14:paraId="336F22A5" w14:textId="5F6C2BF0" w:rsidR="00DB6729" w:rsidRPr="00B03586" w:rsidRDefault="00DB6729" w:rsidP="00DB6729">
      <w:pPr>
        <w:widowControl w:val="0"/>
        <w:spacing w:after="0"/>
        <w:rPr>
          <w:rFonts w:ascii="Arial" w:hAnsi="Arial"/>
          <w:b/>
          <w:sz w:val="24"/>
          <w:szCs w:val="24"/>
        </w:rPr>
      </w:pPr>
      <w:r w:rsidRPr="00B03586">
        <w:rPr>
          <w:rFonts w:ascii="Arial" w:hAnsi="Arial"/>
          <w:b/>
          <w:sz w:val="24"/>
          <w:szCs w:val="24"/>
        </w:rPr>
        <w:fldChar w:fldCharType="begin"/>
      </w:r>
      <w:r w:rsidRPr="00B03586">
        <w:rPr>
          <w:rFonts w:ascii="Arial" w:hAnsi="Arial"/>
          <w:b/>
          <w:sz w:val="24"/>
          <w:szCs w:val="24"/>
        </w:rPr>
        <w:instrText xml:space="preserve"> DOCPROPERTY  MeetingPlaceDates  \* MERGEFORMAT </w:instrText>
      </w:r>
      <w:r w:rsidRPr="00B03586">
        <w:rPr>
          <w:rFonts w:ascii="Arial" w:hAnsi="Arial"/>
          <w:b/>
          <w:sz w:val="24"/>
          <w:szCs w:val="24"/>
        </w:rPr>
        <w:fldChar w:fldCharType="separate"/>
      </w:r>
      <w:r w:rsidR="0039394E" w:rsidRPr="0039394E">
        <w:rPr>
          <w:rFonts w:ascii="Arial" w:hAnsi="Arial"/>
          <w:b/>
          <w:sz w:val="24"/>
          <w:szCs w:val="24"/>
          <w:lang w:val="en-US"/>
        </w:rPr>
        <w:t>Athens, Greece, February 17th -</w:t>
      </w:r>
      <w:r w:rsidR="0039394E">
        <w:rPr>
          <w:rFonts w:ascii="Arial" w:hAnsi="Arial"/>
          <w:b/>
          <w:sz w:val="24"/>
          <w:szCs w:val="24"/>
        </w:rPr>
        <w:t xml:space="preserve"> 21st, 2025</w:t>
      </w:r>
      <w:r w:rsidRPr="00B03586">
        <w:rPr>
          <w:rFonts w:ascii="Arial" w:hAnsi="Arial"/>
          <w:b/>
          <w:sz w:val="24"/>
          <w:szCs w:val="24"/>
        </w:rPr>
        <w:fldChar w:fldCharType="end"/>
      </w:r>
    </w:p>
    <w:bookmarkEnd w:id="0"/>
    <w:p w14:paraId="4990F31A" w14:textId="77777777" w:rsidR="00DB6729" w:rsidRPr="00B03586" w:rsidRDefault="00DB6729" w:rsidP="00DB6729">
      <w:pPr>
        <w:widowControl w:val="0"/>
        <w:spacing w:after="0"/>
        <w:rPr>
          <w:rFonts w:ascii="Arial" w:hAnsi="Arial"/>
          <w:b/>
          <w:sz w:val="24"/>
          <w:lang w:eastAsia="ja-JP"/>
        </w:rPr>
      </w:pPr>
    </w:p>
    <w:p w14:paraId="58CAFA25" w14:textId="6E599AA2" w:rsidR="00DB6729" w:rsidRPr="00B03586" w:rsidRDefault="00DB6729" w:rsidP="00DB6729">
      <w:pPr>
        <w:tabs>
          <w:tab w:val="left" w:pos="1985"/>
        </w:tabs>
        <w:spacing w:after="120"/>
        <w:ind w:left="1985" w:hanging="1985"/>
        <w:rPr>
          <w:rFonts w:ascii="Arial" w:hAnsi="Arial" w:cs="Arial"/>
          <w:b/>
          <w:sz w:val="24"/>
          <w:szCs w:val="24"/>
        </w:rPr>
      </w:pPr>
      <w:r w:rsidRPr="00B03586">
        <w:rPr>
          <w:rFonts w:ascii="Arial" w:hAnsi="Arial" w:cs="Arial"/>
          <w:b/>
          <w:sz w:val="24"/>
          <w:szCs w:val="24"/>
        </w:rPr>
        <w:t>Source:</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TdocSource  \* MERGEFORMAT </w:instrText>
      </w:r>
      <w:r w:rsidRPr="00B03586">
        <w:rPr>
          <w:rFonts w:ascii="Arial" w:hAnsi="Arial" w:cs="Arial"/>
          <w:b/>
          <w:sz w:val="24"/>
          <w:szCs w:val="24"/>
        </w:rPr>
        <w:fldChar w:fldCharType="separate"/>
      </w:r>
      <w:r w:rsidR="0039394E" w:rsidRPr="0039394E">
        <w:rPr>
          <w:rFonts w:ascii="Arial" w:hAnsi="Arial" w:cs="Arial"/>
          <w:b/>
          <w:sz w:val="24"/>
          <w:szCs w:val="24"/>
          <w:lang w:val="en-US"/>
        </w:rPr>
        <w:t>Nokia</w:t>
      </w:r>
      <w:r w:rsidRPr="00B03586">
        <w:rPr>
          <w:rFonts w:ascii="Arial" w:hAnsi="Arial" w:cs="Arial"/>
          <w:b/>
          <w:sz w:val="24"/>
          <w:szCs w:val="24"/>
        </w:rPr>
        <w:fldChar w:fldCharType="end"/>
      </w:r>
    </w:p>
    <w:p w14:paraId="7DEB4524" w14:textId="2F32D6CD"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Title:</w:t>
      </w:r>
      <w:r w:rsidRPr="00B03586">
        <w:rPr>
          <w:rFonts w:ascii="Calibri" w:hAnsi="Calibri" w:cs="Arial"/>
          <w:b/>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TdocTitle  \* MERGEFORMAT </w:instrText>
      </w:r>
      <w:r w:rsidRPr="00B03586">
        <w:rPr>
          <w:rFonts w:ascii="Arial" w:hAnsi="Arial" w:cs="Arial"/>
          <w:b/>
          <w:sz w:val="24"/>
          <w:szCs w:val="24"/>
        </w:rPr>
        <w:fldChar w:fldCharType="separate"/>
      </w:r>
      <w:r w:rsidR="0039394E" w:rsidRPr="0039394E">
        <w:rPr>
          <w:rFonts w:ascii="Arial" w:hAnsi="Arial" w:cs="Arial"/>
          <w:b/>
          <w:sz w:val="24"/>
          <w:szCs w:val="24"/>
          <w:lang w:val="en-US"/>
        </w:rPr>
        <w:t>AIoT Timing</w:t>
      </w:r>
      <w:r w:rsidR="0039394E">
        <w:rPr>
          <w:rFonts w:ascii="Arial" w:hAnsi="Arial" w:cs="Arial"/>
          <w:b/>
          <w:sz w:val="24"/>
          <w:szCs w:val="24"/>
        </w:rPr>
        <w:t xml:space="preserve"> acquisition and synchronization</w:t>
      </w:r>
      <w:r w:rsidRPr="00B03586">
        <w:rPr>
          <w:rFonts w:ascii="Arial" w:hAnsi="Arial" w:cs="Arial"/>
          <w:b/>
          <w:sz w:val="24"/>
          <w:szCs w:val="24"/>
        </w:rPr>
        <w:fldChar w:fldCharType="end"/>
      </w:r>
    </w:p>
    <w:p w14:paraId="45C85EE7" w14:textId="2EDD88A3" w:rsidR="00DB6729" w:rsidRPr="00B03586" w:rsidRDefault="00DB6729" w:rsidP="00DB6729">
      <w:pPr>
        <w:spacing w:after="120"/>
        <w:ind w:left="1985" w:hanging="1985"/>
        <w:rPr>
          <w:rFonts w:ascii="Arial" w:eastAsia="MS Mincho" w:hAnsi="Arial" w:cs="Arial"/>
          <w:b/>
          <w:sz w:val="24"/>
          <w:szCs w:val="24"/>
          <w:lang w:eastAsia="ja-JP"/>
        </w:rPr>
      </w:pPr>
      <w:r w:rsidRPr="00B03586">
        <w:rPr>
          <w:rFonts w:ascii="Arial" w:eastAsia="MS Mincho" w:hAnsi="Arial" w:cs="Arial"/>
          <w:b/>
          <w:sz w:val="24"/>
          <w:szCs w:val="24"/>
        </w:rPr>
        <w:t>Agenda item:</w:t>
      </w:r>
      <w:r w:rsidRPr="00B03586">
        <w:rPr>
          <w:rFonts w:ascii="Arial" w:eastAsia="MS Mincho" w:hAnsi="Arial" w:cs="Arial"/>
          <w:b/>
          <w:sz w:val="24"/>
        </w:rPr>
        <w:tab/>
      </w:r>
      <w:r w:rsidRPr="00B03586">
        <w:rPr>
          <w:rFonts w:ascii="Arial" w:eastAsia="MS Mincho" w:hAnsi="Arial" w:cs="Arial"/>
          <w:b/>
          <w:sz w:val="24"/>
          <w:szCs w:val="24"/>
        </w:rPr>
        <w:fldChar w:fldCharType="begin"/>
      </w:r>
      <w:r w:rsidRPr="00B03586">
        <w:rPr>
          <w:rFonts w:ascii="Arial" w:eastAsia="MS Mincho" w:hAnsi="Arial" w:cs="Arial"/>
          <w:b/>
          <w:sz w:val="24"/>
          <w:szCs w:val="24"/>
        </w:rPr>
        <w:instrText xml:space="preserve"> DOCPROPERTY  TdocAgendaItem  \* MERGEFORMAT </w:instrText>
      </w:r>
      <w:r w:rsidRPr="00B03586">
        <w:rPr>
          <w:rFonts w:ascii="Arial" w:eastAsia="MS Mincho" w:hAnsi="Arial" w:cs="Arial"/>
          <w:b/>
          <w:sz w:val="24"/>
          <w:szCs w:val="24"/>
        </w:rPr>
        <w:fldChar w:fldCharType="separate"/>
      </w:r>
      <w:r w:rsidR="0039394E" w:rsidRPr="0039394E">
        <w:rPr>
          <w:rFonts w:ascii="Arial" w:eastAsia="MS Mincho" w:hAnsi="Arial" w:cs="Arial"/>
          <w:b/>
          <w:sz w:val="24"/>
          <w:szCs w:val="24"/>
          <w:lang w:val="en-US"/>
        </w:rPr>
        <w:t>9.4.3</w:t>
      </w:r>
      <w:r w:rsidRPr="00B03586">
        <w:rPr>
          <w:rFonts w:ascii="Arial" w:eastAsia="MS Mincho" w:hAnsi="Arial" w:cs="Arial"/>
          <w:b/>
          <w:sz w:val="24"/>
          <w:szCs w:val="24"/>
        </w:rPr>
        <w:fldChar w:fldCharType="end"/>
      </w:r>
    </w:p>
    <w:p w14:paraId="32EDA241" w14:textId="504ACB77" w:rsidR="00DB6729" w:rsidRPr="00B03586" w:rsidRDefault="00DB6729" w:rsidP="00DB6729">
      <w:pPr>
        <w:ind w:left="1985" w:hanging="1985"/>
        <w:rPr>
          <w:rFonts w:ascii="Arial" w:hAnsi="Arial" w:cs="Arial"/>
          <w:b/>
          <w:sz w:val="24"/>
          <w:szCs w:val="24"/>
        </w:rPr>
      </w:pPr>
      <w:r w:rsidRPr="00B03586">
        <w:rPr>
          <w:rFonts w:ascii="Arial" w:hAnsi="Arial" w:cs="Arial"/>
          <w:b/>
          <w:sz w:val="24"/>
          <w:szCs w:val="24"/>
        </w:rPr>
        <w:t>Document for:</w:t>
      </w:r>
      <w:r w:rsidRPr="00B03586">
        <w:rPr>
          <w:rFonts w:ascii="Arial" w:hAnsi="Arial" w:cs="Arial"/>
          <w:b/>
          <w:sz w:val="24"/>
        </w:rPr>
        <w:tab/>
      </w:r>
      <w:r w:rsidRPr="00B03586">
        <w:rPr>
          <w:rFonts w:ascii="Arial" w:hAnsi="Arial" w:cs="Arial"/>
          <w:b/>
          <w:sz w:val="24"/>
          <w:szCs w:val="24"/>
        </w:rPr>
        <w:fldChar w:fldCharType="begin"/>
      </w:r>
      <w:r w:rsidRPr="00B03586">
        <w:rPr>
          <w:rFonts w:ascii="Arial" w:hAnsi="Arial" w:cs="Arial"/>
          <w:b/>
          <w:sz w:val="24"/>
          <w:szCs w:val="24"/>
        </w:rPr>
        <w:instrText xml:space="preserve"> DOCPROPERTY  TdocFor  \* MERGEFORMAT </w:instrText>
      </w:r>
      <w:r w:rsidRPr="00B03586">
        <w:rPr>
          <w:rFonts w:ascii="Arial" w:hAnsi="Arial" w:cs="Arial"/>
          <w:b/>
          <w:sz w:val="24"/>
          <w:szCs w:val="24"/>
        </w:rPr>
        <w:fldChar w:fldCharType="separate"/>
      </w:r>
      <w:r w:rsidR="0039394E" w:rsidRPr="0039394E">
        <w:rPr>
          <w:rFonts w:ascii="Arial" w:hAnsi="Arial" w:cs="Arial"/>
          <w:b/>
          <w:sz w:val="24"/>
          <w:szCs w:val="24"/>
          <w:lang w:val="en-US"/>
        </w:rPr>
        <w:t>Discussion and Decision</w:t>
      </w:r>
      <w:r w:rsidRPr="00B03586">
        <w:rPr>
          <w:rFonts w:ascii="Arial" w:hAnsi="Arial" w:cs="Arial"/>
          <w:b/>
          <w:sz w:val="24"/>
          <w:szCs w:val="24"/>
        </w:rPr>
        <w:fldChar w:fldCharType="end"/>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650C334" w14:textId="77777777" w:rsidR="000941CE" w:rsidRDefault="000941CE" w:rsidP="00CE553D">
      <w:pPr>
        <w:rPr>
          <w:lang w:val="en-US"/>
        </w:rPr>
      </w:pPr>
      <w:bookmarkStart w:id="1" w:name="_Hlk510705081"/>
    </w:p>
    <w:p w14:paraId="2405D693" w14:textId="3CEF6161" w:rsidR="00146940" w:rsidRPr="00146940" w:rsidRDefault="00146940" w:rsidP="00146940">
      <w:pPr>
        <w:rPr>
          <w:lang w:val="en-US"/>
        </w:rPr>
      </w:pPr>
      <w:r w:rsidRPr="00146940">
        <w:rPr>
          <w:lang w:val="en-US"/>
        </w:rPr>
        <w:t>At RAN#10</w:t>
      </w:r>
      <w:r>
        <w:rPr>
          <w:lang w:val="en-US"/>
        </w:rPr>
        <w:t>6</w:t>
      </w:r>
      <w:r w:rsidRPr="00146940">
        <w:rPr>
          <w:lang w:val="en-US"/>
        </w:rPr>
        <w:t xml:space="preserve">, a new </w:t>
      </w:r>
      <w:r>
        <w:rPr>
          <w:lang w:val="en-US"/>
        </w:rPr>
        <w:t>work</w:t>
      </w:r>
      <w:r w:rsidRPr="00146940">
        <w:rPr>
          <w:lang w:val="en-US"/>
        </w:rPr>
        <w:t xml:space="preserve"> item “Solutions for Ambient IoT (Internet of Things) in NR” (Ambient_IoT_</w:t>
      </w:r>
      <w:r>
        <w:rPr>
          <w:lang w:val="en-US"/>
        </w:rPr>
        <w:t>S</w:t>
      </w:r>
      <w:r w:rsidRPr="00146940">
        <w:rPr>
          <w:lang w:val="en-US"/>
        </w:rPr>
        <w:t>olutions) was approved</w:t>
      </w:r>
      <w:r w:rsidR="00F94C30">
        <w:rPr>
          <w:lang w:val="en-US"/>
        </w:rPr>
        <w:t xml:space="preserve"> </w:t>
      </w:r>
      <w:r w:rsidR="00F94C30">
        <w:rPr>
          <w:lang w:val="en-US"/>
        </w:rPr>
        <w:fldChar w:fldCharType="begin"/>
      </w:r>
      <w:r w:rsidR="00F94C30">
        <w:rPr>
          <w:lang w:val="en-US"/>
        </w:rPr>
        <w:instrText xml:space="preserve"> REF _Ref189129408 \r \h </w:instrText>
      </w:r>
      <w:r w:rsidR="00F94C30">
        <w:rPr>
          <w:lang w:val="en-US"/>
        </w:rPr>
      </w:r>
      <w:r w:rsidR="00F94C30">
        <w:rPr>
          <w:lang w:val="en-US"/>
        </w:rPr>
        <w:fldChar w:fldCharType="separate"/>
      </w:r>
      <w:r w:rsidR="0039394E">
        <w:rPr>
          <w:lang w:val="en-US"/>
        </w:rPr>
        <w:t>[1]</w:t>
      </w:r>
      <w:r w:rsidR="00F94C30">
        <w:rPr>
          <w:lang w:val="en-US"/>
        </w:rPr>
        <w:fldChar w:fldCharType="end"/>
      </w:r>
      <w:r w:rsidRPr="00146940">
        <w:rPr>
          <w:lang w:val="en-US"/>
        </w:rPr>
        <w:t>.</w:t>
      </w:r>
    </w:p>
    <w:p w14:paraId="28CA1707" w14:textId="743591E1" w:rsidR="000941CE" w:rsidRDefault="00146940" w:rsidP="00146940">
      <w:pPr>
        <w:rPr>
          <w:lang w:val="en-US"/>
        </w:rPr>
      </w:pPr>
      <w:r w:rsidRPr="00146940">
        <w:rPr>
          <w:lang w:val="en-US"/>
        </w:rPr>
        <w:t xml:space="preserve">The following objective(s) is/are relevant for the </w:t>
      </w:r>
      <w:r w:rsidR="0016411A">
        <w:rPr>
          <w:lang w:val="en-US"/>
        </w:rPr>
        <w:t>AIoT while considering the topic specific to each agenda item</w:t>
      </w:r>
      <w:r w:rsidRPr="00146940">
        <w:rPr>
          <w:lang w:val="en-US"/>
        </w:rPr>
        <w:t>:</w:t>
      </w:r>
    </w:p>
    <w:tbl>
      <w:tblPr>
        <w:tblStyle w:val="TableGrid"/>
        <w:tblW w:w="0" w:type="auto"/>
        <w:tblLook w:val="04A0" w:firstRow="1" w:lastRow="0" w:firstColumn="1" w:lastColumn="0" w:noHBand="0" w:noVBand="1"/>
      </w:tblPr>
      <w:tblGrid>
        <w:gridCol w:w="9962"/>
      </w:tblGrid>
      <w:tr w:rsidR="00146940" w14:paraId="1967CB47" w14:textId="77777777" w:rsidTr="00146940">
        <w:tc>
          <w:tcPr>
            <w:tcW w:w="9962" w:type="dxa"/>
          </w:tcPr>
          <w:p w14:paraId="198A4CEE" w14:textId="77777777" w:rsidR="00A47A3D" w:rsidRPr="00A47A3D" w:rsidRDefault="00A47A3D" w:rsidP="00A47A3D">
            <w:pPr>
              <w:rPr>
                <w:u w:val="single"/>
                <w:lang w:val="en-US"/>
              </w:rPr>
            </w:pPr>
            <w:bookmarkStart w:id="2" w:name="_Hlk180502956"/>
            <w:r w:rsidRPr="00226328">
              <w:rPr>
                <w:highlight w:val="green"/>
                <w:u w:val="single"/>
                <w:lang w:val="en-US"/>
              </w:rPr>
              <w:t>General Scope</w:t>
            </w:r>
          </w:p>
          <w:p w14:paraId="69B5FB6F" w14:textId="77777777" w:rsidR="00A47A3D" w:rsidRPr="00A47A3D" w:rsidRDefault="00A47A3D" w:rsidP="00A47A3D">
            <w:pPr>
              <w:rPr>
                <w:lang w:val="en-US"/>
              </w:rPr>
            </w:pPr>
            <w:r w:rsidRPr="00A47A3D">
              <w:rPr>
                <w:lang w:val="en-US"/>
              </w:rPr>
              <w:t>The definitions provided in TR 38.848, TR 38.769, and decisions, etc. made during the Rel-19 SI in RAN WGs are taken into this WI, and the following is the exclusive general scope:</w:t>
            </w:r>
          </w:p>
          <w:p w14:paraId="057BBB47" w14:textId="77777777" w:rsidR="00A47A3D" w:rsidRPr="00A47A3D" w:rsidRDefault="00A47A3D" w:rsidP="00A47A3D">
            <w:pPr>
              <w:numPr>
                <w:ilvl w:val="0"/>
                <w:numId w:val="45"/>
              </w:numPr>
              <w:rPr>
                <w:lang w:val="en-US"/>
              </w:rPr>
            </w:pPr>
            <w:r w:rsidRPr="00A47A3D">
              <w:rPr>
                <w:lang w:val="en-US"/>
              </w:rPr>
              <w:t>The overall objective shall be to standardize the following Ambient IoT device:</w:t>
            </w:r>
          </w:p>
          <w:p w14:paraId="76CC401F" w14:textId="77777777" w:rsidR="00A47A3D" w:rsidRPr="00A47A3D" w:rsidRDefault="00A47A3D" w:rsidP="00A47A3D">
            <w:pPr>
              <w:rPr>
                <w:lang w:val="en-US"/>
              </w:rPr>
            </w:pPr>
            <w:r w:rsidRPr="00A47A3D">
              <w:rPr>
                <w:lang w:val="en-US"/>
              </w:rPr>
              <w:t xml:space="preserve">Device 1: ~1 </w:t>
            </w:r>
            <w:r w:rsidRPr="00A47A3D">
              <w:rPr>
                <w:i/>
                <w:iCs/>
                <w:lang w:val="en-US"/>
              </w:rPr>
              <w:t>µ</w:t>
            </w:r>
            <w:r w:rsidRPr="00A47A3D">
              <w:rPr>
                <w:lang w:val="en-US"/>
              </w:rPr>
              <w:t>W peak power consumption, has energy storage, RF envelope detector receiver, initial sampling frequency offset (SFO) up to 10</w:t>
            </w:r>
            <w:r w:rsidRPr="00A47A3D">
              <w:rPr>
                <w:i/>
                <w:iCs/>
                <w:vertAlign w:val="superscript"/>
                <w:lang w:val="en-US"/>
              </w:rPr>
              <w:t>X</w:t>
            </w:r>
            <w:r w:rsidRPr="00A47A3D">
              <w:rPr>
                <w:lang w:val="en-US"/>
              </w:rPr>
              <w:t xml:space="preserve"> ppm, neither R2D nor D2R amplification in the device. The device’s D2R transmission is backscattered on a carrier wave provided externally.</w:t>
            </w:r>
          </w:p>
          <w:p w14:paraId="14C4E159" w14:textId="77777777" w:rsidR="00A47A3D" w:rsidRPr="00A47A3D" w:rsidRDefault="00A47A3D" w:rsidP="00A47A3D">
            <w:pPr>
              <w:numPr>
                <w:ilvl w:val="0"/>
                <w:numId w:val="45"/>
              </w:numPr>
            </w:pPr>
            <w:bookmarkStart w:id="3" w:name="_Hlk160560296"/>
            <w:r w:rsidRPr="00A47A3D">
              <w:t xml:space="preserve">Deployment scenario 1 with Topology 1, according to D1T1-B. </w:t>
            </w:r>
          </w:p>
          <w:bookmarkEnd w:id="3"/>
          <w:p w14:paraId="6005BF03" w14:textId="77777777" w:rsidR="00A47A3D" w:rsidRPr="00A47A3D" w:rsidRDefault="00A47A3D" w:rsidP="00A47A3D">
            <w:pPr>
              <w:numPr>
                <w:ilvl w:val="0"/>
                <w:numId w:val="45"/>
              </w:numPr>
              <w:rPr>
                <w:lang w:val="en-US"/>
              </w:rPr>
            </w:pPr>
            <w:r w:rsidRPr="00A47A3D">
              <w:rPr>
                <w:lang w:val="en-US"/>
              </w:rPr>
              <w:t xml:space="preserve">FR1 licensed spectrum in FDD, with R2D in DL spectrum and D2R </w:t>
            </w:r>
            <w:r w:rsidRPr="00A47A3D">
              <w:t>and CW</w:t>
            </w:r>
            <w:r w:rsidRPr="00A47A3D">
              <w:rPr>
                <w:lang w:val="en-US"/>
              </w:rPr>
              <w:t xml:space="preserve"> in UL spectrum.</w:t>
            </w:r>
          </w:p>
          <w:p w14:paraId="577DD252" w14:textId="77777777" w:rsidR="00A47A3D" w:rsidRPr="00A47A3D" w:rsidRDefault="00A47A3D" w:rsidP="00A47A3D">
            <w:pPr>
              <w:numPr>
                <w:ilvl w:val="0"/>
                <w:numId w:val="45"/>
              </w:numPr>
              <w:rPr>
                <w:lang w:val="en-US"/>
              </w:rPr>
            </w:pPr>
            <w:r w:rsidRPr="00A47A3D">
              <w:rPr>
                <w:lang w:val="en-US"/>
              </w:rPr>
              <w:t>Spectrum deployment in-band to NR and standalone, with A-IoT BS located indoor.</w:t>
            </w:r>
          </w:p>
          <w:p w14:paraId="10FA73C7" w14:textId="77777777" w:rsidR="00A47A3D" w:rsidRPr="00A47A3D" w:rsidRDefault="00A47A3D" w:rsidP="00A47A3D">
            <w:pPr>
              <w:numPr>
                <w:ilvl w:val="0"/>
                <w:numId w:val="45"/>
              </w:numPr>
              <w:rPr>
                <w:lang w:val="en-US"/>
              </w:rPr>
            </w:pPr>
            <w:r w:rsidRPr="00A47A3D">
              <w:rPr>
                <w:lang w:val="en-US"/>
              </w:rPr>
              <w:t>Traffic types DO-DTT, DT, for rUC1 (indoor inventory) and rUC4 (indoor command).</w:t>
            </w:r>
            <w:r w:rsidRPr="00A47A3D">
              <w:t xml:space="preserve"> </w:t>
            </w:r>
          </w:p>
          <w:p w14:paraId="7338408D" w14:textId="77777777" w:rsidR="00A47A3D" w:rsidRPr="00A47A3D" w:rsidRDefault="00A47A3D" w:rsidP="00A47A3D">
            <w:pPr>
              <w:numPr>
                <w:ilvl w:val="0"/>
                <w:numId w:val="45"/>
              </w:numPr>
            </w:pPr>
            <w:r w:rsidRPr="00A47A3D">
              <w:rPr>
                <w:lang w:val="en-US"/>
              </w:rPr>
              <w:t>Carrier wave transmission for waveform 1 only, without hopping, per the following cases in TR 38.769:</w:t>
            </w:r>
          </w:p>
          <w:p w14:paraId="50116851" w14:textId="77777777" w:rsidR="00A47A3D" w:rsidRPr="00A47A3D" w:rsidRDefault="00A47A3D" w:rsidP="00A47A3D">
            <w:pPr>
              <w:numPr>
                <w:ilvl w:val="1"/>
                <w:numId w:val="44"/>
              </w:numPr>
            </w:pPr>
            <w:r w:rsidRPr="00A47A3D">
              <w:t>Case 1-4 for D1T1-B</w:t>
            </w:r>
          </w:p>
          <w:p w14:paraId="46DBD872" w14:textId="77777777" w:rsidR="00A47A3D" w:rsidRPr="00A47A3D" w:rsidRDefault="00A47A3D" w:rsidP="00A47A3D">
            <w:pPr>
              <w:numPr>
                <w:ilvl w:val="0"/>
                <w:numId w:val="45"/>
              </w:numPr>
            </w:pPr>
            <w:r w:rsidRPr="00A47A3D">
              <w:rPr>
                <w:lang w:val="en-US"/>
              </w:rPr>
              <w:t>Proximity determination via Solution 1 in TR 38.769 only.</w:t>
            </w:r>
          </w:p>
          <w:p w14:paraId="7B0B7244" w14:textId="77777777" w:rsidR="00A47A3D" w:rsidRPr="00A47A3D" w:rsidRDefault="00A47A3D" w:rsidP="00A47A3D">
            <w:pPr>
              <w:numPr>
                <w:ilvl w:val="0"/>
                <w:numId w:val="45"/>
              </w:numPr>
            </w:pPr>
            <w:r w:rsidRPr="00A47A3D">
              <w:t>Device (un)availability via Direction 1 in TR 38.769 only.</w:t>
            </w:r>
          </w:p>
          <w:bookmarkEnd w:id="2"/>
          <w:p w14:paraId="29C5840E" w14:textId="31A3EEAE" w:rsidR="00146940" w:rsidRDefault="00A47A3D" w:rsidP="00146940">
            <w:pPr>
              <w:rPr>
                <w:lang w:val="en-US"/>
              </w:rPr>
            </w:pPr>
            <w:r w:rsidRPr="00A47A3D">
              <w:rPr>
                <w:lang w:val="en-US"/>
              </w:rPr>
              <w:t xml:space="preserve">WGs begin their discussions from the decisions already made in TR 38.769, with the following refinements for the scope: </w:t>
            </w:r>
          </w:p>
        </w:tc>
      </w:tr>
    </w:tbl>
    <w:p w14:paraId="07ED792D" w14:textId="77777777" w:rsidR="00146940" w:rsidRDefault="00146940" w:rsidP="00146940">
      <w:pPr>
        <w:rPr>
          <w:lang w:val="en-US"/>
        </w:rPr>
      </w:pPr>
    </w:p>
    <w:p w14:paraId="616035DB" w14:textId="7AEA94ED" w:rsidR="00F242B7" w:rsidRDefault="00F242B7" w:rsidP="00146940">
      <w:pPr>
        <w:rPr>
          <w:lang w:val="en-US"/>
        </w:rPr>
      </w:pPr>
      <w:r>
        <w:rPr>
          <w:lang w:val="en-US"/>
        </w:rPr>
        <w:t>From RAN1 perspective, following topics are considered for further evaluation.</w:t>
      </w:r>
      <w:r w:rsidR="0016411A">
        <w:rPr>
          <w:lang w:val="en-US"/>
        </w:rPr>
        <w:t xml:space="preserve"> The topic specific to this agenda item is highlighted </w:t>
      </w:r>
    </w:p>
    <w:tbl>
      <w:tblPr>
        <w:tblStyle w:val="TableGrid"/>
        <w:tblW w:w="0" w:type="auto"/>
        <w:tblLook w:val="04A0" w:firstRow="1" w:lastRow="0" w:firstColumn="1" w:lastColumn="0" w:noHBand="0" w:noVBand="1"/>
      </w:tblPr>
      <w:tblGrid>
        <w:gridCol w:w="9962"/>
      </w:tblGrid>
      <w:tr w:rsidR="00A47A3D" w14:paraId="2721AD33" w14:textId="77777777" w:rsidTr="00A47A3D">
        <w:tc>
          <w:tcPr>
            <w:tcW w:w="9962" w:type="dxa"/>
          </w:tcPr>
          <w:p w14:paraId="551F5F18" w14:textId="77777777" w:rsidR="00A47A3D" w:rsidRPr="007111C7" w:rsidRDefault="00A47A3D" w:rsidP="00226328">
            <w:pPr>
              <w:spacing w:after="120"/>
              <w:ind w:left="360" w:right="-96"/>
              <w:jc w:val="both"/>
              <w:rPr>
                <w:lang w:val="en-US" w:eastAsia="ja-JP"/>
              </w:rPr>
            </w:pPr>
            <w:r w:rsidRPr="00226328">
              <w:rPr>
                <w:highlight w:val="green"/>
                <w:lang w:val="en-US" w:eastAsia="ja-JP"/>
              </w:rPr>
              <w:t>RAN1 scope</w:t>
            </w:r>
            <w:r w:rsidRPr="007111C7">
              <w:rPr>
                <w:lang w:val="en-US" w:eastAsia="ja-JP"/>
              </w:rPr>
              <w:t>:</w:t>
            </w:r>
          </w:p>
          <w:p w14:paraId="2F8FFFAD" w14:textId="77777777" w:rsidR="00A47A3D" w:rsidRPr="007111C7" w:rsidRDefault="00A47A3D" w:rsidP="00226328">
            <w:pPr>
              <w:numPr>
                <w:ilvl w:val="0"/>
                <w:numId w:val="46"/>
              </w:numPr>
              <w:spacing w:after="120"/>
              <w:ind w:right="-96"/>
              <w:jc w:val="both"/>
              <w:rPr>
                <w:lang w:val="en-US" w:eastAsia="ja-JP"/>
              </w:rPr>
            </w:pPr>
            <w:r w:rsidRPr="007111C7">
              <w:rPr>
                <w:lang w:val="en-US" w:eastAsia="ja-JP"/>
              </w:rPr>
              <w:t xml:space="preserve">PRDCH and PDRCH, </w:t>
            </w:r>
            <w:r>
              <w:rPr>
                <w:lang w:val="en-US" w:eastAsia="ja-JP"/>
              </w:rPr>
              <w:t>which</w:t>
            </w:r>
            <w:r w:rsidRPr="007111C7">
              <w:rPr>
                <w:lang w:val="en-US" w:eastAsia="ja-JP"/>
              </w:rPr>
              <w:t xml:space="preserve"> are the only physical channels in R2D and D2R, respectively.</w:t>
            </w:r>
          </w:p>
          <w:p w14:paraId="42504F2A" w14:textId="77777777" w:rsidR="00A47A3D" w:rsidRDefault="00A47A3D" w:rsidP="00226328">
            <w:pPr>
              <w:numPr>
                <w:ilvl w:val="0"/>
                <w:numId w:val="46"/>
              </w:numPr>
              <w:spacing w:after="120"/>
              <w:ind w:right="-96"/>
              <w:jc w:val="both"/>
              <w:rPr>
                <w:lang w:val="en-US" w:eastAsia="ja-JP"/>
              </w:rPr>
            </w:pPr>
            <w:r>
              <w:rPr>
                <w:lang w:val="en-US" w:eastAsia="ja-JP"/>
              </w:rPr>
              <w:lastRenderedPageBreak/>
              <w:t>R2D and D2R signal(s)</w:t>
            </w:r>
          </w:p>
          <w:p w14:paraId="1DF9C465" w14:textId="77777777" w:rsidR="00A47A3D" w:rsidRPr="007111C7" w:rsidRDefault="00A47A3D" w:rsidP="00226328">
            <w:pPr>
              <w:numPr>
                <w:ilvl w:val="0"/>
                <w:numId w:val="46"/>
              </w:numPr>
              <w:spacing w:after="120"/>
              <w:ind w:right="-96"/>
              <w:jc w:val="both"/>
              <w:rPr>
                <w:lang w:val="en-US" w:eastAsia="ja-JP"/>
              </w:rPr>
            </w:pPr>
            <w:r w:rsidRPr="007111C7">
              <w:rPr>
                <w:lang w:val="en-US" w:eastAsia="ja-JP"/>
              </w:rPr>
              <w:t>Multiplexing/multiple access in R2D is by only TDMA, and in D2R is by only TDMA and FDMA.</w:t>
            </w:r>
          </w:p>
          <w:p w14:paraId="11F00AC5" w14:textId="77777777" w:rsidR="00A47A3D" w:rsidRPr="007111C7" w:rsidRDefault="00A47A3D" w:rsidP="00226328">
            <w:pPr>
              <w:numPr>
                <w:ilvl w:val="0"/>
                <w:numId w:val="46"/>
              </w:numPr>
              <w:spacing w:after="120"/>
              <w:ind w:right="-96"/>
              <w:rPr>
                <w:lang w:val="en-US" w:eastAsia="ja-JP"/>
              </w:rPr>
            </w:pPr>
            <w:r w:rsidRPr="007111C7">
              <w:rPr>
                <w:lang w:val="en-US" w:eastAsia="ja-JP"/>
              </w:rPr>
              <w:t>R2D supports only OOK-4 modulation</w:t>
            </w:r>
            <w:r>
              <w:rPr>
                <w:lang w:val="en-US" w:eastAsia="ja-JP"/>
              </w:rPr>
              <w:t>, one solution for CP handling</w:t>
            </w:r>
            <w:r w:rsidRPr="007111C7">
              <w:rPr>
                <w:lang w:val="en-US" w:eastAsia="ja-JP"/>
              </w:rPr>
              <w:t>. D2R backscattering supports only OOK and BPSK modulations.</w:t>
            </w:r>
          </w:p>
          <w:p w14:paraId="40D9E442" w14:textId="77777777" w:rsidR="00A47A3D" w:rsidRDefault="00A47A3D" w:rsidP="00226328">
            <w:pPr>
              <w:numPr>
                <w:ilvl w:val="0"/>
                <w:numId w:val="46"/>
              </w:numPr>
              <w:spacing w:after="120"/>
              <w:ind w:right="-96"/>
              <w:jc w:val="both"/>
              <w:rPr>
                <w:lang w:val="en-US" w:eastAsia="ja-JP"/>
              </w:rPr>
            </w:pPr>
            <w:r w:rsidRPr="007111C7">
              <w:rPr>
                <w:lang w:val="en-US" w:eastAsia="ja-JP"/>
              </w:rPr>
              <w:t xml:space="preserve">R2D </w:t>
            </w:r>
            <w:r>
              <w:rPr>
                <w:lang w:val="en-US" w:eastAsia="ja-JP"/>
              </w:rPr>
              <w:t xml:space="preserve">transmission </w:t>
            </w:r>
            <w:r w:rsidRPr="007111C7">
              <w:rPr>
                <w:lang w:val="en-US" w:eastAsia="ja-JP"/>
              </w:rPr>
              <w:t>support</w:t>
            </w:r>
            <w:r>
              <w:rPr>
                <w:lang w:val="en-US" w:eastAsia="ja-JP"/>
              </w:rPr>
              <w:t>s</w:t>
            </w:r>
            <w:r w:rsidRPr="007111C7">
              <w:rPr>
                <w:lang w:val="en-US" w:eastAsia="ja-JP"/>
              </w:rPr>
              <w:t xml:space="preserve"> only </w:t>
            </w:r>
            <w:r>
              <w:rPr>
                <w:lang w:val="en-US" w:eastAsia="ja-JP"/>
              </w:rPr>
              <w:t>the</w:t>
            </w:r>
            <w:r w:rsidRPr="007111C7">
              <w:rPr>
                <w:lang w:val="en-US" w:eastAsia="ja-JP"/>
              </w:rPr>
              <w:t xml:space="preserve"> Manchester line code</w:t>
            </w:r>
            <w:r w:rsidRPr="003964C3">
              <w:rPr>
                <w:lang w:val="en-US" w:eastAsia="ja-JP"/>
              </w:rPr>
              <w:t xml:space="preserve"> </w:t>
            </w:r>
            <w:r>
              <w:rPr>
                <w:lang w:val="en-US" w:eastAsia="ja-JP"/>
              </w:rPr>
              <w:t>in TR 38.769</w:t>
            </w:r>
          </w:p>
          <w:p w14:paraId="021696C4" w14:textId="77777777" w:rsidR="00A47A3D" w:rsidRDefault="00A47A3D" w:rsidP="00226328">
            <w:pPr>
              <w:numPr>
                <w:ilvl w:val="0"/>
                <w:numId w:val="46"/>
              </w:numPr>
              <w:spacing w:after="120"/>
              <w:ind w:right="-96"/>
              <w:jc w:val="both"/>
              <w:rPr>
                <w:lang w:val="en-US" w:eastAsia="ja-JP"/>
              </w:rPr>
            </w:pPr>
            <w:r w:rsidRPr="007111C7">
              <w:rPr>
                <w:lang w:val="en-US" w:eastAsia="ja-JP"/>
              </w:rPr>
              <w:t>D2R</w:t>
            </w:r>
            <w:r>
              <w:rPr>
                <w:lang w:val="en-US" w:eastAsia="ja-JP"/>
              </w:rPr>
              <w:t xml:space="preserve"> transmission supports:</w:t>
            </w:r>
          </w:p>
          <w:p w14:paraId="37A28810" w14:textId="77777777" w:rsidR="00A47A3D" w:rsidRDefault="00A47A3D" w:rsidP="00226328">
            <w:pPr>
              <w:numPr>
                <w:ilvl w:val="1"/>
                <w:numId w:val="46"/>
              </w:numPr>
              <w:spacing w:after="120"/>
              <w:ind w:right="-96"/>
              <w:jc w:val="both"/>
              <w:rPr>
                <w:lang w:val="en-US" w:eastAsia="ja-JP"/>
              </w:rPr>
            </w:pPr>
            <w:r>
              <w:rPr>
                <w:lang w:val="en-US" w:eastAsia="ja-JP"/>
              </w:rPr>
              <w:t xml:space="preserve">Either the Manchester line code in TR 38.769 or no line code (one to be </w:t>
            </w:r>
            <w:proofErr w:type="gramStart"/>
            <w:r>
              <w:rPr>
                <w:lang w:val="en-US" w:eastAsia="ja-JP"/>
              </w:rPr>
              <w:t>down-selected</w:t>
            </w:r>
            <w:proofErr w:type="gramEnd"/>
            <w:r>
              <w:rPr>
                <w:lang w:val="en-US" w:eastAsia="ja-JP"/>
              </w:rPr>
              <w:t>); and</w:t>
            </w:r>
          </w:p>
          <w:p w14:paraId="714AA3C1" w14:textId="77777777" w:rsidR="00A47A3D" w:rsidRPr="007111C7" w:rsidRDefault="00A47A3D" w:rsidP="00226328">
            <w:pPr>
              <w:numPr>
                <w:ilvl w:val="1"/>
                <w:numId w:val="46"/>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57792111" w14:textId="77777777" w:rsidR="00A47A3D" w:rsidRPr="00AB3944" w:rsidRDefault="00A47A3D" w:rsidP="00226328">
            <w:pPr>
              <w:numPr>
                <w:ilvl w:val="0"/>
                <w:numId w:val="46"/>
              </w:numPr>
              <w:spacing w:after="120"/>
              <w:ind w:right="-96"/>
              <w:jc w:val="both"/>
              <w:rPr>
                <w:lang w:val="en-US" w:eastAsia="ja-JP"/>
              </w:rPr>
            </w:pPr>
            <w:r w:rsidRPr="007111C7">
              <w:rPr>
                <w:lang w:val="en-US" w:eastAsia="ja-JP"/>
              </w:rPr>
              <w:t>R2D does not support FEC. D2R supports only convolutional co</w:t>
            </w:r>
            <w:r w:rsidRPr="00AB3944">
              <w:rPr>
                <w:lang w:val="en-US" w:eastAsia="ja-JP"/>
              </w:rPr>
              <w:t>de with generator polynomials as per TS 36.212 (unless RAN1 decides to use other generator polynomials by RAN1#120bis).</w:t>
            </w:r>
          </w:p>
          <w:p w14:paraId="5CF6700D" w14:textId="77777777" w:rsidR="00A47A3D" w:rsidRPr="007111C7" w:rsidRDefault="00A47A3D" w:rsidP="00226328">
            <w:pPr>
              <w:numPr>
                <w:ilvl w:val="0"/>
                <w:numId w:val="46"/>
              </w:numPr>
              <w:spacing w:after="120"/>
              <w:ind w:right="-96"/>
              <w:jc w:val="both"/>
              <w:rPr>
                <w:lang w:val="en-US" w:eastAsia="ja-JP"/>
              </w:rPr>
            </w:pPr>
            <w:r w:rsidRPr="00AB3944">
              <w:rPr>
                <w:lang w:val="en-US" w:eastAsia="ja-JP"/>
              </w:rPr>
              <w:t xml:space="preserve">PRDCH and PDRCH both support transmission without CRC, and with CRC as per the generator polynomials in TS 38.212 (unless RAN1 decides to use other generator polynomials by RAN1#120bis) </w:t>
            </w:r>
            <w:r w:rsidRPr="007111C7">
              <w:rPr>
                <w:lang w:val="en-US" w:eastAsia="ja-JP"/>
              </w:rPr>
              <w:t>for 6-bit CRC and 16-bit CRC.</w:t>
            </w:r>
            <w:r>
              <w:rPr>
                <w:lang w:val="en-US" w:eastAsia="ja-JP"/>
              </w:rPr>
              <w:t xml:space="preserve"> Cases to use which length of CRC, or no CRC, to be decided in RAN1.</w:t>
            </w:r>
          </w:p>
          <w:p w14:paraId="75358B9F" w14:textId="77777777" w:rsidR="00A47A3D" w:rsidRPr="007111C7" w:rsidRDefault="00A47A3D" w:rsidP="00226328">
            <w:pPr>
              <w:numPr>
                <w:ilvl w:val="0"/>
                <w:numId w:val="46"/>
              </w:numPr>
              <w:spacing w:after="120"/>
              <w:ind w:right="-96"/>
              <w:jc w:val="both"/>
              <w:rPr>
                <w:lang w:val="en-US" w:eastAsia="ja-JP"/>
              </w:rPr>
            </w:pPr>
            <w:r w:rsidRPr="007111C7">
              <w:rPr>
                <w:lang w:val="en-US" w:eastAsia="ja-JP"/>
              </w:rPr>
              <w:t xml:space="preserve">D2R supports </w:t>
            </w:r>
            <w:r>
              <w:rPr>
                <w:lang w:val="en-US" w:eastAsia="ja-JP"/>
              </w:rPr>
              <w:t xml:space="preserve">physical layer </w:t>
            </w:r>
            <w:r w:rsidRPr="007111C7">
              <w:rPr>
                <w:lang w:val="en-US" w:eastAsia="ja-JP"/>
              </w:rPr>
              <w:t>repetition transmission. R2D does not support</w:t>
            </w:r>
            <w:r>
              <w:rPr>
                <w:lang w:val="en-US" w:eastAsia="ja-JP"/>
              </w:rPr>
              <w:t xml:space="preserve"> physical-layer</w:t>
            </w:r>
            <w:r w:rsidRPr="007111C7">
              <w:rPr>
                <w:lang w:val="en-US" w:eastAsia="ja-JP"/>
              </w:rPr>
              <w:t xml:space="preserve"> repetition transmission. </w:t>
            </w:r>
          </w:p>
          <w:p w14:paraId="7F457836" w14:textId="77777777" w:rsidR="00A47A3D" w:rsidRDefault="00A47A3D" w:rsidP="00146940">
            <w:pPr>
              <w:rPr>
                <w:lang w:val="en-US"/>
              </w:rPr>
            </w:pPr>
          </w:p>
        </w:tc>
      </w:tr>
    </w:tbl>
    <w:p w14:paraId="61534FB0" w14:textId="77777777" w:rsidR="00A47A3D" w:rsidRPr="00B7321B" w:rsidRDefault="00A47A3D" w:rsidP="00146940">
      <w:pPr>
        <w:rPr>
          <w:lang w:val="en-US"/>
        </w:rPr>
      </w:pPr>
    </w:p>
    <w:bookmarkEnd w:id="1"/>
    <w:p w14:paraId="68476DBD" w14:textId="17B53499" w:rsidR="00CE41E8" w:rsidRPr="00B7321B" w:rsidRDefault="00C6795E" w:rsidP="00CE41E8">
      <w:pPr>
        <w:pStyle w:val="Heading1"/>
        <w:rPr>
          <w:lang w:val="en-US"/>
        </w:rPr>
      </w:pPr>
      <w:r w:rsidRPr="00B7321B">
        <w:rPr>
          <w:lang w:val="en-US"/>
        </w:rPr>
        <w:t>Discussion</w:t>
      </w:r>
    </w:p>
    <w:p w14:paraId="49EC61A8" w14:textId="1E86E9A3" w:rsidR="000941CE" w:rsidRDefault="00AB208C" w:rsidP="000941CE">
      <w:pPr>
        <w:rPr>
          <w:lang w:val="en-US"/>
        </w:rPr>
      </w:pPr>
      <w:r>
        <w:rPr>
          <w:lang w:val="en-US"/>
        </w:rPr>
        <w:t>In this agend</w:t>
      </w:r>
      <w:r w:rsidR="00E102C5">
        <w:rPr>
          <w:lang w:val="en-US"/>
        </w:rPr>
        <w:t>a</w:t>
      </w:r>
      <w:r>
        <w:rPr>
          <w:lang w:val="en-US"/>
        </w:rPr>
        <w:t>, we discuss on the design of</w:t>
      </w:r>
      <w:r w:rsidR="00E102C5">
        <w:rPr>
          <w:lang w:val="en-US"/>
        </w:rPr>
        <w:t xml:space="preserve"> timing acquisition and clock synchronization signal </w:t>
      </w:r>
      <w:r w:rsidR="003C11A7">
        <w:rPr>
          <w:lang w:val="en-US"/>
        </w:rPr>
        <w:t>used before PDRCH and PRDCH transmissions.</w:t>
      </w:r>
      <w:r w:rsidR="007253B7">
        <w:rPr>
          <w:lang w:val="en-US"/>
        </w:rPr>
        <w:t xml:space="preserve"> Unlike the data channel, the </w:t>
      </w:r>
      <w:r w:rsidR="00847201">
        <w:rPr>
          <w:lang w:val="en-US"/>
        </w:rPr>
        <w:t>timing acquisition and clock synchronization signal</w:t>
      </w:r>
      <w:r w:rsidR="007C0DA6">
        <w:rPr>
          <w:lang w:val="en-US"/>
        </w:rPr>
        <w:t xml:space="preserve"> </w:t>
      </w:r>
      <w:r w:rsidR="00871DBB">
        <w:rPr>
          <w:lang w:val="en-US"/>
        </w:rPr>
        <w:t xml:space="preserve">provides frame boundary and </w:t>
      </w:r>
      <w:r w:rsidR="00295207">
        <w:rPr>
          <w:lang w:val="en-US"/>
        </w:rPr>
        <w:t xml:space="preserve">sampling accuracy for AIoT device before receiving PRDCH transmission. Similarly, </w:t>
      </w:r>
      <w:r w:rsidR="000D2691">
        <w:rPr>
          <w:lang w:val="en-US"/>
        </w:rPr>
        <w:t>in the PDRCH transmission, the AIoT device transmits synchronization signal</w:t>
      </w:r>
      <w:r w:rsidR="00A16E2F">
        <w:rPr>
          <w:lang w:val="en-US"/>
        </w:rPr>
        <w:t xml:space="preserve">s to provide timing and sampling accuracy </w:t>
      </w:r>
      <w:r w:rsidR="00FC118A">
        <w:rPr>
          <w:lang w:val="en-US"/>
        </w:rPr>
        <w:t xml:space="preserve">for the reader to detect the AIoT transmission. </w:t>
      </w:r>
      <w:r w:rsidR="00C42ACF">
        <w:rPr>
          <w:lang w:val="en-US"/>
        </w:rPr>
        <w:t xml:space="preserve">To distinguish the synchronization signal design specific to PRDCH and PDRCH, we </w:t>
      </w:r>
      <w:r w:rsidR="00087977">
        <w:rPr>
          <w:lang w:val="en-US"/>
        </w:rPr>
        <w:t>present them depending on the transmission type.</w:t>
      </w:r>
    </w:p>
    <w:p w14:paraId="4E74A3D8" w14:textId="05089CBB" w:rsidR="00087977" w:rsidRDefault="00087977" w:rsidP="00087977">
      <w:pPr>
        <w:pStyle w:val="Heading2"/>
        <w:rPr>
          <w:lang w:val="en-US"/>
        </w:rPr>
      </w:pPr>
      <w:r>
        <w:rPr>
          <w:lang w:val="en-US"/>
        </w:rPr>
        <w:t>R2D Transmission</w:t>
      </w:r>
    </w:p>
    <w:p w14:paraId="74C9F810" w14:textId="52069F84" w:rsidR="00087977" w:rsidRDefault="00087977" w:rsidP="00087977">
      <w:pPr>
        <w:pStyle w:val="Heading3"/>
        <w:rPr>
          <w:lang w:val="en-US"/>
        </w:rPr>
      </w:pPr>
      <w:r>
        <w:rPr>
          <w:lang w:val="en-US"/>
        </w:rPr>
        <w:t>Preamble</w:t>
      </w:r>
    </w:p>
    <w:tbl>
      <w:tblPr>
        <w:tblStyle w:val="TableGrid"/>
        <w:tblW w:w="0" w:type="auto"/>
        <w:tblLook w:val="04A0" w:firstRow="1" w:lastRow="0" w:firstColumn="1" w:lastColumn="0" w:noHBand="0" w:noVBand="1"/>
      </w:tblPr>
      <w:tblGrid>
        <w:gridCol w:w="9962"/>
      </w:tblGrid>
      <w:tr w:rsidR="00954CD0" w:rsidRPr="00AF3A2E" w14:paraId="1BE378D1" w14:textId="77777777" w:rsidTr="00954CD0">
        <w:tc>
          <w:tcPr>
            <w:tcW w:w="9962" w:type="dxa"/>
          </w:tcPr>
          <w:p w14:paraId="763C63D2" w14:textId="77777777" w:rsidR="00A01368" w:rsidRPr="00CF683E" w:rsidRDefault="00A01368" w:rsidP="00A01368">
            <w:pPr>
              <w:rPr>
                <w:rFonts w:eastAsia="DengXian"/>
              </w:rPr>
            </w:pPr>
            <w:r w:rsidRPr="00CF683E">
              <w:rPr>
                <w:rFonts w:eastAsia="DengXian"/>
              </w:rPr>
              <w:t xml:space="preserve">The R-TAS start-indicator part is not included in </w:t>
            </w:r>
            <w:r w:rsidRPr="00CF683E">
              <w:rPr>
                <w:rFonts w:eastAsia="DengXian"/>
                <w:i/>
                <w:iCs/>
              </w:rPr>
              <w:t>T</w:t>
            </w:r>
            <w:r w:rsidRPr="00CF683E">
              <w:rPr>
                <w:rFonts w:eastAsia="DengXian"/>
                <w:vertAlign w:val="subscript"/>
              </w:rPr>
              <w:t>D2R_min</w:t>
            </w:r>
            <w:r w:rsidRPr="00CF683E">
              <w:rPr>
                <w:rFonts w:eastAsia="DengXian"/>
              </w:rPr>
              <w:t>, and an ON/OFF pattern i.e., high/low voltage transmission, is applied. The following options have been studied for the start-indicator part:</w:t>
            </w:r>
          </w:p>
          <w:p w14:paraId="05CE63BB" w14:textId="77777777" w:rsidR="00A01368" w:rsidRPr="00CF683E" w:rsidRDefault="00A01368" w:rsidP="00A01368">
            <w:pPr>
              <w:pStyle w:val="B1"/>
              <w:rPr>
                <w:rFonts w:eastAsia="DengXian"/>
              </w:rPr>
            </w:pPr>
            <w:r w:rsidRPr="00CF683E">
              <w:rPr>
                <w:rFonts w:eastAsia="DengXian"/>
              </w:rPr>
              <w:t>-</w:t>
            </w:r>
            <w:r w:rsidRPr="00CF683E">
              <w:rPr>
                <w:rFonts w:eastAsia="DengXian"/>
              </w:rPr>
              <w:tab/>
              <w:t xml:space="preserve">Option 1: ON-OFF transmission is considered based on energy/edge detection, and multiple alternatives have been studied including </w:t>
            </w:r>
          </w:p>
          <w:p w14:paraId="59D4BAE6" w14:textId="77777777" w:rsidR="00A01368" w:rsidRPr="00CF683E" w:rsidRDefault="00A01368" w:rsidP="00A01368">
            <w:pPr>
              <w:pStyle w:val="B2"/>
              <w:rPr>
                <w:rFonts w:eastAsia="DengXian"/>
              </w:rPr>
            </w:pPr>
            <w:r w:rsidRPr="00CF683E">
              <w:rPr>
                <w:rFonts w:eastAsia="DengXian"/>
              </w:rPr>
              <w:t>-</w:t>
            </w:r>
            <w:r w:rsidRPr="00CF683E">
              <w:rPr>
                <w:rFonts w:eastAsia="DengXian"/>
              </w:rPr>
              <w:tab/>
              <w:t>Alt 1: A single ON-OFF transmission, i.e. one high-voltage transmission followed by one low-voltage transmission, where ON and OFF may have same or different durations</w:t>
            </w:r>
          </w:p>
          <w:p w14:paraId="5112EBB6" w14:textId="77777777" w:rsidR="00A01368" w:rsidRPr="00CF683E" w:rsidRDefault="00A01368" w:rsidP="00A01368">
            <w:pPr>
              <w:pStyle w:val="B2"/>
              <w:rPr>
                <w:rFonts w:eastAsia="DengXian"/>
              </w:rPr>
            </w:pPr>
            <w:r w:rsidRPr="00CF683E">
              <w:rPr>
                <w:rFonts w:eastAsia="DengXian"/>
              </w:rPr>
              <w:t>-</w:t>
            </w:r>
            <w:r w:rsidRPr="00CF683E">
              <w:rPr>
                <w:rFonts w:eastAsia="DengXian"/>
              </w:rPr>
              <w:tab/>
              <w:t>Alt 2: A multi-ON-OFF transmission, where different ON and different OFF may have same or different durations and different parts may have same or different duration</w:t>
            </w:r>
          </w:p>
          <w:p w14:paraId="5DE97D02" w14:textId="77777777" w:rsidR="00A01368" w:rsidRPr="00CF683E" w:rsidRDefault="00A01368" w:rsidP="00A01368">
            <w:pPr>
              <w:pStyle w:val="B1"/>
              <w:rPr>
                <w:rFonts w:eastAsia="DengXian"/>
              </w:rPr>
            </w:pPr>
            <w:r w:rsidRPr="00CF683E">
              <w:rPr>
                <w:rFonts w:eastAsia="DengXian"/>
              </w:rPr>
              <w:t>-</w:t>
            </w:r>
            <w:r w:rsidRPr="00CF683E">
              <w:rPr>
                <w:rFonts w:eastAsia="DengXian"/>
              </w:rPr>
              <w:tab/>
              <w:t>Option 2: ON-OFF sequence-based design is considered which consists of a pre-defined sequence for detection of start-indicator part based on digital correlation</w:t>
            </w:r>
          </w:p>
          <w:p w14:paraId="3AD51716" w14:textId="18CE4ED0" w:rsidR="00954CD0" w:rsidRPr="00226328" w:rsidRDefault="00A01368" w:rsidP="00226328">
            <w:pPr>
              <w:pStyle w:val="B1"/>
              <w:rPr>
                <w:rFonts w:eastAsia="DengXian"/>
              </w:rPr>
            </w:pPr>
            <w:r w:rsidRPr="00CF683E">
              <w:rPr>
                <w:rFonts w:eastAsia="DengXian"/>
              </w:rPr>
              <w:t>-</w:t>
            </w:r>
            <w:r w:rsidRPr="00CF683E">
              <w:rPr>
                <w:rFonts w:eastAsia="DengXian"/>
              </w:rPr>
              <w:tab/>
              <w:t xml:space="preserve">For both the options, it is observed that a fixed duration for the start-indicator part can be considered, regardless of the value of </w:t>
            </w:r>
            <w:r w:rsidRPr="00CF683E">
              <w:rPr>
                <w:rFonts w:eastAsia="DengXian"/>
                <w:i/>
                <w:iCs/>
              </w:rPr>
              <w:t>M</w:t>
            </w:r>
            <w:r w:rsidRPr="00CF683E">
              <w:rPr>
                <w:rFonts w:eastAsia="DengXian"/>
              </w:rPr>
              <w:t xml:space="preserve"> used for PRDCH transmissions.</w:t>
            </w:r>
          </w:p>
        </w:tc>
      </w:tr>
    </w:tbl>
    <w:p w14:paraId="30273E26" w14:textId="77777777" w:rsidR="00954CD0" w:rsidRDefault="00954CD0" w:rsidP="00954CD0">
      <w:pPr>
        <w:rPr>
          <w:lang w:val="en-US"/>
        </w:rPr>
      </w:pPr>
    </w:p>
    <w:p w14:paraId="0DAFF3AF" w14:textId="330A1A21" w:rsidR="00F1725D" w:rsidRDefault="00F1725D" w:rsidP="00F1725D">
      <w:r>
        <w:lastRenderedPageBreak/>
        <w:t xml:space="preserve">In this section, we will discuss the design and need of various synchronization signals intended to provide timing, frequency, or sampling corrections. </w:t>
      </w:r>
      <w:r w:rsidR="00705130">
        <w:fldChar w:fldCharType="begin"/>
      </w:r>
      <w:r w:rsidR="00705130">
        <w:instrText xml:space="preserve"> REF _Ref189821684 \h </w:instrText>
      </w:r>
      <w:r w:rsidR="00705130">
        <w:fldChar w:fldCharType="separate"/>
      </w:r>
      <w:r w:rsidR="0039394E">
        <w:t xml:space="preserve">Fig. </w:t>
      </w:r>
      <w:r w:rsidR="0039394E">
        <w:rPr>
          <w:noProof/>
        </w:rPr>
        <w:t>1</w:t>
      </w:r>
      <w:r w:rsidR="00705130">
        <w:fldChar w:fldCharType="end"/>
      </w:r>
      <w:r w:rsidR="00705130">
        <w:t xml:space="preserve"> </w:t>
      </w:r>
      <w:r>
        <w:t>highlights PRDCH transmission with different segments/parts of synchronization signal, which are discussed below.</w:t>
      </w:r>
    </w:p>
    <w:p w14:paraId="324326BD" w14:textId="77777777" w:rsidR="002E76D1" w:rsidRDefault="00CA551A" w:rsidP="002E76D1">
      <w:pPr>
        <w:pStyle w:val="BodyText"/>
        <w:keepNext/>
        <w:overflowPunct/>
        <w:autoSpaceDE/>
        <w:autoSpaceDN/>
        <w:adjustRightInd/>
        <w:spacing w:before="240" w:after="0"/>
        <w:jc w:val="center"/>
        <w:textAlignment w:val="auto"/>
      </w:pPr>
      <w:r>
        <w:rPr>
          <w:noProof/>
        </w:rPr>
        <w:drawing>
          <wp:inline distT="0" distB="0" distL="0" distR="0" wp14:anchorId="63BD39F3" wp14:editId="6E79EB9C">
            <wp:extent cx="6118877" cy="632942"/>
            <wp:effectExtent l="0" t="0" r="0" b="0"/>
            <wp:docPr id="285617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3075" cy="638548"/>
                    </a:xfrm>
                    <a:prstGeom prst="rect">
                      <a:avLst/>
                    </a:prstGeom>
                    <a:noFill/>
                  </pic:spPr>
                </pic:pic>
              </a:graphicData>
            </a:graphic>
          </wp:inline>
        </w:drawing>
      </w:r>
    </w:p>
    <w:p w14:paraId="34E76620" w14:textId="389F20E5" w:rsidR="00F1725D" w:rsidRDefault="002E76D1" w:rsidP="00226328">
      <w:pPr>
        <w:pStyle w:val="Caption"/>
        <w:jc w:val="center"/>
      </w:pPr>
      <w:bookmarkStart w:id="4" w:name="_Ref189821684"/>
      <w:r>
        <w:t xml:space="preserve">Fig. </w:t>
      </w:r>
      <w:r>
        <w:fldChar w:fldCharType="begin"/>
      </w:r>
      <w:r>
        <w:instrText xml:space="preserve"> SEQ Fig. \* ARABIC </w:instrText>
      </w:r>
      <w:r>
        <w:fldChar w:fldCharType="separate"/>
      </w:r>
      <w:r w:rsidR="0039394E">
        <w:rPr>
          <w:noProof/>
        </w:rPr>
        <w:t>1</w:t>
      </w:r>
      <w:r>
        <w:fldChar w:fldCharType="end"/>
      </w:r>
      <w:bookmarkEnd w:id="4"/>
      <w:r>
        <w:t xml:space="preserve"> </w:t>
      </w:r>
      <w:r w:rsidRPr="00044BD2">
        <w:t>R2D timing acquisition signal (R=TAS)</w:t>
      </w:r>
    </w:p>
    <w:p w14:paraId="2C45A11C" w14:textId="77777777" w:rsidR="00F1725D" w:rsidRPr="001E0B15" w:rsidRDefault="00F1725D" w:rsidP="00F1725D">
      <w:r>
        <w:t>In RAN1#118bis, FL provided the way forward for next meeting discussion topics.</w:t>
      </w:r>
    </w:p>
    <w:tbl>
      <w:tblPr>
        <w:tblStyle w:val="TableGrid"/>
        <w:tblW w:w="0" w:type="auto"/>
        <w:tblLook w:val="04A0" w:firstRow="1" w:lastRow="0" w:firstColumn="1" w:lastColumn="0" w:noHBand="0" w:noVBand="1"/>
      </w:tblPr>
      <w:tblGrid>
        <w:gridCol w:w="9629"/>
      </w:tblGrid>
      <w:tr w:rsidR="00F1725D" w:rsidRPr="00F1725D" w14:paraId="4AE29672" w14:textId="77777777" w:rsidTr="0080672C">
        <w:tc>
          <w:tcPr>
            <w:tcW w:w="9629" w:type="dxa"/>
          </w:tcPr>
          <w:p w14:paraId="06426D97" w14:textId="77777777" w:rsidR="00F1725D" w:rsidRPr="00226328" w:rsidRDefault="00F1725D" w:rsidP="0080672C">
            <w:pPr>
              <w:rPr>
                <w:b/>
                <w:bCs/>
                <w:u w:val="single"/>
                <w:lang w:val="en-US" w:eastAsia="zh-CN"/>
              </w:rPr>
            </w:pPr>
            <w:r w:rsidRPr="00226328">
              <w:rPr>
                <w:b/>
                <w:bCs/>
                <w:u w:val="single"/>
                <w:lang w:val="en-US" w:eastAsia="zh-CN"/>
              </w:rPr>
              <w:t>R2D</w:t>
            </w:r>
          </w:p>
          <w:p w14:paraId="3D72F918" w14:textId="77777777" w:rsidR="00F1725D" w:rsidRPr="00226328" w:rsidRDefault="00F1725D" w:rsidP="00226328">
            <w:pPr>
              <w:pStyle w:val="ListParagraph"/>
              <w:numPr>
                <w:ilvl w:val="0"/>
                <w:numId w:val="56"/>
              </w:numPr>
              <w:snapToGrid w:val="0"/>
              <w:spacing w:after="120"/>
              <w:jc w:val="both"/>
              <w:rPr>
                <w:lang w:val="en-US"/>
              </w:rPr>
            </w:pPr>
            <w:r w:rsidRPr="00226328">
              <w:rPr>
                <w:lang w:val="en-US"/>
              </w:rPr>
              <w:t>Remaining design details for R2D signals including clock-acquisition part and other signals (if any, potentially for frequency synchronization)</w:t>
            </w:r>
          </w:p>
          <w:p w14:paraId="7ECAF33E" w14:textId="77777777" w:rsidR="00F1725D" w:rsidRPr="00226328" w:rsidRDefault="00F1725D" w:rsidP="00226328">
            <w:pPr>
              <w:pStyle w:val="ListParagraph"/>
              <w:numPr>
                <w:ilvl w:val="0"/>
                <w:numId w:val="56"/>
              </w:numPr>
              <w:spacing w:before="120" w:after="120" w:line="259" w:lineRule="auto"/>
              <w:rPr>
                <w:lang w:val="en-US"/>
              </w:rPr>
            </w:pPr>
            <w:r w:rsidRPr="00226328">
              <w:rPr>
                <w:lang w:val="en-US"/>
              </w:rPr>
              <w:t>Remaining R2D control information for D2R scheduling and/or R2D reception</w:t>
            </w:r>
          </w:p>
        </w:tc>
      </w:tr>
    </w:tbl>
    <w:p w14:paraId="71B2763E" w14:textId="77777777" w:rsidR="00F1725D" w:rsidRDefault="00F1725D" w:rsidP="00F1725D">
      <w:pPr>
        <w:pStyle w:val="Heading4"/>
      </w:pPr>
      <w:r>
        <w:t>Start delimiter</w:t>
      </w:r>
    </w:p>
    <w:p w14:paraId="666F18C4" w14:textId="77777777" w:rsidR="00F1725D" w:rsidRDefault="00F1725D" w:rsidP="00F1725D">
      <w:pPr>
        <w:spacing w:before="240"/>
      </w:pPr>
      <w:r>
        <w:t>To avoid any unwanted AIoT tag triggering to perform preamble correlation, a start delimiter is used only to initiate the AIoT tag to get into active state to initiate preamble detection followed by PRDCH reception. Thus, the start delimiter is used only to initiate the AIoT tag, during which the tag has no timing accuracy. Thus, to ensure reliable start delimiter detection, the silence length should be longer with two ON segments to avoid any unwanted glitch getting detected as a start delimiter. Furthermore, the width of two ON pulses should be wide enough to provide sufficient energy to trigger the AIoT tag.</w:t>
      </w:r>
    </w:p>
    <w:tbl>
      <w:tblPr>
        <w:tblStyle w:val="TableGrid"/>
        <w:tblW w:w="0" w:type="auto"/>
        <w:tblInd w:w="-5" w:type="dxa"/>
        <w:tblLook w:val="04A0" w:firstRow="1" w:lastRow="0" w:firstColumn="1" w:lastColumn="0" w:noHBand="0" w:noVBand="1"/>
      </w:tblPr>
      <w:tblGrid>
        <w:gridCol w:w="9634"/>
      </w:tblGrid>
      <w:tr w:rsidR="00F1725D" w:rsidRPr="00F1725D" w14:paraId="23CE7850" w14:textId="77777777" w:rsidTr="0080672C">
        <w:tc>
          <w:tcPr>
            <w:tcW w:w="9634" w:type="dxa"/>
          </w:tcPr>
          <w:p w14:paraId="4F15F4F0" w14:textId="77777777" w:rsidR="00F1725D" w:rsidRPr="00226328" w:rsidRDefault="00F1725D" w:rsidP="00226328">
            <w:pPr>
              <w:pStyle w:val="0Maintext"/>
              <w:spacing w:line="240" w:lineRule="auto"/>
              <w:rPr>
                <w:highlight w:val="green"/>
                <w:lang w:val="en-US" w:eastAsia="zh-CN"/>
              </w:rPr>
            </w:pPr>
            <w:r w:rsidRPr="00226328">
              <w:rPr>
                <w:highlight w:val="green"/>
                <w:lang w:val="en-US" w:eastAsia="zh-CN"/>
              </w:rPr>
              <w:t>Agreement</w:t>
            </w:r>
          </w:p>
          <w:p w14:paraId="18627DF2" w14:textId="77777777" w:rsidR="00F1725D" w:rsidRPr="00226328" w:rsidRDefault="00F1725D" w:rsidP="0080672C">
            <w:pPr>
              <w:pStyle w:val="0Maintext"/>
              <w:spacing w:line="240" w:lineRule="auto"/>
              <w:ind w:firstLine="400"/>
              <w:rPr>
                <w:lang w:val="en-US" w:eastAsia="zh-CN"/>
              </w:rPr>
            </w:pPr>
            <w:r w:rsidRPr="00226328">
              <w:rPr>
                <w:color w:val="000000"/>
                <w:lang w:val="en-US"/>
              </w:rPr>
              <w:t>For the start-indicator part of the R2D time acquisition signal, ON/OFF pattern i.e. high/low voltage transmission is applied</w:t>
            </w:r>
          </w:p>
          <w:p w14:paraId="15866FD4" w14:textId="77777777" w:rsidR="00F1725D" w:rsidRPr="00226328" w:rsidRDefault="00F1725D" w:rsidP="00F1725D">
            <w:pPr>
              <w:pStyle w:val="ListParagraph"/>
              <w:numPr>
                <w:ilvl w:val="0"/>
                <w:numId w:val="54"/>
              </w:numPr>
              <w:autoSpaceDE w:val="0"/>
              <w:autoSpaceDN w:val="0"/>
              <w:adjustRightInd w:val="0"/>
              <w:snapToGrid w:val="0"/>
              <w:jc w:val="both"/>
              <w:rPr>
                <w:color w:val="000000"/>
                <w:szCs w:val="20"/>
                <w:lang w:val="en-US"/>
              </w:rPr>
            </w:pPr>
            <w:r w:rsidRPr="00226328">
              <w:rPr>
                <w:color w:val="000000"/>
                <w:szCs w:val="20"/>
                <w:lang w:val="en-US"/>
              </w:rPr>
              <w:t>FFS: length/pattern of ON/OFF.</w:t>
            </w:r>
          </w:p>
          <w:p w14:paraId="617CD35B" w14:textId="77777777" w:rsidR="00F1725D" w:rsidRPr="00226328" w:rsidRDefault="00F1725D" w:rsidP="00F1725D">
            <w:pPr>
              <w:pStyle w:val="ListParagraph"/>
              <w:numPr>
                <w:ilvl w:val="0"/>
                <w:numId w:val="54"/>
              </w:numPr>
              <w:autoSpaceDE w:val="0"/>
              <w:autoSpaceDN w:val="0"/>
              <w:adjustRightInd w:val="0"/>
              <w:snapToGrid w:val="0"/>
              <w:jc w:val="both"/>
              <w:rPr>
                <w:bCs/>
                <w:color w:val="000000"/>
                <w:szCs w:val="20"/>
                <w:lang w:val="en-US"/>
              </w:rPr>
            </w:pPr>
            <w:r w:rsidRPr="00226328">
              <w:rPr>
                <w:color w:val="000000"/>
                <w:szCs w:val="20"/>
                <w:lang w:val="en-US"/>
              </w:rPr>
              <w:t xml:space="preserve">FFS: </w:t>
            </w:r>
            <w:r w:rsidRPr="00226328">
              <w:rPr>
                <w:bCs/>
                <w:color w:val="000000"/>
                <w:szCs w:val="20"/>
                <w:lang w:val="en-US"/>
              </w:rPr>
              <w:t>when T</w:t>
            </w:r>
            <w:r w:rsidRPr="00226328">
              <w:rPr>
                <w:bCs/>
                <w:color w:val="000000"/>
                <w:szCs w:val="20"/>
                <w:vertAlign w:val="subscript"/>
                <w:lang w:val="en-US"/>
              </w:rPr>
              <w:t>D2R_min</w:t>
            </w:r>
            <w:r w:rsidRPr="00226328">
              <w:rPr>
                <w:bCs/>
                <w:color w:val="000000"/>
                <w:szCs w:val="20"/>
                <w:lang w:val="en-US"/>
              </w:rPr>
              <w:t xml:space="preserve"> is applicable, w</w:t>
            </w:r>
            <w:r w:rsidRPr="00226328">
              <w:rPr>
                <w:color w:val="000000"/>
                <w:szCs w:val="20"/>
                <w:lang w:val="en-US"/>
              </w:rPr>
              <w:t xml:space="preserve">hether/how the start-indicator part is included in </w:t>
            </w:r>
            <w:r w:rsidRPr="00226328">
              <w:rPr>
                <w:bCs/>
                <w:color w:val="000000"/>
                <w:szCs w:val="20"/>
                <w:lang w:val="en-US"/>
              </w:rPr>
              <w:t>T</w:t>
            </w:r>
            <w:r w:rsidRPr="00226328">
              <w:rPr>
                <w:bCs/>
                <w:color w:val="000000"/>
                <w:szCs w:val="20"/>
                <w:vertAlign w:val="subscript"/>
                <w:lang w:val="en-US"/>
              </w:rPr>
              <w:t>D2R_min</w:t>
            </w:r>
            <w:r w:rsidRPr="00226328">
              <w:rPr>
                <w:bCs/>
                <w:color w:val="000000"/>
                <w:szCs w:val="20"/>
                <w:lang w:val="en-US"/>
              </w:rPr>
              <w:t xml:space="preserve"> or not. To be discussed in 9.4.2.2</w:t>
            </w:r>
          </w:p>
          <w:p w14:paraId="0CC544DF" w14:textId="77777777" w:rsidR="00F1725D" w:rsidRPr="00226328" w:rsidRDefault="00F1725D" w:rsidP="0080672C">
            <w:pPr>
              <w:spacing w:after="0"/>
              <w:rPr>
                <w:color w:val="000000"/>
                <w:highlight w:val="green"/>
                <w:lang w:val="en-US"/>
              </w:rPr>
            </w:pPr>
            <w:r w:rsidRPr="00226328">
              <w:rPr>
                <w:color w:val="000000"/>
                <w:highlight w:val="green"/>
                <w:lang w:val="en-US"/>
              </w:rPr>
              <w:t>Agreement</w:t>
            </w:r>
          </w:p>
          <w:p w14:paraId="06EFC754" w14:textId="77777777" w:rsidR="00F1725D" w:rsidRPr="00226328" w:rsidRDefault="00F1725D" w:rsidP="0080672C">
            <w:pPr>
              <w:spacing w:after="0"/>
              <w:rPr>
                <w:color w:val="000000"/>
                <w:lang w:val="en-US"/>
              </w:rPr>
            </w:pPr>
            <w:r w:rsidRPr="00226328">
              <w:rPr>
                <w:color w:val="000000"/>
                <w:lang w:val="en-US"/>
              </w:rPr>
              <w:t>For the clock-acquisition part of the R2D time acquisition signal, following is captured in the TR 38.769:</w:t>
            </w:r>
          </w:p>
          <w:p w14:paraId="37BE8A5A" w14:textId="77777777" w:rsidR="00F1725D" w:rsidRPr="00226328" w:rsidRDefault="00F1725D" w:rsidP="00F1725D">
            <w:pPr>
              <w:pStyle w:val="ListParagraph"/>
              <w:numPr>
                <w:ilvl w:val="0"/>
                <w:numId w:val="47"/>
              </w:numPr>
              <w:autoSpaceDE w:val="0"/>
              <w:autoSpaceDN w:val="0"/>
              <w:adjustRightInd w:val="0"/>
              <w:snapToGrid w:val="0"/>
              <w:jc w:val="both"/>
              <w:rPr>
                <w:bCs/>
                <w:color w:val="000000"/>
                <w:szCs w:val="20"/>
                <w:lang w:val="en-US"/>
              </w:rPr>
            </w:pPr>
            <w:r w:rsidRPr="00226328">
              <w:rPr>
                <w:iCs/>
                <w:color w:val="000000"/>
                <w:szCs w:val="20"/>
                <w:lang w:val="en-US"/>
              </w:rPr>
              <w:t>Clock-acquisition part is based on OOK without line coding and includes</w:t>
            </w:r>
            <w:r w:rsidRPr="00226328">
              <w:rPr>
                <w:bCs/>
                <w:color w:val="000000"/>
                <w:szCs w:val="20"/>
                <w:lang w:val="en-US"/>
              </w:rPr>
              <w:t xml:space="preserve"> rising/falling edges, including at least two rising or at least two falling edges for the device to determine the OOK chip duration</w:t>
            </w:r>
          </w:p>
        </w:tc>
      </w:tr>
    </w:tbl>
    <w:p w14:paraId="42EA51D4" w14:textId="331E2ECE" w:rsidR="00F1725D" w:rsidRDefault="00457567" w:rsidP="00F1725D">
      <w:pPr>
        <w:spacing w:before="240"/>
      </w:pPr>
      <w:r>
        <w:t>T</w:t>
      </w:r>
      <w:r w:rsidR="00F1725D">
        <w:t>he start delimiter signal must be robust enough to be detected even in the presence of interference. As the device is assumed to perform preamble detection only after the start delimiter detection, any failure in detecting start delimiter may cause the complete failure of AIoT transmission destined to the tag. Thus, the start delimiter should be designed by considering both interference and interference-free scenarios.</w:t>
      </w:r>
    </w:p>
    <w:p w14:paraId="325217C5" w14:textId="77777777" w:rsidR="00F1725D" w:rsidRDefault="00F1725D" w:rsidP="00F1725D">
      <w:r>
        <w:t>Thus, to ensure proper detection of start delimiter, having a ON/OFF pattern with high/low transition enables the device to identify the presence of start delimiter even in the presence or absence of interference as long as the interference stays constant for a duration of start delimiter. However, having OFF only pattern for start delimiter may not solve the purpose of reliable detection as the device cannot ensure the constant voltage with variations is due to interference or silence. Therefore, having a constant low voltage may not guarantee proper detection when there is interference. During silence period, having a low voltage as start delimiter will force the device to start preamble detection unnecessarily.</w:t>
      </w:r>
    </w:p>
    <w:p w14:paraId="1266ADAC" w14:textId="77777777" w:rsidR="00F1725D" w:rsidRDefault="00F1725D" w:rsidP="00F1725D">
      <w:pPr>
        <w:pStyle w:val="Observation"/>
      </w:pPr>
      <w:bookmarkStart w:id="5" w:name="_Toc181961968"/>
      <w:bookmarkStart w:id="6" w:name="_Toc189822524"/>
      <w:bookmarkStart w:id="7" w:name="_Toc189856904"/>
      <w:bookmarkStart w:id="8" w:name="_Toc189863372"/>
      <w:r>
        <w:t>Start delimiter should be long enough to ensure reliable detection due to large sampling offset observed in the AIoT tag before estimating/correcting from preamble.</w:t>
      </w:r>
      <w:bookmarkEnd w:id="5"/>
      <w:bookmarkEnd w:id="6"/>
      <w:bookmarkEnd w:id="7"/>
      <w:bookmarkEnd w:id="8"/>
    </w:p>
    <w:p w14:paraId="08214F71" w14:textId="77777777" w:rsidR="00F1725D" w:rsidRDefault="00F1725D" w:rsidP="00F1725D">
      <w:pPr>
        <w:pStyle w:val="Proposal"/>
      </w:pPr>
      <w:bookmarkStart w:id="9" w:name="_Toc180742264"/>
      <w:bookmarkStart w:id="10" w:name="_Toc189863390"/>
      <w:r>
        <w:t>RAN1 should ensure start de-limiter to have at least two ON pulses with sufficient width and separation to avoid false activation and to provide enough energy to validate the threshold.</w:t>
      </w:r>
      <w:bookmarkEnd w:id="9"/>
      <w:bookmarkEnd w:id="10"/>
    </w:p>
    <w:p w14:paraId="00F15F1F" w14:textId="45D416AC" w:rsidR="00F1725D" w:rsidRPr="001B2FB1" w:rsidRDefault="009F6FE8" w:rsidP="00F1725D">
      <w:pPr>
        <w:pStyle w:val="Heading4"/>
      </w:pPr>
      <w:r>
        <w:lastRenderedPageBreak/>
        <w:t>Clock acquisition signal</w:t>
      </w:r>
    </w:p>
    <w:p w14:paraId="46DADD29" w14:textId="77777777" w:rsidR="00F1725D" w:rsidRDefault="00F1725D" w:rsidP="00F1725D">
      <w:r w:rsidRPr="001B2FB1">
        <w:t xml:space="preserve">Given the nature of the devices to be read and the agreed topologies, there is no need for periodic synchronization signal transmission. Instead, a preamble-based synchronization is the preferred option, where the preamble is attached to the R2D signal. </w:t>
      </w:r>
      <w:r w:rsidRPr="00E4329F">
        <w:t xml:space="preserve">The preamble serves at least two purposes i.e., that of synchronization and </w:t>
      </w:r>
      <w:r>
        <w:t xml:space="preserve">to provide some knowledge about the channel condition between the reader and the AIoT device. The following agreement was agreed </w:t>
      </w:r>
      <w:r w:rsidRPr="001B2FB1">
        <w:t xml:space="preserve">in </w:t>
      </w:r>
      <w:r>
        <w:t xml:space="preserve">previous RAN1 meeting 118, where the start delimiter is not a part of preamble but will be used before the transmission. </w:t>
      </w:r>
    </w:p>
    <w:tbl>
      <w:tblPr>
        <w:tblStyle w:val="TableGrid"/>
        <w:tblW w:w="0" w:type="auto"/>
        <w:tblLook w:val="04A0" w:firstRow="1" w:lastRow="0" w:firstColumn="1" w:lastColumn="0" w:noHBand="0" w:noVBand="1"/>
      </w:tblPr>
      <w:tblGrid>
        <w:gridCol w:w="9629"/>
      </w:tblGrid>
      <w:tr w:rsidR="00F1725D" w:rsidRPr="00F1725D" w14:paraId="1CD7D31A" w14:textId="77777777" w:rsidTr="0080672C">
        <w:tc>
          <w:tcPr>
            <w:tcW w:w="9629" w:type="dxa"/>
          </w:tcPr>
          <w:p w14:paraId="556350E0" w14:textId="77777777" w:rsidR="00F1725D" w:rsidRPr="00226328" w:rsidRDefault="00F1725D" w:rsidP="0080672C">
            <w:pPr>
              <w:spacing w:after="0"/>
              <w:rPr>
                <w:iCs/>
                <w:lang w:val="en-US" w:eastAsia="zh-CN"/>
              </w:rPr>
            </w:pPr>
            <w:r w:rsidRPr="00226328">
              <w:rPr>
                <w:iCs/>
                <w:highlight w:val="green"/>
                <w:lang w:val="en-US" w:eastAsia="zh-CN"/>
              </w:rPr>
              <w:t>Agreement</w:t>
            </w:r>
          </w:p>
          <w:p w14:paraId="5E2284A7" w14:textId="77777777" w:rsidR="00F1725D" w:rsidRPr="00226328" w:rsidRDefault="00F1725D" w:rsidP="0080672C">
            <w:pPr>
              <w:spacing w:after="0"/>
              <w:rPr>
                <w:iCs/>
                <w:lang w:val="en-US" w:eastAsia="zh-CN"/>
              </w:rPr>
            </w:pPr>
            <w:r w:rsidRPr="00226328">
              <w:rPr>
                <w:iCs/>
                <w:lang w:val="en-US" w:eastAsia="zh-CN"/>
              </w:rPr>
              <w:t>For each D2R transmission, no separate part for start-indicator is considered for the preamble preceding the PDRCH.</w:t>
            </w:r>
          </w:p>
          <w:p w14:paraId="6D47EE5B" w14:textId="77777777" w:rsidR="00F1725D" w:rsidRPr="00226328" w:rsidRDefault="00F1725D" w:rsidP="0080672C">
            <w:pPr>
              <w:spacing w:after="0"/>
              <w:rPr>
                <w:iCs/>
                <w:lang w:val="en-US" w:eastAsia="x-none"/>
              </w:rPr>
            </w:pPr>
            <w:r w:rsidRPr="00226328">
              <w:rPr>
                <w:iCs/>
                <w:highlight w:val="green"/>
                <w:lang w:val="en-US" w:eastAsia="x-none"/>
              </w:rPr>
              <w:t>Agreement</w:t>
            </w:r>
          </w:p>
          <w:p w14:paraId="7B900447" w14:textId="77777777" w:rsidR="00F1725D" w:rsidRPr="00226328" w:rsidRDefault="00F1725D" w:rsidP="0080672C">
            <w:pPr>
              <w:spacing w:after="0"/>
              <w:rPr>
                <w:lang w:val="en-US"/>
              </w:rPr>
            </w:pPr>
            <w:r w:rsidRPr="00226328">
              <w:rPr>
                <w:lang w:val="en-US"/>
              </w:rPr>
              <w:t>For D2R transmission, preamble preceding the PDRCH is studied also for the potential additional functionalities:</w:t>
            </w:r>
          </w:p>
          <w:p w14:paraId="5F01154C" w14:textId="77777777" w:rsidR="00F1725D" w:rsidRPr="00F1725D" w:rsidRDefault="00F1725D" w:rsidP="00F1725D">
            <w:pPr>
              <w:pStyle w:val="owapara"/>
              <w:numPr>
                <w:ilvl w:val="0"/>
                <w:numId w:val="48"/>
              </w:numPr>
              <w:autoSpaceDE w:val="0"/>
              <w:autoSpaceDN w:val="0"/>
              <w:adjustRightInd w:val="0"/>
              <w:snapToGrid w:val="0"/>
              <w:jc w:val="both"/>
              <w:rPr>
                <w:sz w:val="20"/>
                <w:szCs w:val="20"/>
              </w:rPr>
            </w:pPr>
            <w:r w:rsidRPr="00F1725D">
              <w:rPr>
                <w:sz w:val="20"/>
                <w:szCs w:val="20"/>
              </w:rPr>
              <w:t>SFO estimation</w:t>
            </w:r>
          </w:p>
          <w:p w14:paraId="479AE80A" w14:textId="77777777" w:rsidR="00F1725D" w:rsidRPr="00F1725D" w:rsidRDefault="00F1725D" w:rsidP="00F1725D">
            <w:pPr>
              <w:pStyle w:val="owapara"/>
              <w:numPr>
                <w:ilvl w:val="0"/>
                <w:numId w:val="48"/>
              </w:numPr>
              <w:autoSpaceDE w:val="0"/>
              <w:autoSpaceDN w:val="0"/>
              <w:adjustRightInd w:val="0"/>
              <w:snapToGrid w:val="0"/>
              <w:jc w:val="both"/>
              <w:rPr>
                <w:sz w:val="20"/>
                <w:szCs w:val="20"/>
              </w:rPr>
            </w:pPr>
            <w:r w:rsidRPr="00F1725D">
              <w:rPr>
                <w:sz w:val="20"/>
                <w:szCs w:val="20"/>
              </w:rPr>
              <w:t>CFO estimation</w:t>
            </w:r>
          </w:p>
          <w:p w14:paraId="1CC4A2E6" w14:textId="77777777" w:rsidR="00F1725D" w:rsidRPr="00F1725D" w:rsidRDefault="00F1725D" w:rsidP="00F1725D">
            <w:pPr>
              <w:pStyle w:val="owapara"/>
              <w:numPr>
                <w:ilvl w:val="0"/>
                <w:numId w:val="48"/>
              </w:numPr>
              <w:autoSpaceDE w:val="0"/>
              <w:autoSpaceDN w:val="0"/>
              <w:adjustRightInd w:val="0"/>
              <w:snapToGrid w:val="0"/>
              <w:jc w:val="both"/>
              <w:rPr>
                <w:sz w:val="20"/>
                <w:szCs w:val="20"/>
              </w:rPr>
            </w:pPr>
            <w:r w:rsidRPr="00F1725D">
              <w:rPr>
                <w:sz w:val="20"/>
                <w:szCs w:val="20"/>
              </w:rPr>
              <w:t>Channel estimation</w:t>
            </w:r>
          </w:p>
          <w:p w14:paraId="3EAA0E2C" w14:textId="77777777" w:rsidR="00F1725D" w:rsidRPr="00F1725D" w:rsidRDefault="00F1725D" w:rsidP="00F1725D">
            <w:pPr>
              <w:pStyle w:val="owapara"/>
              <w:numPr>
                <w:ilvl w:val="0"/>
                <w:numId w:val="48"/>
              </w:numPr>
              <w:autoSpaceDE w:val="0"/>
              <w:autoSpaceDN w:val="0"/>
              <w:adjustRightInd w:val="0"/>
              <w:snapToGrid w:val="0"/>
              <w:jc w:val="both"/>
              <w:rPr>
                <w:sz w:val="20"/>
                <w:szCs w:val="20"/>
              </w:rPr>
            </w:pPr>
            <w:r w:rsidRPr="00F1725D">
              <w:rPr>
                <w:sz w:val="20"/>
                <w:szCs w:val="20"/>
              </w:rPr>
              <w:t>Interference estimation</w:t>
            </w:r>
          </w:p>
          <w:p w14:paraId="1CEE85CE" w14:textId="77777777" w:rsidR="00F1725D" w:rsidRPr="00226328" w:rsidRDefault="00F1725D" w:rsidP="0080672C">
            <w:pPr>
              <w:spacing w:after="0"/>
              <w:rPr>
                <w:lang w:val="en-US"/>
              </w:rPr>
            </w:pPr>
            <w:r w:rsidRPr="00226328">
              <w:rPr>
                <w:lang w:val="en-US"/>
              </w:rPr>
              <w:t>Note: this does not preclude studying the above functionalities by using a midamble and/or postamble, if supported</w:t>
            </w:r>
          </w:p>
          <w:p w14:paraId="058FDED2" w14:textId="77777777" w:rsidR="00F1725D" w:rsidRPr="00226328" w:rsidRDefault="00F1725D" w:rsidP="0080672C">
            <w:pPr>
              <w:widowControl w:val="0"/>
              <w:overflowPunct/>
              <w:spacing w:after="0"/>
              <w:jc w:val="both"/>
              <w:textAlignment w:val="auto"/>
              <w:rPr>
                <w:lang w:val="en-US"/>
              </w:rPr>
            </w:pPr>
            <w:r w:rsidRPr="00226328">
              <w:rPr>
                <w:lang w:val="en-US"/>
              </w:rPr>
              <w:t>FFS: Other functionalities, if any</w:t>
            </w:r>
          </w:p>
          <w:p w14:paraId="7B63CD7E" w14:textId="77777777" w:rsidR="00F1725D" w:rsidRPr="00226328" w:rsidRDefault="00F1725D" w:rsidP="0080672C">
            <w:pPr>
              <w:pStyle w:val="0Maintext"/>
              <w:ind w:firstLine="400"/>
              <w:rPr>
                <w:lang w:val="en-US" w:eastAsia="zh-CN"/>
              </w:rPr>
            </w:pPr>
            <w:r w:rsidRPr="00226328">
              <w:rPr>
                <w:highlight w:val="green"/>
                <w:lang w:val="en-US" w:eastAsia="zh-CN"/>
              </w:rPr>
              <w:t>Agreement</w:t>
            </w:r>
          </w:p>
          <w:p w14:paraId="3ECF453F" w14:textId="77777777" w:rsidR="00F1725D" w:rsidRPr="00226328" w:rsidRDefault="00F1725D" w:rsidP="0080672C">
            <w:pPr>
              <w:spacing w:after="0"/>
              <w:rPr>
                <w:color w:val="000000"/>
                <w:lang w:val="en-US"/>
              </w:rPr>
            </w:pPr>
            <w:r w:rsidRPr="00226328">
              <w:rPr>
                <w:color w:val="000000"/>
                <w:lang w:val="en-US"/>
              </w:rPr>
              <w:t>For the clock-acquisition part of the R2D time acquisition signal for OOK chip duration determination, following options are studied:</w:t>
            </w:r>
          </w:p>
          <w:p w14:paraId="30A06013" w14:textId="77777777" w:rsidR="00F1725D" w:rsidRPr="00226328" w:rsidRDefault="00F1725D" w:rsidP="00F1725D">
            <w:pPr>
              <w:pStyle w:val="ListParagraph"/>
              <w:numPr>
                <w:ilvl w:val="0"/>
                <w:numId w:val="47"/>
              </w:numPr>
              <w:autoSpaceDE w:val="0"/>
              <w:autoSpaceDN w:val="0"/>
              <w:adjustRightInd w:val="0"/>
              <w:snapToGrid w:val="0"/>
              <w:jc w:val="both"/>
              <w:rPr>
                <w:color w:val="000000"/>
                <w:szCs w:val="20"/>
                <w:lang w:val="en-US"/>
              </w:rPr>
            </w:pPr>
            <w:r w:rsidRPr="00226328">
              <w:rPr>
                <w:color w:val="000000"/>
                <w:szCs w:val="20"/>
                <w:lang w:val="en-US"/>
              </w:rPr>
              <w:t>Option 1: Duration of the clock-acquisition part is variable for different M values, i.e. the duration becomes shorter with increasing value of M</w:t>
            </w:r>
          </w:p>
          <w:p w14:paraId="139278BF" w14:textId="77777777" w:rsidR="00F1725D" w:rsidRPr="00226328" w:rsidRDefault="00F1725D" w:rsidP="00F1725D">
            <w:pPr>
              <w:pStyle w:val="ListParagraph"/>
              <w:numPr>
                <w:ilvl w:val="0"/>
                <w:numId w:val="47"/>
              </w:numPr>
              <w:autoSpaceDE w:val="0"/>
              <w:autoSpaceDN w:val="0"/>
              <w:adjustRightInd w:val="0"/>
              <w:snapToGrid w:val="0"/>
              <w:jc w:val="both"/>
              <w:rPr>
                <w:color w:val="000000"/>
                <w:szCs w:val="20"/>
                <w:lang w:val="en-US"/>
              </w:rPr>
            </w:pPr>
            <w:r w:rsidRPr="00226328">
              <w:rPr>
                <w:color w:val="000000"/>
                <w:szCs w:val="20"/>
                <w:lang w:val="en-US"/>
              </w:rPr>
              <w:t>Option 2: Duration of the clock-acquisition part is constant for different M values based on repetition, i.e. repetition factor is increased with increasing value of M to keep the duration constant</w:t>
            </w:r>
          </w:p>
          <w:p w14:paraId="752EE192" w14:textId="77777777" w:rsidR="00F1725D" w:rsidRPr="00226328" w:rsidRDefault="00F1725D" w:rsidP="00F1725D">
            <w:pPr>
              <w:pStyle w:val="ListParagraph"/>
              <w:numPr>
                <w:ilvl w:val="0"/>
                <w:numId w:val="47"/>
              </w:numPr>
              <w:autoSpaceDE w:val="0"/>
              <w:autoSpaceDN w:val="0"/>
              <w:adjustRightInd w:val="0"/>
              <w:snapToGrid w:val="0"/>
              <w:jc w:val="both"/>
              <w:rPr>
                <w:color w:val="000000"/>
                <w:szCs w:val="20"/>
                <w:lang w:val="en-US"/>
              </w:rPr>
            </w:pPr>
            <w:r w:rsidRPr="00226328">
              <w:rPr>
                <w:color w:val="000000"/>
                <w:szCs w:val="20"/>
                <w:lang w:val="en-US"/>
              </w:rPr>
              <w:t>FFS: Whether/what restriction on M values for the clock-acquisition part</w:t>
            </w:r>
          </w:p>
          <w:p w14:paraId="229081FF" w14:textId="77777777" w:rsidR="00F1725D" w:rsidRPr="00226328" w:rsidRDefault="00F1725D" w:rsidP="0080672C">
            <w:pPr>
              <w:spacing w:after="0"/>
              <w:rPr>
                <w:color w:val="000000"/>
                <w:lang w:val="en-US"/>
              </w:rPr>
            </w:pPr>
            <w:r w:rsidRPr="00226328">
              <w:rPr>
                <w:color w:val="000000"/>
                <w:lang w:val="en-US"/>
              </w:rPr>
              <w:t xml:space="preserve">Note: Other functionalities of clock-acquisition part </w:t>
            </w:r>
            <w:proofErr w:type="gramStart"/>
            <w:r w:rsidRPr="00226328">
              <w:rPr>
                <w:color w:val="000000"/>
                <w:lang w:val="en-US"/>
              </w:rPr>
              <w:t>is</w:t>
            </w:r>
            <w:proofErr w:type="gramEnd"/>
            <w:r w:rsidRPr="00226328">
              <w:rPr>
                <w:color w:val="000000"/>
                <w:lang w:val="en-US"/>
              </w:rPr>
              <w:t xml:space="preserve"> a separate discussion</w:t>
            </w:r>
          </w:p>
        </w:tc>
      </w:tr>
    </w:tbl>
    <w:p w14:paraId="1ECA6084" w14:textId="77777777" w:rsidR="00F1725D" w:rsidRDefault="00F1725D" w:rsidP="00F1725D">
      <w:pPr>
        <w:pStyle w:val="BodyText"/>
        <w:keepNext/>
        <w:overflowPunct/>
        <w:autoSpaceDE/>
        <w:autoSpaceDN/>
        <w:adjustRightInd/>
        <w:spacing w:before="240" w:after="0"/>
        <w:textAlignment w:val="auto"/>
      </w:pPr>
      <w:r w:rsidRPr="001B2FB1">
        <w:t xml:space="preserve">The preamble is a known sequence that is used by the </w:t>
      </w:r>
      <w:r>
        <w:t xml:space="preserve">AIoT </w:t>
      </w:r>
      <w:r w:rsidRPr="001B2FB1">
        <w:t xml:space="preserve">tag </w:t>
      </w:r>
      <w:r>
        <w:t xml:space="preserve">upon activation </w:t>
      </w:r>
      <w:r w:rsidRPr="001B2FB1">
        <w:t xml:space="preserve">to obtain the synchronization by determining the start of a transmission, i.e., identifying the frame boundary. </w:t>
      </w:r>
      <w:r>
        <w:t>The AIoT tag must perform a sequence correlation with a known preamble sequence and determine the peak to obtain the timing of PRDCH receptions. The use Manchester coding is subjected to the synchronization accuracy and the quality of autocorrelation from the resulting sequence correlation.</w:t>
      </w:r>
    </w:p>
    <w:p w14:paraId="7D670D04" w14:textId="77777777" w:rsidR="00705130" w:rsidRDefault="00F1725D" w:rsidP="00705130">
      <w:pPr>
        <w:pStyle w:val="BodyText"/>
        <w:keepNext/>
        <w:overflowPunct/>
        <w:autoSpaceDE/>
        <w:autoSpaceDN/>
        <w:adjustRightInd/>
        <w:spacing w:before="240" w:after="0"/>
        <w:jc w:val="center"/>
        <w:textAlignment w:val="auto"/>
      </w:pPr>
      <w:r>
        <w:rPr>
          <w:noProof/>
        </w:rPr>
        <w:drawing>
          <wp:inline distT="0" distB="0" distL="0" distR="0" wp14:anchorId="5584AA9B" wp14:editId="770FDD17">
            <wp:extent cx="3957955" cy="557329"/>
            <wp:effectExtent l="0" t="0" r="0" b="0"/>
            <wp:docPr id="1244279188"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279188" name="Picture 5" descr="A black background with a black square&#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7223" cy="560042"/>
                    </a:xfrm>
                    <a:prstGeom prst="rect">
                      <a:avLst/>
                    </a:prstGeom>
                    <a:noFill/>
                  </pic:spPr>
                </pic:pic>
              </a:graphicData>
            </a:graphic>
          </wp:inline>
        </w:drawing>
      </w:r>
    </w:p>
    <w:p w14:paraId="54E57A26" w14:textId="1CBD41CA" w:rsidR="00F1725D" w:rsidRDefault="00705130" w:rsidP="00226328">
      <w:pPr>
        <w:pStyle w:val="Caption"/>
        <w:jc w:val="center"/>
      </w:pPr>
      <w:r>
        <w:t xml:space="preserve">Fig. </w:t>
      </w:r>
      <w:r>
        <w:fldChar w:fldCharType="begin"/>
      </w:r>
      <w:r>
        <w:instrText xml:space="preserve"> SEQ Fig. \* ARABIC </w:instrText>
      </w:r>
      <w:r>
        <w:fldChar w:fldCharType="separate"/>
      </w:r>
      <w:r w:rsidR="0039394E">
        <w:rPr>
          <w:noProof/>
        </w:rPr>
        <w:t>2</w:t>
      </w:r>
      <w:r>
        <w:fldChar w:fldCharType="end"/>
      </w:r>
      <w:r>
        <w:t xml:space="preserve"> </w:t>
      </w:r>
      <w:r w:rsidRPr="002768CC">
        <w:t>Clock acquisition signal design with or without Manchester encoding</w:t>
      </w:r>
    </w:p>
    <w:p w14:paraId="5DB54DEC" w14:textId="77777777" w:rsidR="00E80DDA" w:rsidRDefault="00F508AF" w:rsidP="00F1725D">
      <w:pPr>
        <w:pStyle w:val="BodyText"/>
        <w:keepNext/>
        <w:overflowPunct/>
        <w:autoSpaceDE/>
        <w:autoSpaceDN/>
        <w:adjustRightInd/>
        <w:spacing w:after="0"/>
        <w:textAlignment w:val="auto"/>
      </w:pPr>
      <w:r>
        <w:t xml:space="preserve">Once the start delimiter is detected and the device is in </w:t>
      </w:r>
      <w:r w:rsidR="00962925">
        <w:t>active mode to detect the preamble or clock acquisition signal, t</w:t>
      </w:r>
      <w:r w:rsidR="00F1725D">
        <w:t xml:space="preserve">he need for Manchester encoding on preamble sequence is not imperative unlike the payload, which is detected bit by bit. </w:t>
      </w:r>
    </w:p>
    <w:p w14:paraId="51797D28" w14:textId="340BC3E9" w:rsidR="00644362" w:rsidRDefault="00E80DDA" w:rsidP="00F1725D">
      <w:pPr>
        <w:pStyle w:val="BodyText"/>
        <w:keepNext/>
        <w:overflowPunct/>
        <w:autoSpaceDE/>
        <w:autoSpaceDN/>
        <w:adjustRightInd/>
        <w:spacing w:after="0"/>
        <w:textAlignment w:val="auto"/>
      </w:pPr>
      <w:r>
        <w:t xml:space="preserve">Unlike RFID, which use a sequence of alternating 1’s and 0’s of length 16, </w:t>
      </w:r>
      <w:r w:rsidR="00F1725D">
        <w:t xml:space="preserve">the preamble detection is typically performed as a sequence correlation, it is essential to design the sequence robust against all receiver impairments, such as, frequency and sampling frequency offsets. The timing estimation is the primary target of preamble sequence, and thus the preamble sequence must demonstrate better autocorrelation properties. Thus, to satisfy the above properties, such as, balanced number of ones and zeros to aid AGC tuning and threshold determination together with better autocorrelation properties, </w:t>
      </w:r>
      <w:r w:rsidR="00F1725D" w:rsidRPr="001F451B">
        <w:rPr>
          <w:i/>
          <w:iCs/>
        </w:rPr>
        <w:t>“m-sequence”</w:t>
      </w:r>
      <w:r w:rsidR="00F1725D">
        <w:rPr>
          <w:i/>
          <w:iCs/>
        </w:rPr>
        <w:t xml:space="preserve"> </w:t>
      </w:r>
      <w:r w:rsidR="00F1725D" w:rsidRPr="001F451B">
        <w:t>family of sequences can be considered</w:t>
      </w:r>
      <w:r w:rsidR="00F1725D">
        <w:rPr>
          <w:i/>
          <w:iCs/>
        </w:rPr>
        <w:t>.</w:t>
      </w:r>
      <w:r w:rsidR="00F1725D">
        <w:t xml:space="preserve"> </w:t>
      </w:r>
    </w:p>
    <w:p w14:paraId="79F867E2" w14:textId="77777777" w:rsidR="00F1725D" w:rsidRPr="000A443D" w:rsidRDefault="00F1725D" w:rsidP="00F1725D">
      <w:pPr>
        <w:pStyle w:val="Observation"/>
      </w:pPr>
      <w:bookmarkStart w:id="11" w:name="_Toc181961969"/>
      <w:bookmarkStart w:id="12" w:name="_Toc189822525"/>
      <w:bookmarkStart w:id="13" w:name="_Toc189856905"/>
      <w:bookmarkStart w:id="14" w:name="_Toc189863373"/>
      <w:r w:rsidRPr="000A443D">
        <w:t>Preamble sequences must have better autocorrelation properties to obtain better timing accuracy even with large sampling offset.</w:t>
      </w:r>
      <w:bookmarkEnd w:id="11"/>
      <w:bookmarkEnd w:id="12"/>
      <w:bookmarkEnd w:id="13"/>
      <w:bookmarkEnd w:id="14"/>
    </w:p>
    <w:p w14:paraId="6ED401C7" w14:textId="77777777" w:rsidR="00F1725D" w:rsidRDefault="00F1725D" w:rsidP="00F1725D">
      <w:pPr>
        <w:pStyle w:val="Observation"/>
      </w:pPr>
      <w:bookmarkStart w:id="15" w:name="_Toc181961971"/>
      <w:bookmarkStart w:id="16" w:name="_Toc189822526"/>
      <w:bookmarkStart w:id="17" w:name="_Toc189856906"/>
      <w:bookmarkStart w:id="18" w:name="_Toc189863374"/>
      <w:r>
        <w:t>Increasing the value of M limits the coverage of transmission but improves the timing accuracy.</w:t>
      </w:r>
      <w:bookmarkEnd w:id="15"/>
      <w:bookmarkEnd w:id="16"/>
      <w:bookmarkEnd w:id="17"/>
      <w:bookmarkEnd w:id="18"/>
      <w:r>
        <w:t xml:space="preserve"> </w:t>
      </w:r>
    </w:p>
    <w:p w14:paraId="565511BF" w14:textId="77777777" w:rsidR="00F1725D" w:rsidRDefault="00F1725D" w:rsidP="00F1725D">
      <w:pPr>
        <w:pStyle w:val="Observation"/>
      </w:pPr>
      <w:bookmarkStart w:id="19" w:name="_Toc181961972"/>
      <w:bookmarkStart w:id="20" w:name="_Toc189822527"/>
      <w:bookmarkStart w:id="21" w:name="_Toc189856907"/>
      <w:bookmarkStart w:id="22" w:name="_Toc189863375"/>
      <w:r>
        <w:t>Increasing the value of M, while retaining the same transmission duration, improves the auto-/cross- correlation properties of the sequence due to increase in sequence length.</w:t>
      </w:r>
      <w:bookmarkEnd w:id="19"/>
      <w:bookmarkEnd w:id="20"/>
      <w:bookmarkEnd w:id="21"/>
      <w:bookmarkEnd w:id="22"/>
    </w:p>
    <w:p w14:paraId="1896C04E" w14:textId="77777777" w:rsidR="00F1725D" w:rsidRDefault="00F1725D" w:rsidP="00F1725D">
      <w:pPr>
        <w:pStyle w:val="Proposal"/>
      </w:pPr>
      <w:bookmarkStart w:id="23" w:name="_Toc180742265"/>
      <w:bookmarkStart w:id="24" w:name="_Toc189863391"/>
      <w:r>
        <w:t>Consider fixed transmission duration irrespective of the value of M, i.e., option 2 is preferrable.</w:t>
      </w:r>
      <w:bookmarkEnd w:id="23"/>
      <w:bookmarkEnd w:id="24"/>
    </w:p>
    <w:p w14:paraId="07B69380" w14:textId="56AFE306" w:rsidR="0066107A" w:rsidRDefault="0066107A" w:rsidP="0066107A">
      <w:r>
        <w:lastRenderedPageBreak/>
        <w:t xml:space="preserve">Even though Manchester encoding is not needed for preamble sequence, </w:t>
      </w:r>
      <w:r w:rsidR="00D45CAF">
        <w:t xml:space="preserve">the sequence design must ensure that equal number of 1’s and 0’s should be </w:t>
      </w:r>
      <w:r w:rsidR="005F7C01">
        <w:t xml:space="preserve">available within an OFDM symbol as the generation of preamble from reader (e.g., gNB) </w:t>
      </w:r>
      <w:r w:rsidR="00A7578F">
        <w:t xml:space="preserve">uses OOK4 type of generation. Due to DFT based generation, the power within each symbol will be constant, and therefore if there is unbalanced number of 0’s and 1’s within OFDM symbol, </w:t>
      </w:r>
      <w:r w:rsidR="00D1306B">
        <w:t>few ON duration may carry different power</w:t>
      </w:r>
      <w:r w:rsidR="0084008C">
        <w:t xml:space="preserve"> than the remaining due to per symbol power constraint.</w:t>
      </w:r>
      <w:r w:rsidR="00664F1B">
        <w:t xml:space="preserve"> This is illustrated in </w:t>
      </w:r>
    </w:p>
    <w:p w14:paraId="1314A6CC" w14:textId="77777777" w:rsidR="00402AC6" w:rsidRDefault="00402AC6" w:rsidP="00402AC6">
      <w:pPr>
        <w:keepNext/>
        <w:jc w:val="center"/>
      </w:pPr>
      <w:r w:rsidRPr="00634AD6">
        <w:rPr>
          <w:iCs/>
          <w:noProof/>
        </w:rPr>
        <w:drawing>
          <wp:inline distT="0" distB="0" distL="0" distR="0" wp14:anchorId="2CADCD7F" wp14:editId="22B13C08">
            <wp:extent cx="5221705" cy="2343701"/>
            <wp:effectExtent l="0" t="0" r="0" b="0"/>
            <wp:docPr id="1725659307"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659307" name="Picture 1" descr="A diagram of a graph&#10;&#10;Description automatically generated with medium confidence"/>
                    <pic:cNvPicPr/>
                  </pic:nvPicPr>
                  <pic:blipFill rotWithShape="1">
                    <a:blip r:embed="rId13"/>
                    <a:srcRect l="8907" t="3114" r="8777" b="2167"/>
                    <a:stretch/>
                  </pic:blipFill>
                  <pic:spPr bwMode="auto">
                    <a:xfrm>
                      <a:off x="0" y="0"/>
                      <a:ext cx="5230340" cy="2347577"/>
                    </a:xfrm>
                    <a:prstGeom prst="rect">
                      <a:avLst/>
                    </a:prstGeom>
                    <a:ln>
                      <a:noFill/>
                    </a:ln>
                    <a:extLst>
                      <a:ext uri="{53640926-AAD7-44D8-BBD7-CCE9431645EC}">
                        <a14:shadowObscured xmlns:a14="http://schemas.microsoft.com/office/drawing/2010/main"/>
                      </a:ext>
                    </a:extLst>
                  </pic:spPr>
                </pic:pic>
              </a:graphicData>
            </a:graphic>
          </wp:inline>
        </w:drawing>
      </w:r>
    </w:p>
    <w:p w14:paraId="4FB20F54" w14:textId="1E9A00D3" w:rsidR="00402AC6" w:rsidRDefault="00402AC6" w:rsidP="00A56658">
      <w:pPr>
        <w:pStyle w:val="Caption"/>
        <w:jc w:val="center"/>
      </w:pPr>
      <w:r>
        <w:t xml:space="preserve">Fig. </w:t>
      </w:r>
      <w:r>
        <w:fldChar w:fldCharType="begin"/>
      </w:r>
      <w:r>
        <w:instrText xml:space="preserve"> SEQ Fig. \* ARABIC </w:instrText>
      </w:r>
      <w:r>
        <w:fldChar w:fldCharType="separate"/>
      </w:r>
      <w:r w:rsidR="0039394E">
        <w:rPr>
          <w:noProof/>
        </w:rPr>
        <w:t>3</w:t>
      </w:r>
      <w:r>
        <w:fldChar w:fldCharType="end"/>
      </w:r>
      <w:r>
        <w:t xml:space="preserve"> </w:t>
      </w:r>
      <w:r w:rsidRPr="00625CF0">
        <w:t xml:space="preserve">Time domain </w:t>
      </w:r>
      <w:r>
        <w:t>OOK4</w:t>
      </w:r>
      <w:r w:rsidRPr="00625CF0">
        <w:t xml:space="preserve"> observation with and without Manchester encoding</w:t>
      </w:r>
      <w:r w:rsidR="00163030">
        <w:t xml:space="preserve"> for M=4</w:t>
      </w:r>
    </w:p>
    <w:p w14:paraId="534834C2" w14:textId="2F32B000" w:rsidR="0080384E" w:rsidRDefault="0080384E" w:rsidP="0080384E">
      <w:pPr>
        <w:pStyle w:val="Observation"/>
      </w:pPr>
      <w:bookmarkStart w:id="25" w:name="_Toc178681258"/>
      <w:bookmarkStart w:id="26" w:name="_Toc178870147"/>
      <w:bookmarkStart w:id="27" w:name="_Toc178892174"/>
      <w:bookmarkStart w:id="28" w:name="_Toc178949055"/>
      <w:bookmarkStart w:id="29" w:name="_Toc178949761"/>
      <w:bookmarkStart w:id="30" w:name="_Toc189056919"/>
      <w:bookmarkStart w:id="31" w:name="_Toc189564297"/>
      <w:bookmarkStart w:id="32" w:name="_Toc189575879"/>
      <w:bookmarkStart w:id="33" w:name="_Toc189641667"/>
      <w:bookmarkStart w:id="34" w:name="_Toc189644813"/>
      <w:bookmarkStart w:id="35" w:name="_Toc189645091"/>
      <w:bookmarkStart w:id="36" w:name="_Toc189816658"/>
      <w:bookmarkStart w:id="37" w:name="_Toc189822528"/>
      <w:bookmarkStart w:id="38" w:name="_Toc189856908"/>
      <w:bookmarkStart w:id="39" w:name="_Toc189863376"/>
      <w:r w:rsidRPr="0080384E">
        <w:t xml:space="preserve">RAN1 to consider designing </w:t>
      </w:r>
      <w:r w:rsidR="00664F1B">
        <w:t xml:space="preserve">preamble </w:t>
      </w:r>
      <w:r w:rsidRPr="0080384E">
        <w:t>by ensuring uniform distribution of 1’s and 0’s and further consider equal number of 0’s and 1’s</w:t>
      </w:r>
      <w:bookmarkEnd w:id="25"/>
      <w:bookmarkEnd w:id="26"/>
      <w:bookmarkEnd w:id="27"/>
      <w:bookmarkEnd w:id="28"/>
      <w:bookmarkEnd w:id="29"/>
      <w:r w:rsidRPr="0080384E">
        <w:t xml:space="preserve"> within an OFDM symbol for </w:t>
      </w:r>
      <m:oMath>
        <m:r>
          <w:rPr>
            <w:rFonts w:ascii="Cambria Math" w:hAnsi="Cambria Math"/>
          </w:rPr>
          <m:t>M&gt;1</m:t>
        </m:r>
      </m:oMath>
      <w:r w:rsidRPr="0080384E">
        <w:t>.</w:t>
      </w:r>
      <w:bookmarkEnd w:id="30"/>
      <w:bookmarkEnd w:id="31"/>
      <w:bookmarkEnd w:id="32"/>
      <w:bookmarkEnd w:id="33"/>
      <w:bookmarkEnd w:id="34"/>
      <w:bookmarkEnd w:id="35"/>
      <w:bookmarkEnd w:id="36"/>
      <w:bookmarkEnd w:id="37"/>
      <w:bookmarkEnd w:id="38"/>
      <w:bookmarkEnd w:id="39"/>
    </w:p>
    <w:p w14:paraId="60610498" w14:textId="6BE778CC" w:rsidR="002E76D1" w:rsidRPr="0080384E" w:rsidRDefault="00520814" w:rsidP="00226328">
      <w:pPr>
        <w:pStyle w:val="Proposal"/>
      </w:pPr>
      <w:bookmarkStart w:id="40" w:name="_Toc189863392"/>
      <w:r>
        <w:rPr>
          <w:i w:val="0"/>
          <w:iCs/>
        </w:rPr>
        <w:t xml:space="preserve">RAN1 must ensure equal number of 1’s and 0’s within each OFDM symbol to ensure uniform power </w:t>
      </w:r>
      <w:r w:rsidR="007C1DDC">
        <w:rPr>
          <w:i w:val="0"/>
          <w:iCs/>
        </w:rPr>
        <w:t>level of all ON symbols</w:t>
      </w:r>
      <w:r w:rsidR="00C77131">
        <w:rPr>
          <w:i w:val="0"/>
          <w:iCs/>
        </w:rPr>
        <w:t xml:space="preserve"> due to total power constraint within each OFDM symbol</w:t>
      </w:r>
      <w:r w:rsidR="007C1DDC">
        <w:rPr>
          <w:i w:val="0"/>
          <w:iCs/>
        </w:rPr>
        <w:t>.</w:t>
      </w:r>
      <w:bookmarkEnd w:id="40"/>
    </w:p>
    <w:p w14:paraId="6A5C23BC" w14:textId="77777777" w:rsidR="00F1725D" w:rsidRDefault="00F1725D" w:rsidP="00F1725D">
      <w:pPr>
        <w:rPr>
          <w:lang w:val="en-US"/>
        </w:rPr>
      </w:pPr>
      <w:r>
        <w:rPr>
          <w:lang w:val="en-US"/>
        </w:rPr>
        <w:t xml:space="preserve">To evaluate the impact of preamble length on the timing estimation accuracy, we considered preamble sequence design with </w:t>
      </w:r>
      <m:oMath>
        <m:r>
          <w:rPr>
            <w:rFonts w:ascii="Cambria Math" w:hAnsi="Cambria Math"/>
            <w:lang w:val="en-US"/>
          </w:rPr>
          <m:t>L={8,16,24,32,48,64}</m:t>
        </m:r>
      </m:oMath>
      <w:r>
        <w:rPr>
          <w:lang w:val="en-US"/>
        </w:rPr>
        <w:t xml:space="preserve"> using </w:t>
      </w:r>
      <w:r w:rsidRPr="001F451B">
        <w:rPr>
          <w:i/>
          <w:iCs/>
          <w:lang w:val="en-US"/>
        </w:rPr>
        <w:t>“m-sequ</w:t>
      </w:r>
      <w:r>
        <w:rPr>
          <w:i/>
          <w:iCs/>
          <w:lang w:val="en-US"/>
        </w:rPr>
        <w:t>e</w:t>
      </w:r>
      <w:r w:rsidRPr="001F451B">
        <w:rPr>
          <w:i/>
          <w:iCs/>
          <w:lang w:val="en-US"/>
        </w:rPr>
        <w:t>nce”</w:t>
      </w:r>
      <w:r>
        <w:rPr>
          <w:lang w:val="en-US"/>
        </w:rPr>
        <w:t xml:space="preserve"> without Manchester encoding. The channel used is “TDLA30ns” with </w:t>
      </w:r>
      <m:oMath>
        <m:r>
          <w:rPr>
            <w:rFonts w:ascii="Cambria Math" w:hAnsi="Cambria Math"/>
            <w:lang w:val="en-US"/>
          </w:rPr>
          <m:t>1.44</m:t>
        </m:r>
        <m:r>
          <m:rPr>
            <m:sty m:val="p"/>
          </m:rPr>
          <w:rPr>
            <w:rFonts w:ascii="Cambria Math" w:hAnsi="Cambria Math"/>
            <w:lang w:val="en-US"/>
          </w:rPr>
          <m:t>MHz</m:t>
        </m:r>
      </m:oMath>
      <w:r>
        <w:rPr>
          <w:iCs/>
          <w:lang w:val="en-US"/>
        </w:rPr>
        <w:t xml:space="preserve"> transmission BW and </w:t>
      </w:r>
      <m:oMath>
        <m:r>
          <w:rPr>
            <w:rFonts w:ascii="Cambria Math" w:hAnsi="Cambria Math"/>
            <w:lang w:val="en-US"/>
          </w:rPr>
          <m:t>1.92</m:t>
        </m:r>
        <m:r>
          <m:rPr>
            <m:sty m:val="p"/>
          </m:rPr>
          <w:rPr>
            <w:rFonts w:ascii="Cambria Math" w:hAnsi="Cambria Math"/>
            <w:lang w:val="en-US"/>
          </w:rPr>
          <m:t>MHz</m:t>
        </m:r>
      </m:oMath>
      <w:r>
        <w:rPr>
          <w:lang w:val="en-US"/>
        </w:rPr>
        <w:t xml:space="preserve"> occupied BW and sampling rate of the AIoT device. The “m-sequence” is generated with the respective polynomial of same degree to ensure equal number of 1’s and 0’s to aid AGC tuning if used. The comparison is drawn with sampling offsets </w:t>
      </w:r>
      <m:oMath>
        <m:r>
          <w:rPr>
            <w:rFonts w:ascii="Cambria Math" w:hAnsi="Cambria Math"/>
            <w:lang w:val="en-US"/>
          </w:rPr>
          <m:t xml:space="preserve">{0,100} </m:t>
        </m:r>
      </m:oMath>
      <w:r>
        <w:rPr>
          <w:lang w:val="en-US"/>
        </w:rPr>
        <w:t xml:space="preserve">ppm and at SNR of </w:t>
      </w:r>
      <m:oMath>
        <m:r>
          <w:rPr>
            <w:rFonts w:ascii="Cambria Math" w:hAnsi="Cambria Math"/>
            <w:lang w:val="en-US"/>
          </w:rPr>
          <m:t>{3,9}</m:t>
        </m:r>
      </m:oMath>
      <w:r>
        <w:rPr>
          <w:lang w:val="en-US"/>
        </w:rPr>
        <w:t>dB.</w:t>
      </w:r>
    </w:p>
    <w:tbl>
      <w:tblPr>
        <w:tblStyle w:val="TableGrid"/>
        <w:tblW w:w="9863" w:type="dxa"/>
        <w:tblLook w:val="04A0" w:firstRow="1" w:lastRow="0" w:firstColumn="1" w:lastColumn="0" w:noHBand="0" w:noVBand="1"/>
      </w:tblPr>
      <w:tblGrid>
        <w:gridCol w:w="4957"/>
        <w:gridCol w:w="4906"/>
      </w:tblGrid>
      <w:tr w:rsidR="00F1725D" w:rsidRPr="00FB0CE3" w14:paraId="5DEF99A9" w14:textId="77777777" w:rsidTr="00226328">
        <w:trPr>
          <w:trHeight w:val="3945"/>
        </w:trPr>
        <w:tc>
          <w:tcPr>
            <w:tcW w:w="4957" w:type="dxa"/>
          </w:tcPr>
          <w:p w14:paraId="27181E76" w14:textId="77777777" w:rsidR="00F1725D" w:rsidRPr="001F451B" w:rsidRDefault="00F1725D" w:rsidP="0080672C">
            <w:pPr>
              <w:keepNext/>
              <w:jc w:val="center"/>
              <w:rPr>
                <w:b/>
                <w:bCs/>
                <w:sz w:val="16"/>
                <w:szCs w:val="16"/>
              </w:rPr>
            </w:pPr>
            <w:r w:rsidRPr="001F451B">
              <w:rPr>
                <w:b/>
                <w:bCs/>
                <w:noProof/>
                <w:sz w:val="16"/>
                <w:szCs w:val="16"/>
              </w:rPr>
              <w:drawing>
                <wp:inline distT="0" distB="0" distL="0" distR="0" wp14:anchorId="40668F3E" wp14:editId="3992114B">
                  <wp:extent cx="3010716" cy="2293072"/>
                  <wp:effectExtent l="0" t="0" r="0" b="0"/>
                  <wp:docPr id="1542909730"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09730" name="Picture 1" descr="A graph of different colored bars&#10;&#10;Description automatically generated"/>
                          <pic:cNvPicPr/>
                        </pic:nvPicPr>
                        <pic:blipFill rotWithShape="1">
                          <a:blip r:embed="rId14"/>
                          <a:srcRect l="7055" t="6953" r="8601" b="7390"/>
                          <a:stretch/>
                        </pic:blipFill>
                        <pic:spPr bwMode="auto">
                          <a:xfrm>
                            <a:off x="0" y="0"/>
                            <a:ext cx="3040611" cy="2315841"/>
                          </a:xfrm>
                          <a:prstGeom prst="rect">
                            <a:avLst/>
                          </a:prstGeom>
                          <a:ln>
                            <a:noFill/>
                          </a:ln>
                          <a:extLst>
                            <a:ext uri="{53640926-AAD7-44D8-BBD7-CCE9431645EC}">
                              <a14:shadowObscured xmlns:a14="http://schemas.microsoft.com/office/drawing/2010/main"/>
                            </a:ext>
                          </a:extLst>
                        </pic:spPr>
                      </pic:pic>
                    </a:graphicData>
                  </a:graphic>
                </wp:inline>
              </w:drawing>
            </w:r>
            <w:r w:rsidRPr="001F451B">
              <w:rPr>
                <w:b/>
                <w:bCs/>
                <w:sz w:val="16"/>
                <w:szCs w:val="16"/>
              </w:rPr>
              <w:t xml:space="preserve">(a) </w:t>
            </w:r>
            <w:r>
              <w:rPr>
                <w:b/>
                <w:bCs/>
                <w:sz w:val="16"/>
                <w:szCs w:val="16"/>
              </w:rPr>
              <w:t xml:space="preserve">90% timing estimate at </w:t>
            </w:r>
            <w:r w:rsidRPr="001F451B">
              <w:rPr>
                <w:b/>
                <w:bCs/>
                <w:sz w:val="16"/>
                <w:szCs w:val="16"/>
              </w:rPr>
              <w:t>SNR of 3dB</w:t>
            </w:r>
          </w:p>
        </w:tc>
        <w:tc>
          <w:tcPr>
            <w:tcW w:w="4906" w:type="dxa"/>
          </w:tcPr>
          <w:p w14:paraId="63556424" w14:textId="77777777" w:rsidR="00F1725D" w:rsidRPr="001F451B" w:rsidRDefault="00F1725D" w:rsidP="00705130">
            <w:pPr>
              <w:keepNext/>
              <w:spacing w:after="0"/>
              <w:jc w:val="center"/>
              <w:rPr>
                <w:b/>
                <w:bCs/>
                <w:sz w:val="16"/>
                <w:szCs w:val="16"/>
              </w:rPr>
            </w:pPr>
            <w:r w:rsidRPr="001F451B">
              <w:rPr>
                <w:b/>
                <w:bCs/>
                <w:noProof/>
                <w:sz w:val="16"/>
                <w:szCs w:val="16"/>
              </w:rPr>
              <w:drawing>
                <wp:inline distT="0" distB="0" distL="0" distR="0" wp14:anchorId="33AE46EF" wp14:editId="3FE40CC0">
                  <wp:extent cx="2978285" cy="2292985"/>
                  <wp:effectExtent l="0" t="0" r="0" b="0"/>
                  <wp:docPr id="315302191"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02191" name="Picture 1" descr="A graph of different colored bars&#10;&#10;Description automatically generated"/>
                          <pic:cNvPicPr/>
                        </pic:nvPicPr>
                        <pic:blipFill rotWithShape="1">
                          <a:blip r:embed="rId15"/>
                          <a:srcRect l="7469" t="7055" r="9119" b="7319"/>
                          <a:stretch/>
                        </pic:blipFill>
                        <pic:spPr bwMode="auto">
                          <a:xfrm>
                            <a:off x="0" y="0"/>
                            <a:ext cx="2999343" cy="2309198"/>
                          </a:xfrm>
                          <a:prstGeom prst="rect">
                            <a:avLst/>
                          </a:prstGeom>
                          <a:ln>
                            <a:noFill/>
                          </a:ln>
                          <a:extLst>
                            <a:ext uri="{53640926-AAD7-44D8-BBD7-CCE9431645EC}">
                              <a14:shadowObscured xmlns:a14="http://schemas.microsoft.com/office/drawing/2010/main"/>
                            </a:ext>
                          </a:extLst>
                        </pic:spPr>
                      </pic:pic>
                    </a:graphicData>
                  </a:graphic>
                </wp:inline>
              </w:drawing>
            </w:r>
            <w:r w:rsidRPr="001F451B">
              <w:rPr>
                <w:b/>
                <w:bCs/>
                <w:sz w:val="16"/>
                <w:szCs w:val="16"/>
              </w:rPr>
              <w:t xml:space="preserve">(b) </w:t>
            </w:r>
            <w:r>
              <w:rPr>
                <w:b/>
                <w:bCs/>
                <w:sz w:val="16"/>
                <w:szCs w:val="16"/>
              </w:rPr>
              <w:t xml:space="preserve">90% timing estimate </w:t>
            </w:r>
            <w:r w:rsidRPr="001F451B">
              <w:rPr>
                <w:b/>
                <w:bCs/>
                <w:sz w:val="16"/>
                <w:szCs w:val="16"/>
              </w:rPr>
              <w:t>SNR of 9dB</w:t>
            </w:r>
          </w:p>
        </w:tc>
      </w:tr>
    </w:tbl>
    <w:p w14:paraId="4BE6C767" w14:textId="755A1160" w:rsidR="00F1725D" w:rsidRDefault="00705130" w:rsidP="00705130">
      <w:pPr>
        <w:pStyle w:val="Caption"/>
        <w:jc w:val="center"/>
      </w:pPr>
      <w:bookmarkStart w:id="41" w:name="_Ref189821652"/>
      <w:r>
        <w:t xml:space="preserve">Fig. </w:t>
      </w:r>
      <w:r>
        <w:fldChar w:fldCharType="begin"/>
      </w:r>
      <w:r>
        <w:instrText xml:space="preserve"> SEQ Fig. \* ARABIC </w:instrText>
      </w:r>
      <w:r>
        <w:fldChar w:fldCharType="separate"/>
      </w:r>
      <w:r w:rsidR="0039394E">
        <w:rPr>
          <w:noProof/>
        </w:rPr>
        <w:t>4</w:t>
      </w:r>
      <w:r>
        <w:fldChar w:fldCharType="end"/>
      </w:r>
      <w:bookmarkEnd w:id="41"/>
      <w:r>
        <w:t xml:space="preserve"> </w:t>
      </w:r>
      <w:r w:rsidRPr="003D4DA5">
        <w:t>Impact SFO on OOK chip rate M and preamble length on timing estimation accuracy.</w:t>
      </w:r>
    </w:p>
    <w:p w14:paraId="2C7C14B4" w14:textId="50474B99" w:rsidR="001005B5" w:rsidRDefault="00705130" w:rsidP="001005B5">
      <w:r>
        <w:fldChar w:fldCharType="begin"/>
      </w:r>
      <w:r>
        <w:instrText xml:space="preserve"> REF _Ref189821652 \h </w:instrText>
      </w:r>
      <w:r>
        <w:fldChar w:fldCharType="separate"/>
      </w:r>
      <w:r w:rsidR="0039394E">
        <w:t xml:space="preserve">Fig. </w:t>
      </w:r>
      <w:r w:rsidR="0039394E">
        <w:rPr>
          <w:noProof/>
        </w:rPr>
        <w:t>4</w:t>
      </w:r>
      <w:r>
        <w:fldChar w:fldCharType="end"/>
      </w:r>
      <w:r w:rsidR="001005B5">
        <w:t xml:space="preserve"> illustrates </w:t>
      </w:r>
      <m:oMath>
        <m:r>
          <w:rPr>
            <w:rFonts w:ascii="Cambria Math" w:hAnsi="Cambria Math"/>
          </w:rPr>
          <m:t xml:space="preserve">90 </m:t>
        </m:r>
      </m:oMath>
      <w:r w:rsidR="001005B5">
        <w:t xml:space="preserve">percentile timing estimation accuracy against the preamble length, OOK chip rate </w:t>
      </w:r>
      <m:oMath>
        <m:r>
          <w:rPr>
            <w:rFonts w:ascii="Cambria Math" w:hAnsi="Cambria Math"/>
          </w:rPr>
          <m:t>M∈{1,2,4,8}</m:t>
        </m:r>
      </m:oMath>
      <w:r w:rsidR="001005B5">
        <w:t xml:space="preserve">, and sampling offsets. In the ideal case, i.e., when SFO is 0ppm, the estimation accuracy improves with the increase in the length </w:t>
      </w:r>
      <w:r w:rsidR="001005B5">
        <w:lastRenderedPageBreak/>
        <w:t xml:space="preserve">of preamble sequence. This is mainly attributed to the processing gain of larger sequence. It is worth noting that the impact of preamble sequence length does not affect the estimation accuracy when the SNR is </w:t>
      </w:r>
      <m:oMath>
        <m:r>
          <w:rPr>
            <w:rFonts w:ascii="Cambria Math" w:hAnsi="Cambria Math"/>
          </w:rPr>
          <m:t>9</m:t>
        </m:r>
        <m:r>
          <m:rPr>
            <m:sty m:val="p"/>
          </m:rPr>
          <w:rPr>
            <w:rFonts w:ascii="Cambria Math" w:hAnsi="Cambria Math"/>
          </w:rPr>
          <m:t>dB</m:t>
        </m:r>
      </m:oMath>
      <w:r w:rsidR="001005B5">
        <w:t xml:space="preserve"> as the noise is negligible.</w:t>
      </w:r>
    </w:p>
    <w:p w14:paraId="2C89EC3A" w14:textId="2F32F54A" w:rsidR="001005B5" w:rsidRPr="001005B5" w:rsidRDefault="001005B5" w:rsidP="00226328">
      <w:r>
        <w:t xml:space="preserve">On the contrary, when the SFO is high, i.e., </w:t>
      </w:r>
      <m:oMath>
        <m:r>
          <w:rPr>
            <w:rFonts w:ascii="Cambria Math" w:hAnsi="Cambria Math"/>
          </w:rPr>
          <m:t>≈100</m:t>
        </m:r>
      </m:oMath>
      <w:r>
        <w:t xml:space="preserve">ppm, the accuracy of estimating timing offset degrades with the increase in the preamble sequence length. This is due to the drift experienced over time, which is quite evident with lower </w:t>
      </w:r>
      <m:oMath>
        <m:r>
          <w:rPr>
            <w:rFonts w:ascii="Cambria Math" w:hAnsi="Cambria Math"/>
          </w:rPr>
          <m:t>M={1,2}</m:t>
        </m:r>
      </m:oMath>
      <w:r>
        <w:t xml:space="preserve"> than with higher </w:t>
      </w:r>
      <m:oMath>
        <m:r>
          <w:rPr>
            <w:rFonts w:ascii="Cambria Math" w:hAnsi="Cambria Math"/>
          </w:rPr>
          <m:t>M</m:t>
        </m:r>
      </m:oMath>
      <w:r>
        <w:t xml:space="preserve"> values. Thus, the preamble sequence length should be designed by considering both OOK </w:t>
      </w:r>
      <m:oMath>
        <m:r>
          <w:rPr>
            <w:rFonts w:ascii="Cambria Math" w:hAnsi="Cambria Math"/>
          </w:rPr>
          <m:t>M</m:t>
        </m:r>
      </m:oMath>
      <w:r>
        <w:t xml:space="preserve"> value and the minimum SFO that must be supported by the sequence design.</w:t>
      </w:r>
    </w:p>
    <w:p w14:paraId="6F7CA08B" w14:textId="77777777" w:rsidR="00F1725D" w:rsidRPr="001B2FB1" w:rsidRDefault="00F1725D" w:rsidP="00F1725D">
      <w:pPr>
        <w:pStyle w:val="Observation"/>
        <w:rPr>
          <w:lang w:eastAsia="en-GB"/>
        </w:rPr>
      </w:pPr>
      <w:bookmarkStart w:id="42" w:name="_Toc181961973"/>
      <w:bookmarkStart w:id="43" w:name="_Toc189822529"/>
      <w:bookmarkStart w:id="44" w:name="_Toc189856909"/>
      <w:bookmarkStart w:id="45" w:name="_Toc189863377"/>
      <w:r>
        <w:t xml:space="preserve">Use of </w:t>
      </w:r>
      <m:oMath>
        <m:r>
          <w:rPr>
            <w:rFonts w:ascii="Cambria Math" w:hAnsi="Cambria Math"/>
          </w:rPr>
          <m:t>M≥4</m:t>
        </m:r>
      </m:oMath>
      <w:r>
        <w:t xml:space="preserve"> provides better timing estimation accuracy even in the presence of SFO as the sequence length spans only over a shorter duration.</w:t>
      </w:r>
      <w:bookmarkEnd w:id="42"/>
      <w:bookmarkEnd w:id="43"/>
      <w:bookmarkEnd w:id="44"/>
      <w:bookmarkEnd w:id="45"/>
      <w:r>
        <w:t xml:space="preserve"> </w:t>
      </w:r>
    </w:p>
    <w:p w14:paraId="1B27E471" w14:textId="77777777" w:rsidR="00F1725D" w:rsidRPr="001B2FB1" w:rsidRDefault="00F1725D" w:rsidP="00F1725D">
      <w:pPr>
        <w:pStyle w:val="Observation"/>
        <w:rPr>
          <w:lang w:eastAsia="en-GB"/>
        </w:rPr>
      </w:pPr>
      <w:bookmarkStart w:id="46" w:name="_Toc181961974"/>
      <w:bookmarkStart w:id="47" w:name="_Toc189822530"/>
      <w:bookmarkStart w:id="48" w:name="_Toc189856910"/>
      <w:bookmarkStart w:id="49" w:name="_Toc189863378"/>
      <w:r>
        <w:t>The length of preamble sequence must be decided considering coverage, timing estimation accuracy, and the robustness against SFO.</w:t>
      </w:r>
      <w:bookmarkEnd w:id="46"/>
      <w:bookmarkEnd w:id="47"/>
      <w:bookmarkEnd w:id="48"/>
      <w:bookmarkEnd w:id="49"/>
    </w:p>
    <w:p w14:paraId="647384E9" w14:textId="77777777" w:rsidR="00F1725D" w:rsidRDefault="00F1725D" w:rsidP="00F1725D">
      <w:pPr>
        <w:pStyle w:val="Proposal"/>
      </w:pPr>
      <w:bookmarkStart w:id="50" w:name="_Toc180742266"/>
      <w:bookmarkStart w:id="51" w:name="_Toc189863393"/>
      <w:r>
        <w:t xml:space="preserve">RAN1 should consider preamble sequence of length in the range of </w:t>
      </w:r>
      <m:oMath>
        <m:r>
          <m:rPr>
            <m:sty m:val="bi"/>
          </m:rPr>
          <w:rPr>
            <w:rFonts w:ascii="Cambria Math" w:hAnsi="Cambria Math"/>
          </w:rPr>
          <m:t>[16,32]</m:t>
        </m:r>
      </m:oMath>
      <w:r>
        <w:t xml:space="preserve"> together with </w:t>
      </w:r>
      <m:oMath>
        <m:r>
          <m:rPr>
            <m:sty m:val="bi"/>
          </m:rPr>
          <w:rPr>
            <w:rFonts w:ascii="Cambria Math" w:hAnsi="Cambria Math"/>
          </w:rPr>
          <m:t>M={4,8}</m:t>
        </m:r>
      </m:oMath>
      <w:r>
        <w:t>.</w:t>
      </w:r>
      <w:bookmarkEnd w:id="50"/>
      <w:bookmarkEnd w:id="51"/>
    </w:p>
    <w:p w14:paraId="3EBED1E2" w14:textId="77777777" w:rsidR="00F1725D" w:rsidRDefault="00F1725D" w:rsidP="00F1725D">
      <w:pPr>
        <w:pStyle w:val="Proposal"/>
      </w:pPr>
      <w:bookmarkStart w:id="52" w:name="_Toc180742267"/>
      <w:bookmarkStart w:id="53" w:name="_Toc189863394"/>
      <w:r>
        <w:t>RAN1 should design preamble based on “m-sequence” as it provides better autocorrelation properties and has balanced number of ones and zeros.</w:t>
      </w:r>
      <w:bookmarkEnd w:id="52"/>
      <w:bookmarkEnd w:id="53"/>
    </w:p>
    <w:p w14:paraId="3986B2E1" w14:textId="77777777" w:rsidR="00F1725D" w:rsidRDefault="00F1725D" w:rsidP="00F1725D">
      <w:r>
        <w:t>The use of preamble to estimate sampling frequency requires multiple preamble correlations and calculating the timing drift at each correlation attempts. However, using a single preamble to determine the sampling offset may not be efficient as the drift observed over a smaller duration cannot provide robust estimate of the sampling offset.</w:t>
      </w:r>
    </w:p>
    <w:p w14:paraId="7F892B2A" w14:textId="77777777" w:rsidR="00F1725D" w:rsidRDefault="00F1725D" w:rsidP="00F1725D">
      <w:pPr>
        <w:pStyle w:val="Observation"/>
      </w:pPr>
      <w:bookmarkStart w:id="54" w:name="_Toc181961975"/>
      <w:bookmarkStart w:id="55" w:name="_Toc189822531"/>
      <w:bookmarkStart w:id="56" w:name="_Toc189856911"/>
      <w:bookmarkStart w:id="57" w:name="_Toc189863379"/>
      <w:r>
        <w:t>If sampling offset can be estimated to a certain extent at AIoT device, it facilitates the support of larger payload sizes without the need of midamble and postamble for resynchronization.</w:t>
      </w:r>
      <w:bookmarkEnd w:id="54"/>
      <w:bookmarkEnd w:id="55"/>
      <w:bookmarkEnd w:id="56"/>
      <w:bookmarkEnd w:id="57"/>
    </w:p>
    <w:p w14:paraId="4C49EAC2" w14:textId="77777777" w:rsidR="00F1725D" w:rsidRDefault="00F1725D" w:rsidP="00F1725D">
      <w:pPr>
        <w:pStyle w:val="Proposal"/>
      </w:pPr>
      <w:bookmarkStart w:id="58" w:name="_Toc180742268"/>
      <w:bookmarkStart w:id="59" w:name="_Toc189863395"/>
      <w:r>
        <w:t>RAN1 should study how preamble can be used to determine sampling frequency offset to support larger payload in PRDCH.</w:t>
      </w:r>
      <w:bookmarkEnd w:id="58"/>
      <w:bookmarkEnd w:id="59"/>
    </w:p>
    <w:p w14:paraId="057ECB32" w14:textId="77777777" w:rsidR="00F1725D" w:rsidRPr="00954CD0" w:rsidRDefault="00F1725D" w:rsidP="00226328">
      <w:pPr>
        <w:rPr>
          <w:lang w:val="en-US"/>
        </w:rPr>
      </w:pPr>
    </w:p>
    <w:p w14:paraId="03F64246" w14:textId="6AA0599D" w:rsidR="00087977" w:rsidRDefault="00087977" w:rsidP="00087977">
      <w:pPr>
        <w:pStyle w:val="Heading3"/>
        <w:rPr>
          <w:lang w:val="en-US"/>
        </w:rPr>
      </w:pPr>
      <w:r>
        <w:rPr>
          <w:lang w:val="en-US"/>
        </w:rPr>
        <w:t>Midamble</w:t>
      </w:r>
    </w:p>
    <w:p w14:paraId="566DABD6" w14:textId="77777777" w:rsidR="00F1725D" w:rsidRDefault="00F1725D" w:rsidP="00F1725D">
      <w:r w:rsidRPr="001B2FB1">
        <w:t xml:space="preserve">RAN1 also discussed the need of a midamble in R2D signal for ensuring that the device remains synchronized with the reader (activator). It is worth noting that the AIoT transmission uses low data rate and may last only for a shorter period. Therefore, impact of sampling frequency offset, which is in the order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Pr="001B2FB1">
        <w:t>ppm, may not</w:t>
      </w:r>
      <w:r>
        <w:t xml:space="preserve"> severely</w:t>
      </w:r>
      <w:r w:rsidRPr="001B2FB1">
        <w:t xml:space="preserve"> degrade the detectability of AIoT device. </w:t>
      </w:r>
    </w:p>
    <w:p w14:paraId="486616CB" w14:textId="77777777" w:rsidR="00F1725D" w:rsidRDefault="00F1725D" w:rsidP="00F1725D">
      <w:r w:rsidRPr="00986DDA">
        <w:rPr>
          <w:rFonts w:cs="Arial"/>
          <w:szCs w:val="22"/>
        </w:rPr>
        <w:t xml:space="preserve">The midamble </w:t>
      </w:r>
      <w:r>
        <w:rPr>
          <w:rFonts w:cs="Arial"/>
          <w:szCs w:val="22"/>
        </w:rPr>
        <w:t>may additionally</w:t>
      </w:r>
      <w:r w:rsidRPr="00986DDA">
        <w:rPr>
          <w:rFonts w:cs="Arial"/>
          <w:szCs w:val="22"/>
        </w:rPr>
        <w:t xml:space="preserve"> help the reader </w:t>
      </w:r>
      <w:r>
        <w:rPr>
          <w:rFonts w:cs="Arial"/>
          <w:szCs w:val="22"/>
        </w:rPr>
        <w:t xml:space="preserve">to </w:t>
      </w:r>
      <w:r w:rsidRPr="00986DDA">
        <w:rPr>
          <w:rFonts w:cs="Arial"/>
          <w:szCs w:val="22"/>
        </w:rPr>
        <w:t xml:space="preserve">estimate the </w:t>
      </w:r>
      <w:r>
        <w:rPr>
          <w:rFonts w:cs="Arial"/>
          <w:szCs w:val="22"/>
        </w:rPr>
        <w:t xml:space="preserve">tag </w:t>
      </w:r>
      <w:r w:rsidRPr="00986DDA">
        <w:rPr>
          <w:rFonts w:cs="Arial"/>
          <w:szCs w:val="22"/>
        </w:rPr>
        <w:t xml:space="preserve">channel and </w:t>
      </w:r>
      <w:r>
        <w:rPr>
          <w:rFonts w:cs="Arial"/>
          <w:szCs w:val="22"/>
        </w:rPr>
        <w:t xml:space="preserve">CW </w:t>
      </w:r>
      <w:r w:rsidRPr="00986DDA">
        <w:rPr>
          <w:rFonts w:cs="Arial"/>
          <w:szCs w:val="22"/>
        </w:rPr>
        <w:t>interference</w:t>
      </w:r>
      <w:r>
        <w:rPr>
          <w:rFonts w:cs="Arial"/>
          <w:szCs w:val="22"/>
        </w:rPr>
        <w:t xml:space="preserve"> (only if the target signal is in each SINR range</w:t>
      </w:r>
      <w:r>
        <w:t xml:space="preserve">) and ease the reader in performing the CW interference prior to detection. </w:t>
      </w:r>
    </w:p>
    <w:p w14:paraId="0F8552B9" w14:textId="77777777" w:rsidR="00F1725D" w:rsidRDefault="00F1725D" w:rsidP="00F1725D">
      <w:pPr>
        <w:pStyle w:val="Observation"/>
      </w:pPr>
      <w:bookmarkStart w:id="60" w:name="_Toc181961977"/>
      <w:bookmarkStart w:id="61" w:name="_Toc189822532"/>
      <w:bookmarkStart w:id="62" w:name="_Toc189856912"/>
      <w:bookmarkStart w:id="63" w:name="_Toc189863380"/>
      <w:r>
        <w:t>As the Manchester encoding is assumed for PRDCH payload, midamble may not be needed as Manchester coding itself is a self-synchronizing sequence.</w:t>
      </w:r>
      <w:bookmarkEnd w:id="60"/>
      <w:bookmarkEnd w:id="61"/>
      <w:bookmarkEnd w:id="62"/>
      <w:bookmarkEnd w:id="63"/>
    </w:p>
    <w:p w14:paraId="08C3490B" w14:textId="77777777" w:rsidR="00F1725D" w:rsidRPr="001B2FB1" w:rsidRDefault="00F1725D" w:rsidP="00F1725D">
      <w:r w:rsidRPr="001B2FB1">
        <w:t>Lastly, a postamble to end the R2D signal reception, was also discussed by many companies in the previous meeting. The use of postamble may not be needed if the length of each R2D transmission uses a fixed length or the size of the payload is indicated by other means, namely, a control signal or by using a unique preamble sequence. This has been captured by the FL summary in one of the proposals presented [1], which is as follows.</w:t>
      </w:r>
    </w:p>
    <w:tbl>
      <w:tblPr>
        <w:tblStyle w:val="TableGrid"/>
        <w:tblW w:w="0" w:type="auto"/>
        <w:tblLook w:val="04A0" w:firstRow="1" w:lastRow="0" w:firstColumn="1" w:lastColumn="0" w:noHBand="0" w:noVBand="1"/>
      </w:tblPr>
      <w:tblGrid>
        <w:gridCol w:w="9629"/>
      </w:tblGrid>
      <w:tr w:rsidR="00F1725D" w:rsidRPr="001B2FB1" w14:paraId="3A0E2118" w14:textId="77777777" w:rsidTr="0080672C">
        <w:tc>
          <w:tcPr>
            <w:tcW w:w="9629" w:type="dxa"/>
          </w:tcPr>
          <w:p w14:paraId="46D5E990" w14:textId="77777777" w:rsidR="00F1725D" w:rsidRPr="00E4329F" w:rsidRDefault="00F1725D" w:rsidP="0080672C">
            <w:pPr>
              <w:spacing w:after="0"/>
              <w:rPr>
                <w:b/>
              </w:rPr>
            </w:pPr>
            <w:r w:rsidRPr="00E4329F">
              <w:rPr>
                <w:b/>
              </w:rPr>
              <w:t xml:space="preserve">For ambient IoT devices, </w:t>
            </w:r>
            <w:r w:rsidRPr="00E4329F">
              <w:rPr>
                <w:b/>
                <w:u w:val="single"/>
              </w:rPr>
              <w:t>consider following options for postamble for downlink transmissions</w:t>
            </w:r>
            <w:r w:rsidRPr="001B2FB1">
              <w:rPr>
                <w:b/>
                <w:bCs/>
                <w:u w:val="single"/>
              </w:rPr>
              <w:t>.</w:t>
            </w:r>
            <w:r w:rsidRPr="00E4329F">
              <w:rPr>
                <w:b/>
              </w:rPr>
              <w:t xml:space="preserve"> </w:t>
            </w:r>
          </w:p>
          <w:p w14:paraId="176E067E" w14:textId="77777777" w:rsidR="00F1725D" w:rsidRPr="00E4329F" w:rsidRDefault="00F1725D" w:rsidP="0080672C">
            <w:pPr>
              <w:pStyle w:val="ListParagraph"/>
              <w:numPr>
                <w:ilvl w:val="0"/>
                <w:numId w:val="50"/>
              </w:numPr>
              <w:spacing w:before="120" w:after="120" w:line="259" w:lineRule="auto"/>
              <w:rPr>
                <w:b/>
                <w:lang w:val="en-GB"/>
              </w:rPr>
            </w:pPr>
            <w:r w:rsidRPr="00E4329F">
              <w:rPr>
                <w:b/>
                <w:lang w:val="en-GB"/>
              </w:rPr>
              <w:t>Alt. 1: Postamble is not considered.</w:t>
            </w:r>
          </w:p>
          <w:p w14:paraId="72FBC6B1" w14:textId="77777777" w:rsidR="00F1725D" w:rsidRPr="00E4329F" w:rsidRDefault="00F1725D" w:rsidP="0080672C">
            <w:pPr>
              <w:pStyle w:val="ListParagraph"/>
              <w:numPr>
                <w:ilvl w:val="0"/>
                <w:numId w:val="50"/>
              </w:numPr>
              <w:spacing w:before="120" w:after="120" w:line="259" w:lineRule="auto"/>
              <w:rPr>
                <w:b/>
                <w:lang w:val="en-GB"/>
              </w:rPr>
            </w:pPr>
            <w:r w:rsidRPr="00E4329F">
              <w:rPr>
                <w:b/>
                <w:lang w:val="en-GB"/>
              </w:rPr>
              <w:t>Alt. 2: Postamble is considered for adding at the end of the downlink transmission to signal the termination of downlink.</w:t>
            </w:r>
          </w:p>
          <w:p w14:paraId="400279F9" w14:textId="77777777" w:rsidR="00F1725D" w:rsidRPr="001B0C77" w:rsidRDefault="00F1725D" w:rsidP="0080672C">
            <w:pPr>
              <w:pStyle w:val="ListParagraph"/>
              <w:spacing w:before="120" w:after="120" w:line="259" w:lineRule="auto"/>
              <w:ind w:left="1004" w:hanging="360"/>
            </w:pPr>
            <w:r w:rsidRPr="00E4329F">
              <w:rPr>
                <w:b/>
                <w:lang w:val="en-GB"/>
              </w:rPr>
              <w:t>FFS: Whether it is always added irrespective of the transport block size</w:t>
            </w:r>
          </w:p>
        </w:tc>
      </w:tr>
    </w:tbl>
    <w:p w14:paraId="4B18752D" w14:textId="77777777" w:rsidR="00F1725D" w:rsidRPr="001B2FB1" w:rsidRDefault="00F1725D" w:rsidP="00F1725D">
      <w:pPr>
        <w:pStyle w:val="Observation"/>
      </w:pPr>
      <w:bookmarkStart w:id="64" w:name="_Toc181961978"/>
      <w:bookmarkStart w:id="65" w:name="_Toc189822533"/>
      <w:bookmarkStart w:id="66" w:name="_Toc189856913"/>
      <w:bookmarkStart w:id="67" w:name="_Toc189863381"/>
      <w:r w:rsidRPr="001B2FB1">
        <w:t>The use of midamble is needed to reacquire the timing synchronization for the device having large sampling offset, if the duration of the transmission lasts longer following the preamble.</w:t>
      </w:r>
      <w:bookmarkEnd w:id="64"/>
      <w:bookmarkEnd w:id="65"/>
      <w:bookmarkEnd w:id="66"/>
      <w:bookmarkEnd w:id="67"/>
    </w:p>
    <w:p w14:paraId="045428ED" w14:textId="77777777" w:rsidR="00F1725D" w:rsidRPr="001B2FB1" w:rsidRDefault="00F1725D" w:rsidP="00F1725D">
      <w:pPr>
        <w:pStyle w:val="Observation"/>
      </w:pPr>
      <w:bookmarkStart w:id="68" w:name="_Toc181961979"/>
      <w:bookmarkStart w:id="69" w:name="_Toc189822534"/>
      <w:bookmarkStart w:id="70" w:name="_Toc189856914"/>
      <w:bookmarkStart w:id="71" w:name="_Toc189863382"/>
      <w:r w:rsidRPr="001B2FB1">
        <w:lastRenderedPageBreak/>
        <w:t>Even with large sampling offset, midamble may not be needed if the payload length is short, since the initial timing alignment is carried out by the preamble sequence.</w:t>
      </w:r>
      <w:bookmarkEnd w:id="68"/>
      <w:bookmarkEnd w:id="69"/>
      <w:bookmarkEnd w:id="70"/>
      <w:bookmarkEnd w:id="71"/>
    </w:p>
    <w:p w14:paraId="2BB2BCF4" w14:textId="77777777" w:rsidR="00F1725D" w:rsidRPr="001B2FB1" w:rsidRDefault="00F1725D" w:rsidP="00F1725D">
      <w:pPr>
        <w:pStyle w:val="Observation"/>
      </w:pPr>
      <w:bookmarkStart w:id="72" w:name="_Toc181961980"/>
      <w:bookmarkStart w:id="73" w:name="_Toc189822535"/>
      <w:bookmarkStart w:id="74" w:name="_Toc189856915"/>
      <w:bookmarkStart w:id="75" w:name="_Toc189863383"/>
      <w:r w:rsidRPr="001B2FB1">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72"/>
      <w:bookmarkEnd w:id="73"/>
      <w:bookmarkEnd w:id="74"/>
      <w:bookmarkEnd w:id="75"/>
    </w:p>
    <w:p w14:paraId="0307A09B" w14:textId="156E65BE" w:rsidR="00F1725D" w:rsidRPr="00226328" w:rsidRDefault="00F1725D" w:rsidP="00E3531D">
      <w:pPr>
        <w:pStyle w:val="Proposal"/>
        <w:rPr>
          <w:lang w:val="en-US"/>
        </w:rPr>
      </w:pPr>
      <w:bookmarkStart w:id="76" w:name="_Toc180742269"/>
      <w:bookmarkStart w:id="77" w:name="_Toc189863396"/>
      <w:r>
        <w:t xml:space="preserve">As Manchester encoding is considered for R2D transmission, the need for </w:t>
      </w:r>
      <w:r w:rsidR="00E3531D">
        <w:t>midamble</w:t>
      </w:r>
      <w:r>
        <w:t xml:space="preserve"> is not imperative</w:t>
      </w:r>
      <w:r w:rsidRPr="15F31DFD">
        <w:t>.</w:t>
      </w:r>
      <w:bookmarkEnd w:id="76"/>
      <w:bookmarkEnd w:id="77"/>
    </w:p>
    <w:p w14:paraId="12377206" w14:textId="77777777" w:rsidR="00114758" w:rsidRPr="007411D1" w:rsidRDefault="00114758" w:rsidP="00226328">
      <w:pPr>
        <w:pStyle w:val="Proposal"/>
        <w:numPr>
          <w:ilvl w:val="0"/>
          <w:numId w:val="0"/>
        </w:numPr>
        <w:ind w:left="1418" w:hanging="1418"/>
        <w:rPr>
          <w:lang w:val="en-US"/>
        </w:rPr>
      </w:pPr>
    </w:p>
    <w:p w14:paraId="36C5542A" w14:textId="3D4A542B" w:rsidR="00087977" w:rsidRDefault="00087977">
      <w:pPr>
        <w:pStyle w:val="Heading3"/>
        <w:rPr>
          <w:lang w:val="en-US"/>
        </w:rPr>
      </w:pPr>
      <w:r>
        <w:rPr>
          <w:lang w:val="en-US"/>
        </w:rPr>
        <w:t>Postamble</w:t>
      </w:r>
    </w:p>
    <w:p w14:paraId="17055443" w14:textId="5284B99A" w:rsidR="008B6B1D" w:rsidRDefault="00611B98" w:rsidP="008B6B1D">
      <w:pPr>
        <w:rPr>
          <w:lang w:val="en-US"/>
        </w:rPr>
      </w:pPr>
      <w:r>
        <w:rPr>
          <w:lang w:val="en-US"/>
        </w:rPr>
        <w:t xml:space="preserve">The </w:t>
      </w:r>
      <w:r w:rsidR="008E2B7B">
        <w:rPr>
          <w:lang w:val="en-US"/>
        </w:rPr>
        <w:t xml:space="preserve">postamble can be attached to the PRDCH transmission to improve the reliability of the </w:t>
      </w:r>
      <w:r w:rsidR="00373718">
        <w:rPr>
          <w:lang w:val="en-US"/>
        </w:rPr>
        <w:t xml:space="preserve">estimation in case the sampling offset experienced by the device is </w:t>
      </w:r>
      <w:r w:rsidR="00BB0F07">
        <w:rPr>
          <w:lang w:val="en-US"/>
        </w:rPr>
        <w:t xml:space="preserve">high. In such cases, the device can utilize the additional synchronization signal that is coming at the end of transmission to </w:t>
      </w:r>
      <w:r w:rsidR="009A794D">
        <w:rPr>
          <w:lang w:val="en-US"/>
        </w:rPr>
        <w:t>estimate the sampling offset/drift experienced between the preamble and the postamble together with the message size to correct the sampling clock.</w:t>
      </w:r>
      <w:r w:rsidR="00C97313">
        <w:rPr>
          <w:lang w:val="en-US"/>
        </w:rPr>
        <w:t xml:space="preserve"> However, if Manchester encoding is used as line code for PRDCH transmission, this becomes redundant and adds only to a</w:t>
      </w:r>
      <w:r w:rsidR="00C23D42">
        <w:rPr>
          <w:lang w:val="en-US"/>
        </w:rPr>
        <w:t>n overhead with marginal performance improvement.</w:t>
      </w:r>
    </w:p>
    <w:p w14:paraId="4AF71B87" w14:textId="55508268" w:rsidR="00F309F6" w:rsidRDefault="00F309F6" w:rsidP="00F309F6">
      <w:pPr>
        <w:pStyle w:val="Observation"/>
        <w:rPr>
          <w:lang w:val="en-US"/>
        </w:rPr>
      </w:pPr>
      <w:bookmarkStart w:id="78" w:name="_Toc189822536"/>
      <w:bookmarkStart w:id="79" w:name="_Toc189856916"/>
      <w:bookmarkStart w:id="80" w:name="_Toc189863384"/>
      <w:r>
        <w:rPr>
          <w:lang w:val="en-US"/>
        </w:rPr>
        <w:t xml:space="preserve">Using postamble and preamble together with the length of PRDCH transmission, </w:t>
      </w:r>
      <w:r w:rsidR="00526905">
        <w:rPr>
          <w:lang w:val="en-US"/>
        </w:rPr>
        <w:t>an AIoT device can determine the sampling offset/drift experienced</w:t>
      </w:r>
      <w:r w:rsidR="00C23D42">
        <w:rPr>
          <w:lang w:val="en-US"/>
        </w:rPr>
        <w:t>, if Manchester encoding is not used.</w:t>
      </w:r>
      <w:bookmarkEnd w:id="78"/>
      <w:bookmarkEnd w:id="79"/>
      <w:bookmarkEnd w:id="80"/>
    </w:p>
    <w:p w14:paraId="05BEDD39" w14:textId="61C4950C" w:rsidR="00526905" w:rsidRDefault="00526905" w:rsidP="00526905">
      <w:pPr>
        <w:rPr>
          <w:lang w:val="en-US"/>
        </w:rPr>
      </w:pPr>
      <w:r>
        <w:rPr>
          <w:lang w:val="en-US"/>
        </w:rPr>
        <w:t xml:space="preserve">On the contrary, </w:t>
      </w:r>
      <w:r w:rsidR="001840CF">
        <w:rPr>
          <w:lang w:val="en-US"/>
        </w:rPr>
        <w:t xml:space="preserve">if the postamble </w:t>
      </w:r>
      <w:r w:rsidR="00911ADB">
        <w:rPr>
          <w:lang w:val="en-US"/>
        </w:rPr>
        <w:t>is not used, the device may not be able to detect the end of PRDCH transmission reliably even though the length of the payload is signaled before the transmission as a control message</w:t>
      </w:r>
      <w:r w:rsidR="00C06B7A">
        <w:rPr>
          <w:lang w:val="en-US"/>
        </w:rPr>
        <w:t xml:space="preserve"> due to the sampling drift observed by the device. Thus, to provide a reliable form of communication, postamble must be included in each message, that can provide additional reliability </w:t>
      </w:r>
      <w:r w:rsidR="000619AB">
        <w:rPr>
          <w:lang w:val="en-US"/>
        </w:rPr>
        <w:t>for the proper functioning of AIoT scheme.</w:t>
      </w:r>
    </w:p>
    <w:p w14:paraId="2E90E854" w14:textId="54A7CCEE" w:rsidR="000619AB" w:rsidRDefault="00663081">
      <w:pPr>
        <w:pStyle w:val="Proposal"/>
        <w:rPr>
          <w:lang w:val="en-US"/>
        </w:rPr>
      </w:pPr>
      <w:bookmarkStart w:id="81" w:name="_Toc189863397"/>
      <w:r>
        <w:rPr>
          <w:lang w:val="en-US"/>
        </w:rPr>
        <w:t xml:space="preserve">RAN1 shall consider having postamble for PRDCH transmission to favor the devices </w:t>
      </w:r>
      <w:r w:rsidR="000F04D5">
        <w:rPr>
          <w:lang w:val="en-US"/>
        </w:rPr>
        <w:t>hav</w:t>
      </w:r>
      <w:r w:rsidR="00DC2930">
        <w:rPr>
          <w:lang w:val="en-US"/>
        </w:rPr>
        <w:t>ing</w:t>
      </w:r>
      <w:r w:rsidR="000F04D5">
        <w:rPr>
          <w:lang w:val="en-US"/>
        </w:rPr>
        <w:t xml:space="preserve"> </w:t>
      </w:r>
      <w:r w:rsidR="00DC2930">
        <w:rPr>
          <w:lang w:val="en-US"/>
        </w:rPr>
        <w:t xml:space="preserve">higher </w:t>
      </w:r>
      <w:r w:rsidR="000F04D5">
        <w:rPr>
          <w:lang w:val="en-US"/>
        </w:rPr>
        <w:t xml:space="preserve">sampling </w:t>
      </w:r>
      <w:r w:rsidR="00DC2930">
        <w:rPr>
          <w:lang w:val="en-US"/>
        </w:rPr>
        <w:t>drifts to determine the end of transmission reliably.</w:t>
      </w:r>
      <w:bookmarkEnd w:id="81"/>
    </w:p>
    <w:p w14:paraId="625CD295" w14:textId="77777777" w:rsidR="00803C2B" w:rsidRPr="008B6B1D" w:rsidRDefault="00803C2B" w:rsidP="00226328">
      <w:pPr>
        <w:pStyle w:val="Proposal"/>
        <w:numPr>
          <w:ilvl w:val="0"/>
          <w:numId w:val="0"/>
        </w:numPr>
        <w:ind w:left="1418" w:hanging="1418"/>
        <w:rPr>
          <w:lang w:val="en-US"/>
        </w:rPr>
      </w:pPr>
    </w:p>
    <w:p w14:paraId="3F0F7319" w14:textId="4E4B304C" w:rsidR="00087977" w:rsidRDefault="00087977" w:rsidP="00087977">
      <w:pPr>
        <w:pStyle w:val="Heading2"/>
        <w:rPr>
          <w:lang w:val="en-US"/>
        </w:rPr>
      </w:pPr>
      <w:r>
        <w:rPr>
          <w:lang w:val="en-US"/>
        </w:rPr>
        <w:t>D2R Transmission</w:t>
      </w:r>
    </w:p>
    <w:p w14:paraId="5873532C" w14:textId="77777777" w:rsidR="00087977" w:rsidRDefault="00087977" w:rsidP="00087977">
      <w:pPr>
        <w:pStyle w:val="Heading3"/>
        <w:rPr>
          <w:lang w:val="en-US"/>
        </w:rPr>
      </w:pPr>
      <w:r>
        <w:rPr>
          <w:lang w:val="en-US"/>
        </w:rPr>
        <w:t>Preamble</w:t>
      </w:r>
    </w:p>
    <w:tbl>
      <w:tblPr>
        <w:tblStyle w:val="TableGrid"/>
        <w:tblW w:w="0" w:type="auto"/>
        <w:tblLook w:val="04A0" w:firstRow="1" w:lastRow="0" w:firstColumn="1" w:lastColumn="0" w:noHBand="0" w:noVBand="1"/>
      </w:tblPr>
      <w:tblGrid>
        <w:gridCol w:w="9962"/>
      </w:tblGrid>
      <w:tr w:rsidR="00072C6B" w14:paraId="61772860" w14:textId="77777777" w:rsidTr="00072C6B">
        <w:tc>
          <w:tcPr>
            <w:tcW w:w="9962" w:type="dxa"/>
          </w:tcPr>
          <w:p w14:paraId="543A8AF2" w14:textId="77777777" w:rsidR="00072C6B" w:rsidRPr="0042371B" w:rsidRDefault="00072C6B" w:rsidP="00072C6B">
            <w:pPr>
              <w:spacing w:after="0"/>
              <w:rPr>
                <w:iCs/>
                <w:lang w:eastAsia="zh-CN"/>
              </w:rPr>
            </w:pPr>
            <w:r w:rsidRPr="0042371B">
              <w:rPr>
                <w:iCs/>
                <w:highlight w:val="green"/>
                <w:lang w:eastAsia="zh-CN"/>
              </w:rPr>
              <w:t>Agreement</w:t>
            </w:r>
          </w:p>
          <w:p w14:paraId="64F1363C" w14:textId="77777777" w:rsidR="00072C6B" w:rsidRPr="0042371B" w:rsidRDefault="00072C6B" w:rsidP="00072C6B">
            <w:pPr>
              <w:spacing w:after="0"/>
              <w:rPr>
                <w:iCs/>
                <w:lang w:eastAsia="zh-CN"/>
              </w:rPr>
            </w:pPr>
            <w:r w:rsidRPr="0042371B">
              <w:rPr>
                <w:iCs/>
                <w:lang w:eastAsia="zh-CN"/>
              </w:rPr>
              <w:t>For each D2R transmission, no separate part for start-indicator is considered for the preamble preceding the PDRCH.</w:t>
            </w:r>
          </w:p>
          <w:p w14:paraId="14BA9136" w14:textId="77777777" w:rsidR="00072C6B" w:rsidRPr="0042371B" w:rsidRDefault="00072C6B" w:rsidP="00072C6B">
            <w:pPr>
              <w:spacing w:after="0"/>
              <w:rPr>
                <w:iCs/>
                <w:lang w:eastAsia="x-none"/>
              </w:rPr>
            </w:pPr>
            <w:r w:rsidRPr="0042371B">
              <w:rPr>
                <w:iCs/>
                <w:highlight w:val="green"/>
                <w:lang w:eastAsia="x-none"/>
              </w:rPr>
              <w:t>Agreement</w:t>
            </w:r>
          </w:p>
          <w:p w14:paraId="5461904B" w14:textId="77777777" w:rsidR="00072C6B" w:rsidRPr="0042371B" w:rsidRDefault="00072C6B" w:rsidP="00072C6B">
            <w:pPr>
              <w:spacing w:after="0"/>
            </w:pPr>
            <w:r w:rsidRPr="0042371B">
              <w:t>For D2R transmission, preamble preceding the PDRCH is studied also for the potential additional functionalities:</w:t>
            </w:r>
          </w:p>
          <w:p w14:paraId="3DE9789E" w14:textId="77777777" w:rsidR="00072C6B" w:rsidRPr="0042371B" w:rsidRDefault="00072C6B" w:rsidP="00072C6B">
            <w:pPr>
              <w:pStyle w:val="owapara"/>
              <w:numPr>
                <w:ilvl w:val="0"/>
                <w:numId w:val="48"/>
              </w:numPr>
              <w:autoSpaceDE w:val="0"/>
              <w:autoSpaceDN w:val="0"/>
              <w:adjustRightInd w:val="0"/>
              <w:snapToGrid w:val="0"/>
              <w:jc w:val="both"/>
              <w:rPr>
                <w:sz w:val="20"/>
                <w:szCs w:val="20"/>
              </w:rPr>
            </w:pPr>
            <w:r w:rsidRPr="0042371B">
              <w:rPr>
                <w:sz w:val="20"/>
                <w:szCs w:val="20"/>
              </w:rPr>
              <w:t>SFO estimation</w:t>
            </w:r>
          </w:p>
          <w:p w14:paraId="40C52A67" w14:textId="77777777" w:rsidR="00072C6B" w:rsidRPr="0042371B" w:rsidRDefault="00072C6B" w:rsidP="00072C6B">
            <w:pPr>
              <w:pStyle w:val="owapara"/>
              <w:numPr>
                <w:ilvl w:val="0"/>
                <w:numId w:val="48"/>
              </w:numPr>
              <w:autoSpaceDE w:val="0"/>
              <w:autoSpaceDN w:val="0"/>
              <w:adjustRightInd w:val="0"/>
              <w:snapToGrid w:val="0"/>
              <w:jc w:val="both"/>
              <w:rPr>
                <w:sz w:val="20"/>
                <w:szCs w:val="20"/>
              </w:rPr>
            </w:pPr>
            <w:r w:rsidRPr="0042371B">
              <w:rPr>
                <w:sz w:val="20"/>
                <w:szCs w:val="20"/>
              </w:rPr>
              <w:t>CFO estimation</w:t>
            </w:r>
          </w:p>
          <w:p w14:paraId="66F8858F" w14:textId="77777777" w:rsidR="00072C6B" w:rsidRPr="0042371B" w:rsidRDefault="00072C6B" w:rsidP="00072C6B">
            <w:pPr>
              <w:pStyle w:val="owapara"/>
              <w:numPr>
                <w:ilvl w:val="0"/>
                <w:numId w:val="48"/>
              </w:numPr>
              <w:autoSpaceDE w:val="0"/>
              <w:autoSpaceDN w:val="0"/>
              <w:adjustRightInd w:val="0"/>
              <w:snapToGrid w:val="0"/>
              <w:jc w:val="both"/>
              <w:rPr>
                <w:sz w:val="20"/>
                <w:szCs w:val="20"/>
              </w:rPr>
            </w:pPr>
            <w:r w:rsidRPr="0042371B">
              <w:rPr>
                <w:sz w:val="20"/>
                <w:szCs w:val="20"/>
              </w:rPr>
              <w:t>Channel estimation</w:t>
            </w:r>
          </w:p>
          <w:p w14:paraId="6728BE7A" w14:textId="77777777" w:rsidR="00072C6B" w:rsidRPr="0042371B" w:rsidRDefault="00072C6B" w:rsidP="00072C6B">
            <w:pPr>
              <w:pStyle w:val="owapara"/>
              <w:numPr>
                <w:ilvl w:val="0"/>
                <w:numId w:val="48"/>
              </w:numPr>
              <w:autoSpaceDE w:val="0"/>
              <w:autoSpaceDN w:val="0"/>
              <w:adjustRightInd w:val="0"/>
              <w:snapToGrid w:val="0"/>
              <w:jc w:val="both"/>
              <w:rPr>
                <w:sz w:val="20"/>
                <w:szCs w:val="20"/>
              </w:rPr>
            </w:pPr>
            <w:r w:rsidRPr="00C6033E">
              <w:rPr>
                <w:sz w:val="20"/>
                <w:szCs w:val="20"/>
              </w:rPr>
              <w:t>I</w:t>
            </w:r>
            <w:r w:rsidRPr="0042371B">
              <w:rPr>
                <w:sz w:val="20"/>
                <w:szCs w:val="20"/>
              </w:rPr>
              <w:t>nterference estimation</w:t>
            </w:r>
          </w:p>
          <w:p w14:paraId="21202E02" w14:textId="77777777" w:rsidR="00072C6B" w:rsidRPr="0042371B" w:rsidRDefault="00072C6B" w:rsidP="00072C6B">
            <w:pPr>
              <w:spacing w:after="0"/>
            </w:pPr>
            <w:r w:rsidRPr="00C6033E">
              <w:t>N</w:t>
            </w:r>
            <w:r w:rsidRPr="0042371B">
              <w:t>ote: this does not preclude studying the above functionalities by using a midamble and/or postamble, if supported</w:t>
            </w:r>
          </w:p>
          <w:p w14:paraId="1A9501EA" w14:textId="3C2F14A0" w:rsidR="00072C6B" w:rsidRPr="00226328" w:rsidRDefault="00072C6B" w:rsidP="00226328">
            <w:pPr>
              <w:widowControl w:val="0"/>
              <w:overflowPunct/>
              <w:spacing w:after="0"/>
              <w:jc w:val="both"/>
              <w:textAlignment w:val="auto"/>
            </w:pPr>
            <w:r w:rsidRPr="0042371B">
              <w:t>FFS: Other functionalities, if any</w:t>
            </w:r>
          </w:p>
        </w:tc>
      </w:tr>
    </w:tbl>
    <w:p w14:paraId="20C13977" w14:textId="77777777" w:rsidR="00072C6B" w:rsidRDefault="00072C6B" w:rsidP="00072C6B">
      <w:pPr>
        <w:rPr>
          <w:lang w:val="en-US"/>
        </w:rPr>
      </w:pPr>
    </w:p>
    <w:p w14:paraId="5387E5D8" w14:textId="77777777" w:rsidR="00342660" w:rsidRDefault="00342660" w:rsidP="00342660">
      <w:r w:rsidRPr="00E4329F">
        <w:t xml:space="preserve">The D2R signal transmission </w:t>
      </w:r>
      <w:r w:rsidRPr="001B2FB1">
        <w:t>between the</w:t>
      </w:r>
      <w:r w:rsidRPr="00E4329F">
        <w:t xml:space="preserve"> </w:t>
      </w:r>
      <w:r w:rsidRPr="001B2FB1">
        <w:t>AIoT</w:t>
      </w:r>
      <w:r w:rsidRPr="00E4329F">
        <w:t xml:space="preserve"> device to the reader</w:t>
      </w:r>
      <w:r>
        <w:t xml:space="preserve"> contain preamble without the start delimiter as the reader can detect the preamble sequence once the R2D transmission ends. This has been agreed in previous RAN1 meeting. Thus, following our earlier discussions on the preamble length and the sequence type, it can reuse the same content provide for R2D, i.e., preamble sequence can be based on “m-sequence” of length </w:t>
      </w:r>
      <m:oMath>
        <m:r>
          <w:rPr>
            <w:rFonts w:ascii="Cambria Math" w:hAnsi="Cambria Math"/>
          </w:rPr>
          <m:t>[16,32]</m:t>
        </m:r>
      </m:oMath>
      <w:r>
        <w:t xml:space="preserve"> without Manchester encoding to obtain better autocorrelation peak, which helps in determining the timing estimation.</w:t>
      </w:r>
    </w:p>
    <w:p w14:paraId="1F897779" w14:textId="77777777" w:rsidR="00342660" w:rsidRDefault="00342660" w:rsidP="00342660">
      <w:r>
        <w:t xml:space="preserve">As the BW of transmission is narrower due to low data rate in D2R link, frequency hopping is proposed for D2R transmission to utilize the frequency diversity, thereby improving the robustness of the link. Even though it is considered for data transmission, it must be used also for preamble as it provides robustness against frequency selective nature of the channel. </w:t>
      </w:r>
    </w:p>
    <w:p w14:paraId="32D4FE49" w14:textId="77777777" w:rsidR="00342660" w:rsidRDefault="00342660" w:rsidP="00342660">
      <w:pPr>
        <w:pStyle w:val="Observation"/>
      </w:pPr>
      <w:bookmarkStart w:id="82" w:name="_Toc181961984"/>
      <w:bookmarkStart w:id="83" w:name="_Toc178952502"/>
      <w:bookmarkStart w:id="84" w:name="_Toc178952558"/>
      <w:bookmarkStart w:id="85" w:name="_Toc178952614"/>
      <w:bookmarkStart w:id="86" w:name="_Toc178981154"/>
      <w:bookmarkStart w:id="87" w:name="_Toc178952503"/>
      <w:bookmarkStart w:id="88" w:name="_Toc178952559"/>
      <w:bookmarkStart w:id="89" w:name="_Toc178952615"/>
      <w:bookmarkStart w:id="90" w:name="_Toc178981155"/>
      <w:bookmarkStart w:id="91" w:name="_Toc181961985"/>
      <w:bookmarkStart w:id="92" w:name="_Toc189822537"/>
      <w:bookmarkStart w:id="93" w:name="_Toc189856917"/>
      <w:bookmarkStart w:id="94" w:name="_Toc189863385"/>
      <w:bookmarkEnd w:id="82"/>
      <w:bookmarkEnd w:id="83"/>
      <w:bookmarkEnd w:id="84"/>
      <w:bookmarkEnd w:id="85"/>
      <w:bookmarkEnd w:id="86"/>
      <w:bookmarkEnd w:id="87"/>
      <w:bookmarkEnd w:id="88"/>
      <w:bookmarkEnd w:id="89"/>
      <w:bookmarkEnd w:id="90"/>
      <w:r w:rsidRPr="001B2FB1">
        <w:lastRenderedPageBreak/>
        <w:t>To determine the start of the uplink frame and to detect and correct the sampling offset introduced by the device transmission, the need for preamble is inevitable in the PDRCH transmission.</w:t>
      </w:r>
      <w:bookmarkEnd w:id="91"/>
      <w:bookmarkEnd w:id="92"/>
      <w:bookmarkEnd w:id="93"/>
      <w:bookmarkEnd w:id="94"/>
    </w:p>
    <w:p w14:paraId="302BF34A" w14:textId="77777777" w:rsidR="00342660" w:rsidRDefault="00342660" w:rsidP="00342660">
      <w:pPr>
        <w:pStyle w:val="Observation"/>
      </w:pPr>
      <w:bookmarkStart w:id="95" w:name="_Toc181961986"/>
      <w:bookmarkStart w:id="96" w:name="_Toc189822538"/>
      <w:bookmarkStart w:id="97" w:name="_Toc189856918"/>
      <w:bookmarkStart w:id="98" w:name="_Toc189863386"/>
      <w:r>
        <w:t>Depending on the quality of preamble transmitted from two discreet tones, the following PDRCH payload can be transmitted only from the selected link.</w:t>
      </w:r>
      <w:bookmarkEnd w:id="95"/>
      <w:bookmarkEnd w:id="96"/>
      <w:bookmarkEnd w:id="97"/>
      <w:bookmarkEnd w:id="98"/>
    </w:p>
    <w:p w14:paraId="21211D46" w14:textId="77777777" w:rsidR="00342660" w:rsidRDefault="00342660" w:rsidP="00342660">
      <w:pPr>
        <w:pStyle w:val="Proposal"/>
      </w:pPr>
      <w:bookmarkStart w:id="99" w:name="_Toc180742274"/>
      <w:bookmarkStart w:id="100" w:name="_Toc189863398"/>
      <w:r>
        <w:t>RAN1 should consider D2R preamble sequence of length of 16 or 32 without Manchester encoding.</w:t>
      </w:r>
      <w:bookmarkEnd w:id="99"/>
      <w:bookmarkEnd w:id="100"/>
    </w:p>
    <w:p w14:paraId="0E6CD389" w14:textId="77777777" w:rsidR="00342660" w:rsidRDefault="00342660" w:rsidP="00342660">
      <w:pPr>
        <w:pStyle w:val="Proposal"/>
      </w:pPr>
      <w:bookmarkStart w:id="101" w:name="_Toc180742275"/>
      <w:bookmarkStart w:id="102" w:name="_Toc189863399"/>
      <w:r>
        <w:t>Preamble sequence shall be transmitted from two discreet tones, if frequency hopping is used for PDRCH payload that follows.</w:t>
      </w:r>
      <w:bookmarkEnd w:id="101"/>
      <w:bookmarkEnd w:id="102"/>
    </w:p>
    <w:p w14:paraId="7FFBDEB8" w14:textId="77777777" w:rsidR="00342660" w:rsidRDefault="00342660" w:rsidP="00342660">
      <w:pPr>
        <w:pStyle w:val="Observation"/>
      </w:pPr>
      <w:bookmarkStart w:id="103" w:name="_Toc181961987"/>
      <w:bookmarkStart w:id="104" w:name="_Toc189822539"/>
      <w:bookmarkStart w:id="105" w:name="_Toc189856919"/>
      <w:bookmarkStart w:id="106" w:name="_Toc189863387"/>
      <w:r>
        <w:t>RAN1 should design preamble based on “m-sequence” as it provides better autocorrelation properties and has balanced number of ones and zeros.</w:t>
      </w:r>
      <w:bookmarkEnd w:id="103"/>
      <w:bookmarkEnd w:id="104"/>
      <w:bookmarkEnd w:id="105"/>
      <w:bookmarkEnd w:id="106"/>
    </w:p>
    <w:p w14:paraId="7C9C42A2" w14:textId="77777777" w:rsidR="00342660" w:rsidRPr="001B2FB1" w:rsidRDefault="00342660" w:rsidP="00342660">
      <w:pPr>
        <w:pStyle w:val="Proposal"/>
      </w:pPr>
      <w:bookmarkStart w:id="107" w:name="_Toc180742276"/>
      <w:bookmarkStart w:id="108" w:name="_Toc189863400"/>
      <w:r>
        <w:t>RAN1 should consider generating preamble sequence for D2R transmission using m-sequence as it is simpler to implement at AIoT device and has better auto/cross correlation properties.</w:t>
      </w:r>
      <w:bookmarkEnd w:id="107"/>
      <w:bookmarkEnd w:id="108"/>
    </w:p>
    <w:p w14:paraId="5B4AAE40" w14:textId="77777777" w:rsidR="00087977" w:rsidRDefault="00087977" w:rsidP="00087977">
      <w:pPr>
        <w:pStyle w:val="Heading3"/>
        <w:rPr>
          <w:lang w:val="en-US"/>
        </w:rPr>
      </w:pPr>
      <w:r>
        <w:rPr>
          <w:lang w:val="en-US"/>
        </w:rPr>
        <w:t>Midamble</w:t>
      </w:r>
    </w:p>
    <w:p w14:paraId="263D22A0" w14:textId="636F18D1" w:rsidR="009D1C10" w:rsidRDefault="009D1C10" w:rsidP="009D1C10">
      <w:pPr>
        <w:rPr>
          <w:lang w:val="en-US"/>
        </w:rPr>
      </w:pPr>
      <w:r>
        <w:rPr>
          <w:lang w:val="en-US"/>
        </w:rPr>
        <w:t xml:space="preserve">As discussed in our companion paper, the need for </w:t>
      </w:r>
      <w:r w:rsidR="00663D9E">
        <w:rPr>
          <w:lang w:val="en-US"/>
        </w:rPr>
        <w:t>midamble is subjected to the type of modulation used for D2R transmission, i.e., FM0</w:t>
      </w:r>
      <w:r w:rsidR="002417C3">
        <w:rPr>
          <w:lang w:val="en-US"/>
        </w:rPr>
        <w:t xml:space="preserve">, Miller, or some other waveform schemes. If the waveform design is based on FM0, Miller, MC encoded </w:t>
      </w:r>
      <w:r w:rsidR="00502D37">
        <w:rPr>
          <w:lang w:val="en-US"/>
        </w:rPr>
        <w:t xml:space="preserve">binary sequence, the need for midamble is not </w:t>
      </w:r>
      <w:r w:rsidR="00A65F95">
        <w:rPr>
          <w:lang w:val="en-US"/>
        </w:rPr>
        <w:t xml:space="preserve">demanding as the modulated data sequence itself provides </w:t>
      </w:r>
      <w:r w:rsidR="00EA44F0">
        <w:rPr>
          <w:lang w:val="en-US"/>
        </w:rPr>
        <w:t xml:space="preserve">synchronization to a certain extent. </w:t>
      </w:r>
    </w:p>
    <w:p w14:paraId="0532DA6B" w14:textId="7DFB48AB" w:rsidR="00EA44F0" w:rsidRDefault="00EA44F0" w:rsidP="009D1C10">
      <w:pPr>
        <w:rPr>
          <w:lang w:val="en-US"/>
        </w:rPr>
      </w:pPr>
      <w:r>
        <w:rPr>
          <w:lang w:val="en-US"/>
        </w:rPr>
        <w:t xml:space="preserve">On the contrary, if BPSK/OOK based transmission is used with simple square wave modulation, then the need for midamble </w:t>
      </w:r>
      <w:r w:rsidR="00BD1278">
        <w:rPr>
          <w:lang w:val="en-US"/>
        </w:rPr>
        <w:t>assists the reader in detecting the D2R transmission with improved reliability.</w:t>
      </w:r>
    </w:p>
    <w:p w14:paraId="07ED7727" w14:textId="1E4F0323" w:rsidR="00BD1278" w:rsidRDefault="00BD1278" w:rsidP="00BD1278">
      <w:pPr>
        <w:pStyle w:val="Observation"/>
        <w:rPr>
          <w:lang w:val="en-US"/>
        </w:rPr>
      </w:pPr>
      <w:bookmarkStart w:id="109" w:name="_Toc189822540"/>
      <w:bookmarkStart w:id="110" w:name="_Toc189856920"/>
      <w:bookmarkStart w:id="111" w:name="_Toc189863388"/>
      <w:r>
        <w:rPr>
          <w:lang w:val="en-US"/>
        </w:rPr>
        <w:t xml:space="preserve">The need for </w:t>
      </w:r>
      <w:r w:rsidR="00D63674">
        <w:rPr>
          <w:lang w:val="en-US"/>
        </w:rPr>
        <w:t>midamble</w:t>
      </w:r>
      <w:r>
        <w:rPr>
          <w:lang w:val="en-US"/>
        </w:rPr>
        <w:t xml:space="preserve"> depends on the type of modulation used for D2R transmission. If the D2R transmission </w:t>
      </w:r>
      <w:r w:rsidR="003F3A29">
        <w:rPr>
          <w:lang w:val="en-US"/>
        </w:rPr>
        <w:t xml:space="preserve">uses self-synchronizing modulation schemes like FM0, Miller, or MC, then the need for midamble is not </w:t>
      </w:r>
      <w:r w:rsidR="00E31DB7">
        <w:rPr>
          <w:lang w:val="en-US"/>
        </w:rPr>
        <w:t>essential.</w:t>
      </w:r>
      <w:bookmarkEnd w:id="109"/>
      <w:bookmarkEnd w:id="110"/>
      <w:bookmarkEnd w:id="111"/>
    </w:p>
    <w:p w14:paraId="27994B74" w14:textId="29E13236" w:rsidR="00100B7D" w:rsidRPr="009D1C10" w:rsidRDefault="00100B7D" w:rsidP="00226328">
      <w:pPr>
        <w:pStyle w:val="Proposal"/>
        <w:rPr>
          <w:lang w:val="en-US"/>
        </w:rPr>
      </w:pPr>
      <w:bookmarkStart w:id="112" w:name="_Toc189863401"/>
      <w:r>
        <w:rPr>
          <w:lang w:val="en-US"/>
        </w:rPr>
        <w:t>The need for midamble improves the reader detectability of PDRCH transmission, however, i</w:t>
      </w:r>
      <w:r w:rsidR="00156DB6">
        <w:rPr>
          <w:lang w:val="en-US"/>
        </w:rPr>
        <w:t>t depends on the type of modulation considered for D2R transmission.</w:t>
      </w:r>
      <w:bookmarkEnd w:id="112"/>
      <w:r w:rsidR="00156DB6">
        <w:rPr>
          <w:lang w:val="en-US"/>
        </w:rPr>
        <w:t xml:space="preserve"> </w:t>
      </w:r>
    </w:p>
    <w:p w14:paraId="52AF6CD9" w14:textId="2E001BED" w:rsidR="00087977" w:rsidRDefault="00087977">
      <w:pPr>
        <w:pStyle w:val="Heading3"/>
        <w:rPr>
          <w:lang w:val="en-US"/>
        </w:rPr>
      </w:pPr>
      <w:bookmarkStart w:id="113" w:name="_Toc163248970"/>
      <w:bookmarkStart w:id="114" w:name="_Toc163248999"/>
      <w:bookmarkStart w:id="115" w:name="_Toc163249026"/>
      <w:bookmarkStart w:id="116" w:name="_Toc163249052"/>
      <w:bookmarkStart w:id="117" w:name="_Toc163249077"/>
      <w:bookmarkStart w:id="118" w:name="_Toc163249103"/>
      <w:bookmarkStart w:id="119" w:name="_Toc163249129"/>
      <w:bookmarkStart w:id="120" w:name="_Toc163249156"/>
      <w:bookmarkStart w:id="121" w:name="_Toc163249184"/>
      <w:bookmarkStart w:id="122" w:name="_Toc163249212"/>
      <w:bookmarkStart w:id="123" w:name="_Toc163249239"/>
      <w:bookmarkStart w:id="124" w:name="_Toc163249267"/>
      <w:bookmarkStart w:id="125" w:name="_Toc163249295"/>
      <w:bookmarkStart w:id="126" w:name="_Toc163249325"/>
      <w:bookmarkStart w:id="127" w:name="_Toc163249357"/>
      <w:bookmarkStart w:id="128" w:name="_Toc163249381"/>
      <w:bookmarkStart w:id="129" w:name="_Toc163249452"/>
      <w:bookmarkStart w:id="130" w:name="_Toc163249496"/>
      <w:bookmarkStart w:id="131" w:name="_Toc163249692"/>
      <w:bookmarkStart w:id="132" w:name="_Toc163249802"/>
      <w:bookmarkStart w:id="133" w:name="_Toc163250130"/>
      <w:bookmarkStart w:id="134" w:name="_Toc181961976"/>
      <w:bookmarkStart w:id="135" w:name="_Toc178952495"/>
      <w:bookmarkStart w:id="136" w:name="_Toc178952551"/>
      <w:bookmarkStart w:id="137" w:name="_Toc178952607"/>
      <w:bookmarkStart w:id="138" w:name="_Toc178981147"/>
      <w:bookmarkStart w:id="139" w:name="_Toc163249395"/>
      <w:bookmarkStart w:id="140" w:name="_Toc163249462"/>
      <w:bookmarkStart w:id="141" w:name="_Toc163249506"/>
      <w:bookmarkStart w:id="142" w:name="_Toc163249702"/>
      <w:bookmarkStart w:id="143" w:name="_Toc163249812"/>
      <w:bookmarkStart w:id="144" w:name="_Toc16325014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087977">
        <w:rPr>
          <w:lang w:val="en-US"/>
        </w:rPr>
        <w:t>Postamble</w:t>
      </w:r>
    </w:p>
    <w:p w14:paraId="3AC6D51D" w14:textId="29B30D5B" w:rsidR="00C32231" w:rsidRDefault="00A67206" w:rsidP="00C32231">
      <w:pPr>
        <w:rPr>
          <w:lang w:val="en-US"/>
        </w:rPr>
      </w:pPr>
      <w:r>
        <w:rPr>
          <w:lang w:val="en-US"/>
        </w:rPr>
        <w:t>Unlike PRDCH, PDRCH is designed to be detected by the reader with higher processing capability</w:t>
      </w:r>
      <w:r w:rsidR="000E41FA">
        <w:rPr>
          <w:lang w:val="en-US"/>
        </w:rPr>
        <w:t>. Furthermore, due to the use of FEC by the device in D2R transmission, the size of the information bits and the length of the transmission are</w:t>
      </w:r>
      <w:r w:rsidR="003A6007">
        <w:rPr>
          <w:lang w:val="en-US"/>
        </w:rPr>
        <w:t xml:space="preserve"> to be known at both encoder and decoder. Thus, in this case, the reader provides the information about the information size and the length of transmission in bits, which fixes the code rate of FEC. Thus, the device cannot autonomously send a postamble to terminate the transmission until the whole codeword is transmitted.</w:t>
      </w:r>
    </w:p>
    <w:p w14:paraId="630E1E72" w14:textId="7F88D6B9" w:rsidR="003A6007" w:rsidRDefault="004C264A" w:rsidP="003A6007">
      <w:pPr>
        <w:pStyle w:val="Observation"/>
        <w:rPr>
          <w:lang w:val="en-US"/>
        </w:rPr>
      </w:pPr>
      <w:bookmarkStart w:id="145" w:name="_Toc189822541"/>
      <w:bookmarkStart w:id="146" w:name="_Toc189856921"/>
      <w:bookmarkStart w:id="147" w:name="_Toc189863389"/>
      <w:r>
        <w:rPr>
          <w:lang w:val="en-US"/>
        </w:rPr>
        <w:t>As FEC is adopted in D2R transmission, device cannot autonomously terminate the transmission by sending postamble for early termination</w:t>
      </w:r>
      <w:r w:rsidR="007A5906">
        <w:rPr>
          <w:lang w:val="en-US"/>
        </w:rPr>
        <w:t xml:space="preserve">, since the coding rate is fixed by the size of the information bits and the </w:t>
      </w:r>
      <w:r w:rsidR="00677242">
        <w:rPr>
          <w:lang w:val="en-US"/>
        </w:rPr>
        <w:t>codeword length, both are signaled in the previous PRDCH control.</w:t>
      </w:r>
      <w:bookmarkEnd w:id="145"/>
      <w:bookmarkEnd w:id="146"/>
      <w:bookmarkEnd w:id="147"/>
    </w:p>
    <w:p w14:paraId="739F4B4E" w14:textId="511E1B4B" w:rsidR="00DC151A" w:rsidRPr="00C32231" w:rsidRDefault="00DC151A" w:rsidP="00226328">
      <w:pPr>
        <w:pStyle w:val="Proposal"/>
        <w:rPr>
          <w:lang w:val="en-US"/>
        </w:rPr>
      </w:pPr>
      <w:bookmarkStart w:id="148" w:name="_Toc189863402"/>
      <w:r>
        <w:rPr>
          <w:lang w:val="en-US"/>
        </w:rPr>
        <w:t>RAN1 shall not consider postamble for PDRCH transmission as there is no need for a device to terminate the transmission autonomously.</w:t>
      </w:r>
      <w:bookmarkEnd w:id="148"/>
    </w:p>
    <w:p w14:paraId="17D7BDE6" w14:textId="5350281A" w:rsidR="002F6CCE" w:rsidRDefault="00085A2D" w:rsidP="002F6CCE">
      <w:pPr>
        <w:pStyle w:val="Heading1"/>
        <w:rPr>
          <w:lang w:val="en-US"/>
        </w:rPr>
      </w:pPr>
      <w:r w:rsidRPr="00B7321B">
        <w:rPr>
          <w:lang w:val="en-US"/>
        </w:rPr>
        <w:t>Conclusion</w:t>
      </w:r>
    </w:p>
    <w:p w14:paraId="2359779A" w14:textId="77777777" w:rsidR="000941CE" w:rsidRPr="000941CE" w:rsidRDefault="000941CE" w:rsidP="000941CE">
      <w:pPr>
        <w:rPr>
          <w:lang w:val="en-US"/>
        </w:rPr>
      </w:pPr>
    </w:p>
    <w:p w14:paraId="4A68671A" w14:textId="2C39345D" w:rsidR="000941CE" w:rsidRDefault="00146940" w:rsidP="000941CE">
      <w:pPr>
        <w:rPr>
          <w:lang w:val="en-US"/>
        </w:rPr>
      </w:pPr>
      <w:r>
        <w:rPr>
          <w:lang w:val="en-US"/>
        </w:rPr>
        <w:t>In this contribution w</w:t>
      </w:r>
      <w:r w:rsidRPr="00146940">
        <w:rPr>
          <w:lang w:val="en-US"/>
        </w:rPr>
        <w:t>e have made the following observations and proposals:</w:t>
      </w:r>
    </w:p>
    <w:p w14:paraId="63BF0407" w14:textId="49AFB890" w:rsidR="00F75810" w:rsidRDefault="00F75810" w:rsidP="00F75810">
      <w:pPr>
        <w:pStyle w:val="Heading2"/>
        <w:rPr>
          <w:lang w:val="en-US"/>
        </w:rPr>
      </w:pPr>
      <w:r>
        <w:rPr>
          <w:lang w:val="en-US"/>
        </w:rPr>
        <w:lastRenderedPageBreak/>
        <w:t>List of Observations</w:t>
      </w:r>
    </w:p>
    <w:p w14:paraId="54316E19" w14:textId="77777777" w:rsidR="0039394E" w:rsidRDefault="00F75810">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fldChar w:fldCharType="begin"/>
      </w:r>
      <w:r>
        <w:instrText xml:space="preserve"> TOC \n \p " " \t "Observation,1" </w:instrText>
      </w:r>
      <w:r>
        <w:fldChar w:fldCharType="separate"/>
      </w:r>
      <w:r w:rsidR="0039394E" w:rsidRPr="00E2355E">
        <w:rPr>
          <w:b/>
        </w:rPr>
        <w:t>Observation 1:</w:t>
      </w:r>
      <w:r w:rsidR="0039394E">
        <w:rPr>
          <w:rFonts w:asciiTheme="minorHAnsi" w:eastAsiaTheme="minorEastAsia" w:hAnsiTheme="minorHAnsi" w:cstheme="minorBidi"/>
          <w:kern w:val="2"/>
          <w:sz w:val="24"/>
          <w:szCs w:val="21"/>
          <w:lang w:val="en-GB" w:eastAsia="ko-KR" w:bidi="hi-IN"/>
          <w14:ligatures w14:val="standardContextual"/>
        </w:rPr>
        <w:tab/>
      </w:r>
      <w:r w:rsidR="0039394E">
        <w:t>Start delimiter should be long enough to ensure reliable detection due to large sampling offset observed in the AIoT tag before estimating/correcting from preamble.</w:t>
      </w:r>
    </w:p>
    <w:p w14:paraId="075996B8" w14:textId="77777777" w:rsidR="0039394E" w:rsidRDefault="0039394E">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2:</w:t>
      </w:r>
      <w:r>
        <w:rPr>
          <w:rFonts w:asciiTheme="minorHAnsi" w:eastAsiaTheme="minorEastAsia" w:hAnsiTheme="minorHAnsi" w:cstheme="minorBidi"/>
          <w:kern w:val="2"/>
          <w:sz w:val="24"/>
          <w:szCs w:val="21"/>
          <w:lang w:val="en-GB" w:eastAsia="ko-KR" w:bidi="hi-IN"/>
          <w14:ligatures w14:val="standardContextual"/>
        </w:rPr>
        <w:tab/>
      </w:r>
      <w:r>
        <w:t>Preamble sequences must have better autocorrelation properties to obtain better timing accuracy even with large sampling offset.</w:t>
      </w:r>
    </w:p>
    <w:p w14:paraId="12F7B7F6" w14:textId="77777777" w:rsidR="0039394E" w:rsidRDefault="0039394E">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3:</w:t>
      </w:r>
      <w:r>
        <w:rPr>
          <w:rFonts w:asciiTheme="minorHAnsi" w:eastAsiaTheme="minorEastAsia" w:hAnsiTheme="minorHAnsi" w:cstheme="minorBidi"/>
          <w:kern w:val="2"/>
          <w:sz w:val="24"/>
          <w:szCs w:val="21"/>
          <w:lang w:val="en-GB" w:eastAsia="ko-KR" w:bidi="hi-IN"/>
          <w14:ligatures w14:val="standardContextual"/>
        </w:rPr>
        <w:tab/>
      </w:r>
      <w:r>
        <w:t>Increasing the value of M limits the coverage of transmission but improves the timing accuracy.</w:t>
      </w:r>
    </w:p>
    <w:p w14:paraId="445904CD" w14:textId="77777777" w:rsidR="0039394E" w:rsidRDefault="0039394E">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4:</w:t>
      </w:r>
      <w:r>
        <w:rPr>
          <w:rFonts w:asciiTheme="minorHAnsi" w:eastAsiaTheme="minorEastAsia" w:hAnsiTheme="minorHAnsi" w:cstheme="minorBidi"/>
          <w:kern w:val="2"/>
          <w:sz w:val="24"/>
          <w:szCs w:val="21"/>
          <w:lang w:val="en-GB" w:eastAsia="ko-KR" w:bidi="hi-IN"/>
          <w14:ligatures w14:val="standardContextual"/>
        </w:rPr>
        <w:tab/>
      </w:r>
      <w:r>
        <w:t>Increasing the value of M, while retaining the same transmission duration, improves the auto-/cross- correlation properties of the sequence due to increase in sequence length.</w:t>
      </w:r>
    </w:p>
    <w:p w14:paraId="2619FB4D" w14:textId="77777777" w:rsidR="0039394E" w:rsidRDefault="0039394E">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5:</w:t>
      </w:r>
      <w:r>
        <w:rPr>
          <w:rFonts w:asciiTheme="minorHAnsi" w:eastAsiaTheme="minorEastAsia" w:hAnsiTheme="minorHAnsi" w:cstheme="minorBidi"/>
          <w:kern w:val="2"/>
          <w:sz w:val="24"/>
          <w:szCs w:val="21"/>
          <w:lang w:val="en-GB" w:eastAsia="ko-KR" w:bidi="hi-IN"/>
          <w14:ligatures w14:val="standardContextual"/>
        </w:rPr>
        <w:tab/>
      </w:r>
      <w:r>
        <w:t xml:space="preserve">RAN1 to consider designing preamble by ensuring uniform distribution of 1’s and 0’s and further consider equal number of 0’s and 1’s within an OFDM symbol for </w:t>
      </w:r>
      <m:oMath>
        <m:r>
          <w:rPr>
            <w:rFonts w:ascii="Cambria Math" w:hAnsi="Cambria Math"/>
          </w:rPr>
          <m:t>M</m:t>
        </m:r>
        <m:r>
          <m:rPr>
            <m:sty m:val="p"/>
          </m:rPr>
          <w:rPr>
            <w:rFonts w:ascii="Cambria Math" w:hAnsi="Cambria Math"/>
          </w:rPr>
          <m:t>&gt;1</m:t>
        </m:r>
      </m:oMath>
      <w:r>
        <w:t>.</w:t>
      </w:r>
    </w:p>
    <w:p w14:paraId="4DCA6FBF" w14:textId="77777777" w:rsidR="0039394E" w:rsidRDefault="0039394E">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rsidRPr="00E2355E">
        <w:rPr>
          <w:b/>
          <w:lang w:eastAsia="en-GB"/>
        </w:rPr>
        <w:t>Observation 6:</w:t>
      </w:r>
      <w:r>
        <w:rPr>
          <w:rFonts w:asciiTheme="minorHAnsi" w:eastAsiaTheme="minorEastAsia" w:hAnsiTheme="minorHAnsi" w:cstheme="minorBidi"/>
          <w:kern w:val="2"/>
          <w:sz w:val="24"/>
          <w:szCs w:val="21"/>
          <w:lang w:val="en-GB" w:eastAsia="ko-KR" w:bidi="hi-IN"/>
          <w14:ligatures w14:val="standardContextual"/>
        </w:rPr>
        <w:tab/>
      </w:r>
      <w:r>
        <w:t xml:space="preserve">Use of </w:t>
      </w:r>
      <m:oMath>
        <m:r>
          <w:rPr>
            <w:rFonts w:ascii="Cambria Math" w:hAnsi="Cambria Math"/>
          </w:rPr>
          <m:t>M</m:t>
        </m:r>
        <m:r>
          <m:rPr>
            <m:sty m:val="p"/>
          </m:rPr>
          <w:rPr>
            <w:rFonts w:ascii="Cambria Math" w:hAnsi="Cambria Math" w:hint="eastAsia"/>
          </w:rPr>
          <m:t>≥</m:t>
        </m:r>
        <m:r>
          <m:rPr>
            <m:sty m:val="p"/>
          </m:rPr>
          <w:rPr>
            <w:rFonts w:ascii="Cambria Math" w:hAnsi="Cambria Math" w:hint="eastAsia"/>
          </w:rPr>
          <m:t>4</m:t>
        </m:r>
      </m:oMath>
      <w:r>
        <w:t xml:space="preserve"> provides better timing estimation accuracy even in the presence of SFO as the sequence length spans only over a shorter duration.</w:t>
      </w:r>
    </w:p>
    <w:p w14:paraId="6A2DC3C2" w14:textId="77777777" w:rsidR="0039394E" w:rsidRDefault="0039394E">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rsidRPr="00E2355E">
        <w:rPr>
          <w:b/>
          <w:lang w:eastAsia="en-GB"/>
        </w:rPr>
        <w:t>Observation 7:</w:t>
      </w:r>
      <w:r>
        <w:rPr>
          <w:rFonts w:asciiTheme="minorHAnsi" w:eastAsiaTheme="minorEastAsia" w:hAnsiTheme="minorHAnsi" w:cstheme="minorBidi"/>
          <w:kern w:val="2"/>
          <w:sz w:val="24"/>
          <w:szCs w:val="21"/>
          <w:lang w:val="en-GB" w:eastAsia="ko-KR" w:bidi="hi-IN"/>
          <w14:ligatures w14:val="standardContextual"/>
        </w:rPr>
        <w:tab/>
      </w:r>
      <w:r>
        <w:t>The length of preamble sequence must be decided considering coverage, timing estimation accuracy, and the robustness against SFO.</w:t>
      </w:r>
    </w:p>
    <w:p w14:paraId="78BBCD5A" w14:textId="77777777" w:rsidR="0039394E" w:rsidRDefault="0039394E">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8:</w:t>
      </w:r>
      <w:r>
        <w:rPr>
          <w:rFonts w:asciiTheme="minorHAnsi" w:eastAsiaTheme="minorEastAsia" w:hAnsiTheme="minorHAnsi" w:cstheme="minorBidi"/>
          <w:kern w:val="2"/>
          <w:sz w:val="24"/>
          <w:szCs w:val="21"/>
          <w:lang w:val="en-GB" w:eastAsia="ko-KR" w:bidi="hi-IN"/>
          <w14:ligatures w14:val="standardContextual"/>
        </w:rPr>
        <w:tab/>
      </w:r>
      <w:r>
        <w:t>If sampling offset can be estimated to a certain extent at AIoT device, it facilitates the support of larger payload sizes without the need of midamble and postamble for resynchronization.</w:t>
      </w:r>
    </w:p>
    <w:p w14:paraId="57C1FAC4" w14:textId="77777777" w:rsidR="0039394E" w:rsidRDefault="0039394E">
      <w:pPr>
        <w:pStyle w:val="TOC1"/>
        <w:tabs>
          <w:tab w:val="left" w:pos="1701"/>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9:</w:t>
      </w:r>
      <w:r>
        <w:rPr>
          <w:rFonts w:asciiTheme="minorHAnsi" w:eastAsiaTheme="minorEastAsia" w:hAnsiTheme="minorHAnsi" w:cstheme="minorBidi"/>
          <w:kern w:val="2"/>
          <w:sz w:val="24"/>
          <w:szCs w:val="21"/>
          <w:lang w:val="en-GB" w:eastAsia="ko-KR" w:bidi="hi-IN"/>
          <w14:ligatures w14:val="standardContextual"/>
        </w:rPr>
        <w:tab/>
      </w:r>
      <w:r>
        <w:t>As the Manchester encoding is assumed for PRDCH payload, midamble may not be needed as Manchester coding itself is a self-synchronizing sequence.</w:t>
      </w:r>
    </w:p>
    <w:p w14:paraId="47BE21D2"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10:</w:t>
      </w:r>
      <w:r>
        <w:rPr>
          <w:rFonts w:asciiTheme="minorHAnsi" w:eastAsiaTheme="minorEastAsia" w:hAnsiTheme="minorHAnsi" w:cstheme="minorBidi"/>
          <w:kern w:val="2"/>
          <w:sz w:val="24"/>
          <w:szCs w:val="21"/>
          <w:lang w:val="en-GB" w:eastAsia="ko-KR" w:bidi="hi-IN"/>
          <w14:ligatures w14:val="standardContextual"/>
        </w:rPr>
        <w:tab/>
      </w:r>
      <w:r>
        <w:t>The use of midamble is needed to reacquire the timing synchronization for the device having large sampling offset, if the duration of the transmission lasts longer following the preamble.</w:t>
      </w:r>
    </w:p>
    <w:p w14:paraId="64244F5A"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11:</w:t>
      </w:r>
      <w:r>
        <w:rPr>
          <w:rFonts w:asciiTheme="minorHAnsi" w:eastAsiaTheme="minorEastAsia" w:hAnsiTheme="minorHAnsi" w:cstheme="minorBidi"/>
          <w:kern w:val="2"/>
          <w:sz w:val="24"/>
          <w:szCs w:val="21"/>
          <w:lang w:val="en-GB" w:eastAsia="ko-KR" w:bidi="hi-IN"/>
          <w14:ligatures w14:val="standardContextual"/>
        </w:rPr>
        <w:tab/>
      </w:r>
      <w:r>
        <w:t>Even with large sampling offset, midamble may not be needed if the payload length is short, since the initial timing alignment is carried out by the preamble sequence.</w:t>
      </w:r>
    </w:p>
    <w:p w14:paraId="60051645"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12:</w:t>
      </w:r>
      <w:r>
        <w:rPr>
          <w:rFonts w:asciiTheme="minorHAnsi" w:eastAsiaTheme="minorEastAsia" w:hAnsiTheme="minorHAnsi" w:cstheme="minorBidi"/>
          <w:kern w:val="2"/>
          <w:sz w:val="24"/>
          <w:szCs w:val="21"/>
          <w:lang w:val="en-GB" w:eastAsia="ko-KR" w:bidi="hi-IN"/>
          <w14:ligatures w14:val="standardContextual"/>
        </w:rPr>
        <w:tab/>
      </w:r>
      <w: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p>
    <w:p w14:paraId="3E344875"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13:</w:t>
      </w:r>
      <w:r>
        <w:rPr>
          <w:rFonts w:asciiTheme="minorHAnsi" w:eastAsiaTheme="minorEastAsia" w:hAnsiTheme="minorHAnsi" w:cstheme="minorBidi"/>
          <w:kern w:val="2"/>
          <w:sz w:val="24"/>
          <w:szCs w:val="21"/>
          <w:lang w:val="en-GB" w:eastAsia="ko-KR" w:bidi="hi-IN"/>
          <w14:ligatures w14:val="standardContextual"/>
        </w:rPr>
        <w:tab/>
      </w:r>
      <w:r w:rsidRPr="00E2355E">
        <w:t>Using postamble and preamble together with the length of PRDCH transmission, an AIoT device can determine the sampling offset/drift experienced, if Manchester encoding is not used.</w:t>
      </w:r>
    </w:p>
    <w:p w14:paraId="76CC7FDA"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14:</w:t>
      </w:r>
      <w:r>
        <w:rPr>
          <w:rFonts w:asciiTheme="minorHAnsi" w:eastAsiaTheme="minorEastAsia" w:hAnsiTheme="minorHAnsi" w:cstheme="minorBidi"/>
          <w:kern w:val="2"/>
          <w:sz w:val="24"/>
          <w:szCs w:val="21"/>
          <w:lang w:val="en-GB" w:eastAsia="ko-KR" w:bidi="hi-IN"/>
          <w14:ligatures w14:val="standardContextual"/>
        </w:rPr>
        <w:tab/>
      </w:r>
      <w:r>
        <w:t>To determine the start of the uplink frame and to detect and correct the sampling offset introduced by the device transmission, the need for preamble is inevitable in the PDRCH transmission.</w:t>
      </w:r>
    </w:p>
    <w:p w14:paraId="1E51B5C0"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15:</w:t>
      </w:r>
      <w:r>
        <w:rPr>
          <w:rFonts w:asciiTheme="minorHAnsi" w:eastAsiaTheme="minorEastAsia" w:hAnsiTheme="minorHAnsi" w:cstheme="minorBidi"/>
          <w:kern w:val="2"/>
          <w:sz w:val="24"/>
          <w:szCs w:val="21"/>
          <w:lang w:val="en-GB" w:eastAsia="ko-KR" w:bidi="hi-IN"/>
          <w14:ligatures w14:val="standardContextual"/>
        </w:rPr>
        <w:tab/>
      </w:r>
      <w:r>
        <w:t>Depending on the quality of preamble transmitted from two discreet tones, the following PDRCH payload can be transmitted only from the selected link.</w:t>
      </w:r>
    </w:p>
    <w:p w14:paraId="3FB63B6D"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16:</w:t>
      </w:r>
      <w:r>
        <w:rPr>
          <w:rFonts w:asciiTheme="minorHAnsi" w:eastAsiaTheme="minorEastAsia" w:hAnsiTheme="minorHAnsi" w:cstheme="minorBidi"/>
          <w:kern w:val="2"/>
          <w:sz w:val="24"/>
          <w:szCs w:val="21"/>
          <w:lang w:val="en-GB" w:eastAsia="ko-KR" w:bidi="hi-IN"/>
          <w14:ligatures w14:val="standardContextual"/>
        </w:rPr>
        <w:tab/>
      </w:r>
      <w:r>
        <w:t>RAN1 should design preamble based on “m-sequence” as it provides better autocorrelation properties and has balanced number of ones and zeros.</w:t>
      </w:r>
    </w:p>
    <w:p w14:paraId="4D1292AC"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17:</w:t>
      </w:r>
      <w:r>
        <w:rPr>
          <w:rFonts w:asciiTheme="minorHAnsi" w:eastAsiaTheme="minorEastAsia" w:hAnsiTheme="minorHAnsi" w:cstheme="minorBidi"/>
          <w:kern w:val="2"/>
          <w:sz w:val="24"/>
          <w:szCs w:val="21"/>
          <w:lang w:val="en-GB" w:eastAsia="ko-KR" w:bidi="hi-IN"/>
          <w14:ligatures w14:val="standardContextual"/>
        </w:rPr>
        <w:tab/>
      </w:r>
      <w:r w:rsidRPr="00E2355E">
        <w:t>The need for midamble depends on the type of modulation used for D2R transmission. If the D2R transmission uses self-synchronizing modulation schemes like FM0, Miller, or MC, then the need for midamble is not essential.</w:t>
      </w:r>
    </w:p>
    <w:p w14:paraId="5C91B4A9" w14:textId="77777777" w:rsidR="0039394E" w:rsidRDefault="0039394E">
      <w:pPr>
        <w:pStyle w:val="TOC1"/>
        <w:tabs>
          <w:tab w:val="left" w:pos="1985"/>
        </w:tabs>
        <w:rPr>
          <w:rFonts w:asciiTheme="minorHAnsi" w:eastAsiaTheme="minorEastAsia" w:hAnsiTheme="minorHAnsi" w:cstheme="minorBidi"/>
          <w:kern w:val="2"/>
          <w:sz w:val="24"/>
          <w:szCs w:val="21"/>
          <w:lang w:val="en-GB" w:eastAsia="ko-KR" w:bidi="hi-IN"/>
          <w14:ligatures w14:val="standardContextual"/>
        </w:rPr>
      </w:pPr>
      <w:r w:rsidRPr="00E2355E">
        <w:rPr>
          <w:b/>
        </w:rPr>
        <w:t>Observation 18:</w:t>
      </w:r>
      <w:r>
        <w:rPr>
          <w:rFonts w:asciiTheme="minorHAnsi" w:eastAsiaTheme="minorEastAsia" w:hAnsiTheme="minorHAnsi" w:cstheme="minorBidi"/>
          <w:kern w:val="2"/>
          <w:sz w:val="24"/>
          <w:szCs w:val="21"/>
          <w:lang w:val="en-GB" w:eastAsia="ko-KR" w:bidi="hi-IN"/>
          <w14:ligatures w14:val="standardContextual"/>
        </w:rPr>
        <w:tab/>
      </w:r>
      <w:r w:rsidRPr="00E2355E">
        <w:t>As FEC is adopted in D2R transmission, device cannot autonomously terminate the transmission by sending postamble for early termination, since the coding rate is fixed by the size of the information bits and the codeword length, both are signaled in the previous PRDCH control.</w:t>
      </w:r>
    </w:p>
    <w:p w14:paraId="6965A0C2" w14:textId="5CCCB1FA" w:rsidR="00F75810" w:rsidRPr="00F75810" w:rsidRDefault="00F75810" w:rsidP="00226328">
      <w:pPr>
        <w:pStyle w:val="Style2"/>
      </w:pPr>
      <w:r>
        <w:lastRenderedPageBreak/>
        <w:fldChar w:fldCharType="end"/>
      </w:r>
    </w:p>
    <w:p w14:paraId="3DF7620F" w14:textId="1892A5F9" w:rsidR="004C69BD" w:rsidRDefault="004C69BD" w:rsidP="00226328">
      <w:pPr>
        <w:pStyle w:val="Heading2"/>
        <w:rPr>
          <w:lang w:val="en-US"/>
        </w:rPr>
      </w:pPr>
      <w:r>
        <w:rPr>
          <w:lang w:val="en-US"/>
        </w:rPr>
        <w:t>List of Proposals</w:t>
      </w:r>
    </w:p>
    <w:p w14:paraId="01267FEF" w14:textId="77777777" w:rsidR="0039394E" w:rsidRDefault="004C69BD">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r>
        <w:rPr>
          <w:b/>
        </w:rPr>
        <w:fldChar w:fldCharType="begin"/>
      </w:r>
      <w:r>
        <w:instrText xml:space="preserve"> TOC \n \h \z \t "Proposal,1" </w:instrText>
      </w:r>
      <w:r>
        <w:rPr>
          <w:b/>
        </w:rPr>
        <w:fldChar w:fldCharType="separate"/>
      </w:r>
      <w:hyperlink w:anchor="_Toc189863390" w:history="1">
        <w:r w:rsidR="0039394E" w:rsidRPr="00AA7FC5">
          <w:rPr>
            <w:rStyle w:val="Hyperlink"/>
          </w:rPr>
          <w:t>Proposal 1:</w:t>
        </w:r>
        <w:r w:rsidR="0039394E">
          <w:rPr>
            <w:rFonts w:asciiTheme="minorHAnsi" w:eastAsiaTheme="minorEastAsia" w:hAnsiTheme="minorHAnsi" w:cstheme="minorBidi"/>
            <w:kern w:val="2"/>
            <w:sz w:val="24"/>
            <w:szCs w:val="21"/>
            <w:lang w:val="en-GB" w:eastAsia="ko-KR" w:bidi="hi-IN"/>
            <w14:ligatures w14:val="standardContextual"/>
          </w:rPr>
          <w:tab/>
        </w:r>
        <w:r w:rsidR="0039394E" w:rsidRPr="00AA7FC5">
          <w:rPr>
            <w:rStyle w:val="Hyperlink"/>
          </w:rPr>
          <w:t>RAN1 should ensure start de-limiter to have at least two ON pulses with sufficient width and separation to avoid false activation and to provide enough energy to validate the threshold.</w:t>
        </w:r>
      </w:hyperlink>
    </w:p>
    <w:p w14:paraId="3D06A294"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1" w:history="1">
        <w:r w:rsidRPr="00AA7FC5">
          <w:rPr>
            <w:rStyle w:val="Hyperlink"/>
          </w:rPr>
          <w:t>Proposal 2:</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Consider fixed transmission duration irrespective of the value of M, i.e., option 2 is preferrable.</w:t>
        </w:r>
      </w:hyperlink>
    </w:p>
    <w:p w14:paraId="4297EECB"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2" w:history="1">
        <w:r w:rsidRPr="00AA7FC5">
          <w:rPr>
            <w:rStyle w:val="Hyperlink"/>
          </w:rPr>
          <w:t>Proposal 3:</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iCs/>
          </w:rPr>
          <w:t>RAN1 must ensure equal number of 1’s and 0’s within each OFDM symbol to ensure uniform power level of all ON symbols due to total power constraint within each OFDM symbol.</w:t>
        </w:r>
      </w:hyperlink>
    </w:p>
    <w:p w14:paraId="59B0BDAF"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3" w:history="1">
        <w:r w:rsidRPr="00AA7FC5">
          <w:rPr>
            <w:rStyle w:val="Hyperlink"/>
          </w:rPr>
          <w:t>Proposal 4:</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 xml:space="preserve">RAN1 should consider preamble sequence of length in the range of </w:t>
        </w:r>
        <m:oMath>
          <m:r>
            <m:rPr>
              <m:sty m:val="p"/>
            </m:rPr>
            <w:rPr>
              <w:rStyle w:val="Hyperlink"/>
              <w:rFonts w:ascii="Cambria Math" w:hAnsi="Cambria Math"/>
            </w:rPr>
            <m:t>[</m:t>
          </m:r>
          <m:r>
            <m:rPr>
              <m:sty m:val="b"/>
            </m:rPr>
            <w:rPr>
              <w:rStyle w:val="Hyperlink"/>
              <w:rFonts w:ascii="Cambria Math" w:hAnsi="Cambria Math"/>
            </w:rPr>
            <m:t>16</m:t>
          </m:r>
          <m:r>
            <m:rPr>
              <m:sty m:val="p"/>
            </m:rPr>
            <w:rPr>
              <w:rStyle w:val="Hyperlink"/>
              <w:rFonts w:ascii="Cambria Math" w:hAnsi="Cambria Math"/>
            </w:rPr>
            <m:t>,</m:t>
          </m:r>
          <m:r>
            <m:rPr>
              <m:sty m:val="b"/>
            </m:rPr>
            <w:rPr>
              <w:rStyle w:val="Hyperlink"/>
              <w:rFonts w:ascii="Cambria Math" w:hAnsi="Cambria Math"/>
            </w:rPr>
            <m:t>32</m:t>
          </m:r>
          <m:r>
            <m:rPr>
              <m:sty m:val="p"/>
            </m:rPr>
            <w:rPr>
              <w:rStyle w:val="Hyperlink"/>
              <w:rFonts w:ascii="Cambria Math" w:hAnsi="Cambria Math"/>
            </w:rPr>
            <m:t>]</m:t>
          </m:r>
        </m:oMath>
        <w:r w:rsidRPr="00AA7FC5">
          <w:rPr>
            <w:rStyle w:val="Hyperlink"/>
          </w:rPr>
          <w:t xml:space="preserve"> together with </w:t>
        </w:r>
        <m:oMath>
          <m:r>
            <m:rPr>
              <m:sty m:val="bi"/>
            </m:rPr>
            <w:rPr>
              <w:rStyle w:val="Hyperlink"/>
              <w:rFonts w:ascii="Cambria Math" w:hAnsi="Cambria Math"/>
            </w:rPr>
            <m:t>M</m:t>
          </m:r>
          <m:r>
            <m:rPr>
              <m:sty m:val="p"/>
            </m:rPr>
            <w:rPr>
              <w:rStyle w:val="Hyperlink"/>
              <w:rFonts w:ascii="Cambria Math" w:hAnsi="Cambria Math"/>
            </w:rPr>
            <m:t>={</m:t>
          </m:r>
          <m:r>
            <m:rPr>
              <m:sty m:val="b"/>
            </m:rPr>
            <w:rPr>
              <w:rStyle w:val="Hyperlink"/>
              <w:rFonts w:ascii="Cambria Math" w:hAnsi="Cambria Math"/>
            </w:rPr>
            <m:t>4</m:t>
          </m:r>
          <m:r>
            <m:rPr>
              <m:sty m:val="p"/>
            </m:rPr>
            <w:rPr>
              <w:rStyle w:val="Hyperlink"/>
              <w:rFonts w:ascii="Cambria Math" w:hAnsi="Cambria Math"/>
            </w:rPr>
            <m:t>,</m:t>
          </m:r>
          <m:r>
            <m:rPr>
              <m:sty m:val="b"/>
            </m:rPr>
            <w:rPr>
              <w:rStyle w:val="Hyperlink"/>
              <w:rFonts w:ascii="Cambria Math" w:hAnsi="Cambria Math"/>
            </w:rPr>
            <m:t>8</m:t>
          </m:r>
          <m:r>
            <m:rPr>
              <m:sty m:val="p"/>
            </m:rPr>
            <w:rPr>
              <w:rStyle w:val="Hyperlink"/>
              <w:rFonts w:ascii="Cambria Math" w:hAnsi="Cambria Math"/>
            </w:rPr>
            <m:t>}</m:t>
          </m:r>
        </m:oMath>
        <w:r w:rsidRPr="00AA7FC5">
          <w:rPr>
            <w:rStyle w:val="Hyperlink"/>
          </w:rPr>
          <w:t>.</w:t>
        </w:r>
      </w:hyperlink>
    </w:p>
    <w:p w14:paraId="6C69B78A"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4" w:history="1">
        <w:r w:rsidRPr="00AA7FC5">
          <w:rPr>
            <w:rStyle w:val="Hyperlink"/>
          </w:rPr>
          <w:t>Proposal 5:</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RAN1 should design preamble based on “m-sequence” as it provides better autocorrelation properties and has balanced number of ones and zeros.</w:t>
        </w:r>
      </w:hyperlink>
    </w:p>
    <w:p w14:paraId="2EB32896"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5" w:history="1">
        <w:r w:rsidRPr="00AA7FC5">
          <w:rPr>
            <w:rStyle w:val="Hyperlink"/>
          </w:rPr>
          <w:t>Proposal 6:</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RAN1 should study how preamble can be used to determine sampling frequency offset to support larger payload in PRDCH.</w:t>
        </w:r>
      </w:hyperlink>
    </w:p>
    <w:p w14:paraId="2A28DB49"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6" w:history="1">
        <w:r w:rsidRPr="00AA7FC5">
          <w:rPr>
            <w:rStyle w:val="Hyperlink"/>
          </w:rPr>
          <w:t>Proposal 7:</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As Manchester encoding is considered for R2D transmission, the need for midamble is not imperative.</w:t>
        </w:r>
      </w:hyperlink>
    </w:p>
    <w:p w14:paraId="7C713C5C"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7" w:history="1">
        <w:r w:rsidRPr="00AA7FC5">
          <w:rPr>
            <w:rStyle w:val="Hyperlink"/>
          </w:rPr>
          <w:t>Proposal 8:</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RAN1 shall consider having postamble for PRDCH transmission to favor the devices having higher sampling drifts to determine the end of transmission reliably.</w:t>
        </w:r>
      </w:hyperlink>
    </w:p>
    <w:p w14:paraId="1F258225"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8" w:history="1">
        <w:r w:rsidRPr="00AA7FC5">
          <w:rPr>
            <w:rStyle w:val="Hyperlink"/>
          </w:rPr>
          <w:t>Proposal 9:</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RAN1 should consider D2R preamble sequence of length of 16 or 32 without Manchester encoding.</w:t>
        </w:r>
      </w:hyperlink>
    </w:p>
    <w:p w14:paraId="7CFE8E7E"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399" w:history="1">
        <w:r w:rsidRPr="00AA7FC5">
          <w:rPr>
            <w:rStyle w:val="Hyperlink"/>
          </w:rPr>
          <w:t>Proposal 10:</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Preamble sequence shall be transmitted from two discreet tones, if frequency hopping is used for PDRCH payload that follows.</w:t>
        </w:r>
      </w:hyperlink>
    </w:p>
    <w:p w14:paraId="4CAD7BCC"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400" w:history="1">
        <w:r w:rsidRPr="00AA7FC5">
          <w:rPr>
            <w:rStyle w:val="Hyperlink"/>
          </w:rPr>
          <w:t>Proposal 11:</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RAN1 should consider generating preamble sequence for D2R transmission using m-sequence as it is simpler to implement at AIoT device and has better auto/cross correlation properties.</w:t>
        </w:r>
      </w:hyperlink>
    </w:p>
    <w:p w14:paraId="36731D0C"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401" w:history="1">
        <w:r w:rsidRPr="00AA7FC5">
          <w:rPr>
            <w:rStyle w:val="Hyperlink"/>
          </w:rPr>
          <w:t>Proposal 12:</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The need for midamble improves the reader detectability of PDRCH transmission, however, it depends on the type of modulation considered for D2R transmission.</w:t>
        </w:r>
      </w:hyperlink>
    </w:p>
    <w:p w14:paraId="792E2A53" w14:textId="77777777" w:rsidR="0039394E" w:rsidRDefault="0039394E">
      <w:pPr>
        <w:pStyle w:val="TOC1"/>
        <w:tabs>
          <w:tab w:val="left" w:pos="1418"/>
        </w:tabs>
        <w:rPr>
          <w:rFonts w:asciiTheme="minorHAnsi" w:eastAsiaTheme="minorEastAsia" w:hAnsiTheme="minorHAnsi" w:cstheme="minorBidi"/>
          <w:kern w:val="2"/>
          <w:sz w:val="24"/>
          <w:szCs w:val="21"/>
          <w:lang w:val="en-GB" w:eastAsia="ko-KR" w:bidi="hi-IN"/>
          <w14:ligatures w14:val="standardContextual"/>
        </w:rPr>
      </w:pPr>
      <w:hyperlink w:anchor="_Toc189863402" w:history="1">
        <w:r w:rsidRPr="00AA7FC5">
          <w:rPr>
            <w:rStyle w:val="Hyperlink"/>
          </w:rPr>
          <w:t>Proposal 13:</w:t>
        </w:r>
        <w:r>
          <w:rPr>
            <w:rFonts w:asciiTheme="minorHAnsi" w:eastAsiaTheme="minorEastAsia" w:hAnsiTheme="minorHAnsi" w:cstheme="minorBidi"/>
            <w:kern w:val="2"/>
            <w:sz w:val="24"/>
            <w:szCs w:val="21"/>
            <w:lang w:val="en-GB" w:eastAsia="ko-KR" w:bidi="hi-IN"/>
            <w14:ligatures w14:val="standardContextual"/>
          </w:rPr>
          <w:tab/>
        </w:r>
        <w:r w:rsidRPr="00AA7FC5">
          <w:rPr>
            <w:rStyle w:val="Hyperlink"/>
          </w:rPr>
          <w:t>RAN1 shall not consider postamble for PDRCH transmission as there is no need for a device to terminate the transmission autonomously.</w:t>
        </w:r>
      </w:hyperlink>
    </w:p>
    <w:p w14:paraId="2A68EE50" w14:textId="7B1AB19A" w:rsidR="00146940" w:rsidRPr="000941CE" w:rsidRDefault="004C69BD" w:rsidP="000941CE">
      <w:pPr>
        <w:rPr>
          <w:lang w:val="en-US"/>
        </w:rPr>
      </w:pPr>
      <w:r>
        <w:rPr>
          <w:lang w:val="en-US"/>
        </w:rPr>
        <w:fldChar w:fldCharType="end"/>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20D0564D" w14:textId="05AF38DF" w:rsidR="00146940" w:rsidRPr="00146940" w:rsidRDefault="00146940" w:rsidP="00146940">
      <w:pPr>
        <w:pStyle w:val="ListParagraph"/>
        <w:numPr>
          <w:ilvl w:val="0"/>
          <w:numId w:val="35"/>
        </w:numPr>
        <w:rPr>
          <w:rStyle w:val="normaltextrun"/>
          <w:rFonts w:eastAsia="Times New Roman"/>
          <w:noProof/>
          <w:szCs w:val="20"/>
          <w:lang w:val="en-US"/>
        </w:rPr>
      </w:pPr>
      <w:bookmarkStart w:id="149" w:name="_Ref189129408"/>
      <w:r w:rsidRPr="00146940">
        <w:rPr>
          <w:rStyle w:val="normaltextrun"/>
          <w:rFonts w:eastAsia="Times New Roman"/>
          <w:noProof/>
          <w:szCs w:val="20"/>
          <w:lang w:val="en-US"/>
        </w:rPr>
        <w:t>RP-243326, ”</w:t>
      </w:r>
      <w:r w:rsidRPr="00146940">
        <w:t xml:space="preserve"> </w:t>
      </w:r>
      <w:r w:rsidRPr="00146940">
        <w:rPr>
          <w:rStyle w:val="normaltextrun"/>
          <w:rFonts w:eastAsia="Times New Roman"/>
          <w:noProof/>
          <w:szCs w:val="20"/>
          <w:lang w:val="en-US"/>
        </w:rPr>
        <w:t>New WID on Rel-19 Ambient IoT”, RAN#10</w:t>
      </w:r>
      <w:r>
        <w:rPr>
          <w:rStyle w:val="normaltextrun"/>
          <w:rFonts w:eastAsia="Times New Roman"/>
          <w:noProof/>
          <w:szCs w:val="20"/>
          <w:lang w:val="en-US"/>
        </w:rPr>
        <w:t>6</w:t>
      </w:r>
      <w:bookmarkEnd w:id="149"/>
    </w:p>
    <w:p w14:paraId="6D4D0600" w14:textId="7651E713" w:rsidR="00DB6729" w:rsidRPr="00DB6729" w:rsidRDefault="00146940" w:rsidP="00146940">
      <w:pPr>
        <w:pStyle w:val="ListParagraph"/>
        <w:numPr>
          <w:ilvl w:val="0"/>
          <w:numId w:val="35"/>
        </w:numPr>
        <w:rPr>
          <w:szCs w:val="20"/>
          <w:lang w:val="en-US"/>
        </w:rPr>
      </w:pPr>
      <w:r w:rsidRPr="00146940">
        <w:rPr>
          <w:szCs w:val="20"/>
          <w:lang w:val="en-US"/>
        </w:rPr>
        <w:t>TR 38.769</w:t>
      </w:r>
      <w:r w:rsidR="00917177">
        <w:rPr>
          <w:szCs w:val="20"/>
          <w:lang w:val="en-US"/>
        </w:rPr>
        <w:t>, “</w:t>
      </w:r>
      <w:r w:rsidR="00917177" w:rsidRPr="00917177">
        <w:rPr>
          <w:szCs w:val="20"/>
          <w:lang w:val="en-US"/>
        </w:rPr>
        <w:t>Study on solutions for Ambient IoT (Internet of Things) in NR</w:t>
      </w:r>
      <w:r w:rsidR="00917177">
        <w:rPr>
          <w:szCs w:val="20"/>
          <w:lang w:val="en-US"/>
        </w:rPr>
        <w:t>”</w:t>
      </w:r>
    </w:p>
    <w:sectPr w:rsidR="00DB6729" w:rsidRPr="00DB672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90FE9" w14:textId="77777777" w:rsidR="00DC7C8F" w:rsidRDefault="00DC7C8F">
      <w:r>
        <w:separator/>
      </w:r>
    </w:p>
  </w:endnote>
  <w:endnote w:type="continuationSeparator" w:id="0">
    <w:p w14:paraId="6A46EB8C" w14:textId="77777777" w:rsidR="00DC7C8F" w:rsidRDefault="00DC7C8F">
      <w:r>
        <w:continuationSeparator/>
      </w:r>
    </w:p>
  </w:endnote>
  <w:endnote w:type="continuationNotice" w:id="1">
    <w:p w14:paraId="1EF7619D" w14:textId="77777777" w:rsidR="00DC7C8F" w:rsidRDefault="00DC7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2524F" w14:textId="77777777" w:rsidR="00DC7C8F" w:rsidRDefault="00DC7C8F">
      <w:r>
        <w:separator/>
      </w:r>
    </w:p>
  </w:footnote>
  <w:footnote w:type="continuationSeparator" w:id="0">
    <w:p w14:paraId="557342CD" w14:textId="77777777" w:rsidR="00DC7C8F" w:rsidRDefault="00DC7C8F">
      <w:r>
        <w:continuationSeparator/>
      </w:r>
    </w:p>
  </w:footnote>
  <w:footnote w:type="continuationNotice" w:id="1">
    <w:p w14:paraId="61D9C7D1" w14:textId="77777777" w:rsidR="00DC7C8F" w:rsidRDefault="00DC7C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4760C1"/>
    <w:multiLevelType w:val="multilevel"/>
    <w:tmpl w:val="ED3EFD9E"/>
    <w:lvl w:ilvl="0">
      <w:start w:val="1"/>
      <w:numFmt w:val="decimal"/>
      <w:pStyle w:val="ProposalText"/>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1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FB2176"/>
    <w:multiLevelType w:val="hybridMultilevel"/>
    <w:tmpl w:val="55367E0C"/>
    <w:lvl w:ilvl="0" w:tplc="98D47C28">
      <w:start w:val="1"/>
      <w:numFmt w:val="decimal"/>
      <w:pStyle w:val="Proposal"/>
      <w:lvlText w:val="Proposal %1:"/>
      <w:lvlJc w:val="left"/>
      <w:pPr>
        <w:ind w:left="1636" w:hanging="360"/>
      </w:pPr>
      <w:rPr>
        <w:rFonts w:hint="default"/>
        <w:b/>
        <w:i w:val="0"/>
        <w:sz w:val="20"/>
      </w:rPr>
    </w:lvl>
    <w:lvl w:ilvl="1" w:tplc="12E069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383BEF"/>
    <w:multiLevelType w:val="hybridMultilevel"/>
    <w:tmpl w:val="DA1E47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B377809"/>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6" w15:restartNumberingAfterBreak="0">
    <w:nsid w:val="50B86E5F"/>
    <w:multiLevelType w:val="hybridMultilevel"/>
    <w:tmpl w:val="EEAA7CAC"/>
    <w:lvl w:ilvl="0" w:tplc="65FE3110">
      <w:start w:val="1"/>
      <w:numFmt w:val="bullet"/>
      <w:lvlText w:val=""/>
      <w:lvlJc w:val="left"/>
      <w:pPr>
        <w:ind w:left="720" w:hanging="360"/>
      </w:pPr>
      <w:rPr>
        <w:rFonts w:ascii="Symbol" w:hAnsi="Symbol"/>
      </w:rPr>
    </w:lvl>
    <w:lvl w:ilvl="1" w:tplc="8116A78E">
      <w:start w:val="1"/>
      <w:numFmt w:val="bullet"/>
      <w:lvlText w:val=""/>
      <w:lvlJc w:val="left"/>
      <w:pPr>
        <w:ind w:left="720" w:hanging="360"/>
      </w:pPr>
      <w:rPr>
        <w:rFonts w:ascii="Symbol" w:hAnsi="Symbol"/>
      </w:rPr>
    </w:lvl>
    <w:lvl w:ilvl="2" w:tplc="9C026B34">
      <w:start w:val="1"/>
      <w:numFmt w:val="bullet"/>
      <w:lvlText w:val=""/>
      <w:lvlJc w:val="left"/>
      <w:pPr>
        <w:ind w:left="720" w:hanging="360"/>
      </w:pPr>
      <w:rPr>
        <w:rFonts w:ascii="Symbol" w:hAnsi="Symbol"/>
      </w:rPr>
    </w:lvl>
    <w:lvl w:ilvl="3" w:tplc="469E9968">
      <w:start w:val="1"/>
      <w:numFmt w:val="bullet"/>
      <w:lvlText w:val=""/>
      <w:lvlJc w:val="left"/>
      <w:pPr>
        <w:ind w:left="720" w:hanging="360"/>
      </w:pPr>
      <w:rPr>
        <w:rFonts w:ascii="Symbol" w:hAnsi="Symbol"/>
      </w:rPr>
    </w:lvl>
    <w:lvl w:ilvl="4" w:tplc="D960F1A4">
      <w:start w:val="1"/>
      <w:numFmt w:val="bullet"/>
      <w:lvlText w:val=""/>
      <w:lvlJc w:val="left"/>
      <w:pPr>
        <w:ind w:left="720" w:hanging="360"/>
      </w:pPr>
      <w:rPr>
        <w:rFonts w:ascii="Symbol" w:hAnsi="Symbol"/>
      </w:rPr>
    </w:lvl>
    <w:lvl w:ilvl="5" w:tplc="D35AB884">
      <w:start w:val="1"/>
      <w:numFmt w:val="bullet"/>
      <w:lvlText w:val=""/>
      <w:lvlJc w:val="left"/>
      <w:pPr>
        <w:ind w:left="720" w:hanging="360"/>
      </w:pPr>
      <w:rPr>
        <w:rFonts w:ascii="Symbol" w:hAnsi="Symbol"/>
      </w:rPr>
    </w:lvl>
    <w:lvl w:ilvl="6" w:tplc="4CE44786">
      <w:start w:val="1"/>
      <w:numFmt w:val="bullet"/>
      <w:lvlText w:val=""/>
      <w:lvlJc w:val="left"/>
      <w:pPr>
        <w:ind w:left="720" w:hanging="360"/>
      </w:pPr>
      <w:rPr>
        <w:rFonts w:ascii="Symbol" w:hAnsi="Symbol"/>
      </w:rPr>
    </w:lvl>
    <w:lvl w:ilvl="7" w:tplc="37ECCB8E">
      <w:start w:val="1"/>
      <w:numFmt w:val="bullet"/>
      <w:lvlText w:val=""/>
      <w:lvlJc w:val="left"/>
      <w:pPr>
        <w:ind w:left="720" w:hanging="360"/>
      </w:pPr>
      <w:rPr>
        <w:rFonts w:ascii="Symbol" w:hAnsi="Symbol"/>
      </w:rPr>
    </w:lvl>
    <w:lvl w:ilvl="8" w:tplc="8B1E7A08">
      <w:start w:val="1"/>
      <w:numFmt w:val="bullet"/>
      <w:lvlText w:val=""/>
      <w:lvlJc w:val="left"/>
      <w:pPr>
        <w:ind w:left="720" w:hanging="360"/>
      </w:pPr>
      <w:rPr>
        <w:rFonts w:ascii="Symbol" w:hAnsi="Symbol"/>
      </w:rPr>
    </w:lvl>
  </w:abstractNum>
  <w:abstractNum w:abstractNumId="37" w15:restartNumberingAfterBreak="0">
    <w:nsid w:val="53D71C80"/>
    <w:multiLevelType w:val="hybridMultilevel"/>
    <w:tmpl w:val="7A14EF20"/>
    <w:lvl w:ilvl="0" w:tplc="CEFE86E4">
      <w:start w:val="1"/>
      <w:numFmt w:val="decimal"/>
      <w:pStyle w:val="Observation"/>
      <w:lvlText w:val="Observation %1:"/>
      <w:lvlJc w:val="left"/>
      <w:pPr>
        <w:ind w:left="927"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5C39C1"/>
    <w:multiLevelType w:val="hybridMultilevel"/>
    <w:tmpl w:val="9F4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8132F2"/>
    <w:multiLevelType w:val="hybridMultilevel"/>
    <w:tmpl w:val="5CC8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7"/>
  </w:num>
  <w:num w:numId="2" w16cid:durableId="357124585">
    <w:abstractNumId w:val="25"/>
  </w:num>
  <w:num w:numId="3" w16cid:durableId="1559780918">
    <w:abstractNumId w:val="3"/>
  </w:num>
  <w:num w:numId="4" w16cid:durableId="718750690">
    <w:abstractNumId w:val="47"/>
  </w:num>
  <w:num w:numId="5" w16cid:durableId="1547567976">
    <w:abstractNumId w:val="21"/>
  </w:num>
  <w:num w:numId="6" w16cid:durableId="1485706495">
    <w:abstractNumId w:val="46"/>
  </w:num>
  <w:num w:numId="7" w16cid:durableId="1709142021">
    <w:abstractNumId w:val="20"/>
  </w:num>
  <w:num w:numId="8" w16cid:durableId="1316760466">
    <w:abstractNumId w:val="41"/>
  </w:num>
  <w:num w:numId="9" w16cid:durableId="440952079">
    <w:abstractNumId w:val="32"/>
  </w:num>
  <w:num w:numId="10" w16cid:durableId="1177697182">
    <w:abstractNumId w:val="49"/>
  </w:num>
  <w:num w:numId="11" w16cid:durableId="50622417">
    <w:abstractNumId w:val="44"/>
  </w:num>
  <w:num w:numId="12" w16cid:durableId="1302345153">
    <w:abstractNumId w:val="48"/>
  </w:num>
  <w:num w:numId="13" w16cid:durableId="1965308432">
    <w:abstractNumId w:val="18"/>
  </w:num>
  <w:num w:numId="14" w16cid:durableId="1182354916">
    <w:abstractNumId w:val="13"/>
  </w:num>
  <w:num w:numId="15" w16cid:durableId="1501045113">
    <w:abstractNumId w:val="8"/>
  </w:num>
  <w:num w:numId="16" w16cid:durableId="1353458069">
    <w:abstractNumId w:val="53"/>
  </w:num>
  <w:num w:numId="17" w16cid:durableId="456678639">
    <w:abstractNumId w:val="2"/>
  </w:num>
  <w:num w:numId="18" w16cid:durableId="146094901">
    <w:abstractNumId w:val="30"/>
  </w:num>
  <w:num w:numId="19" w16cid:durableId="933244442">
    <w:abstractNumId w:val="33"/>
  </w:num>
  <w:num w:numId="20" w16cid:durableId="872618463">
    <w:abstractNumId w:val="26"/>
  </w:num>
  <w:num w:numId="21" w16cid:durableId="1417170195">
    <w:abstractNumId w:val="51"/>
  </w:num>
  <w:num w:numId="22" w16cid:durableId="1839999773">
    <w:abstractNumId w:val="54"/>
  </w:num>
  <w:num w:numId="23" w16cid:durableId="1428695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6"/>
  </w:num>
  <w:num w:numId="27" w16cid:durableId="438570035">
    <w:abstractNumId w:val="19"/>
  </w:num>
  <w:num w:numId="28" w16cid:durableId="1889340046">
    <w:abstractNumId w:val="15"/>
  </w:num>
  <w:num w:numId="29" w16cid:durableId="1935703544">
    <w:abstractNumId w:val="43"/>
  </w:num>
  <w:num w:numId="30" w16cid:durableId="1830707453">
    <w:abstractNumId w:val="4"/>
  </w:num>
  <w:num w:numId="31" w16cid:durableId="871918329">
    <w:abstractNumId w:val="6"/>
  </w:num>
  <w:num w:numId="32" w16cid:durableId="918758943">
    <w:abstractNumId w:val="35"/>
  </w:num>
  <w:num w:numId="33" w16cid:durableId="955402489">
    <w:abstractNumId w:val="45"/>
  </w:num>
  <w:num w:numId="34" w16cid:durableId="1288005063">
    <w:abstractNumId w:val="28"/>
  </w:num>
  <w:num w:numId="35" w16cid:durableId="1943226331">
    <w:abstractNumId w:val="39"/>
  </w:num>
  <w:num w:numId="36" w16cid:durableId="1163467163">
    <w:abstractNumId w:val="52"/>
  </w:num>
  <w:num w:numId="37" w16cid:durableId="1033992767">
    <w:abstractNumId w:val="10"/>
  </w:num>
  <w:num w:numId="38" w16cid:durableId="1748382395">
    <w:abstractNumId w:val="45"/>
  </w:num>
  <w:num w:numId="39" w16cid:durableId="1610431453">
    <w:abstractNumId w:val="52"/>
  </w:num>
  <w:num w:numId="40" w16cid:durableId="993415652">
    <w:abstractNumId w:val="17"/>
  </w:num>
  <w:num w:numId="41" w16cid:durableId="2097365214">
    <w:abstractNumId w:val="29"/>
  </w:num>
  <w:num w:numId="42" w16cid:durableId="377358731">
    <w:abstractNumId w:val="40"/>
  </w:num>
  <w:num w:numId="43" w16cid:durableId="485630386">
    <w:abstractNumId w:val="1"/>
  </w:num>
  <w:num w:numId="44" w16cid:durableId="422189655">
    <w:abstractNumId w:val="7"/>
  </w:num>
  <w:num w:numId="45" w16cid:durableId="704721123">
    <w:abstractNumId w:val="34"/>
  </w:num>
  <w:num w:numId="46" w16cid:durableId="342246473">
    <w:abstractNumId w:val="42"/>
  </w:num>
  <w:num w:numId="47" w16cid:durableId="523441750">
    <w:abstractNumId w:val="0"/>
  </w:num>
  <w:num w:numId="48" w16cid:durableId="1292636877">
    <w:abstractNumId w:val="11"/>
  </w:num>
  <w:num w:numId="49" w16cid:durableId="1682968922">
    <w:abstractNumId w:val="37"/>
  </w:num>
  <w:num w:numId="50" w16cid:durableId="541483546">
    <w:abstractNumId w:val="38"/>
  </w:num>
  <w:num w:numId="51" w16cid:durableId="198204037">
    <w:abstractNumId w:val="12"/>
  </w:num>
  <w:num w:numId="52" w16cid:durableId="1469277388">
    <w:abstractNumId w:val="5"/>
  </w:num>
  <w:num w:numId="53" w16cid:durableId="1713262131">
    <w:abstractNumId w:val="22"/>
  </w:num>
  <w:num w:numId="54" w16cid:durableId="2116822789">
    <w:abstractNumId w:val="31"/>
  </w:num>
  <w:num w:numId="55" w16cid:durableId="933629838">
    <w:abstractNumId w:val="27"/>
  </w:num>
  <w:num w:numId="56" w16cid:durableId="1793279713">
    <w:abstractNumId w:val="50"/>
  </w:num>
  <w:num w:numId="57" w16cid:durableId="2144959551">
    <w:abstractNumId w:val="36"/>
  </w:num>
  <w:num w:numId="58" w16cid:durableId="1892496690">
    <w:abstractNumId w:val="23"/>
  </w:num>
  <w:num w:numId="59" w16cid:durableId="897059129">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640"/>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19AB"/>
    <w:rsid w:val="00062159"/>
    <w:rsid w:val="00063D9E"/>
    <w:rsid w:val="00064AA2"/>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C6B"/>
    <w:rsid w:val="00072FF5"/>
    <w:rsid w:val="000730DC"/>
    <w:rsid w:val="00075965"/>
    <w:rsid w:val="00075FDA"/>
    <w:rsid w:val="00076386"/>
    <w:rsid w:val="00076D82"/>
    <w:rsid w:val="000778C0"/>
    <w:rsid w:val="00081EC2"/>
    <w:rsid w:val="00082154"/>
    <w:rsid w:val="00083800"/>
    <w:rsid w:val="00084A65"/>
    <w:rsid w:val="0008559A"/>
    <w:rsid w:val="00085A2D"/>
    <w:rsid w:val="00087977"/>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0EB"/>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691"/>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1FA"/>
    <w:rsid w:val="000E4350"/>
    <w:rsid w:val="000E4376"/>
    <w:rsid w:val="000E4408"/>
    <w:rsid w:val="000E5262"/>
    <w:rsid w:val="000E53AB"/>
    <w:rsid w:val="000E5716"/>
    <w:rsid w:val="000E6337"/>
    <w:rsid w:val="000E7A79"/>
    <w:rsid w:val="000E7C3D"/>
    <w:rsid w:val="000F04D5"/>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05B5"/>
    <w:rsid w:val="00100B7D"/>
    <w:rsid w:val="0010170B"/>
    <w:rsid w:val="00101C4F"/>
    <w:rsid w:val="00102C9F"/>
    <w:rsid w:val="00103FC9"/>
    <w:rsid w:val="001068D2"/>
    <w:rsid w:val="001069F2"/>
    <w:rsid w:val="00106A1B"/>
    <w:rsid w:val="00106AB7"/>
    <w:rsid w:val="001103BD"/>
    <w:rsid w:val="00111208"/>
    <w:rsid w:val="001115E4"/>
    <w:rsid w:val="00111808"/>
    <w:rsid w:val="00112220"/>
    <w:rsid w:val="0011339F"/>
    <w:rsid w:val="00113B8F"/>
    <w:rsid w:val="00113EC8"/>
    <w:rsid w:val="0011475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351"/>
    <w:rsid w:val="0014060C"/>
    <w:rsid w:val="001409A0"/>
    <w:rsid w:val="00141E40"/>
    <w:rsid w:val="00141F08"/>
    <w:rsid w:val="00141FF2"/>
    <w:rsid w:val="0014287A"/>
    <w:rsid w:val="00142DE2"/>
    <w:rsid w:val="00144C87"/>
    <w:rsid w:val="001467B1"/>
    <w:rsid w:val="00146940"/>
    <w:rsid w:val="00147276"/>
    <w:rsid w:val="00150175"/>
    <w:rsid w:val="001502C8"/>
    <w:rsid w:val="00151011"/>
    <w:rsid w:val="00151224"/>
    <w:rsid w:val="0015130F"/>
    <w:rsid w:val="001532BA"/>
    <w:rsid w:val="00153FED"/>
    <w:rsid w:val="001543BF"/>
    <w:rsid w:val="00155A77"/>
    <w:rsid w:val="00155BFD"/>
    <w:rsid w:val="00156ABA"/>
    <w:rsid w:val="00156DB6"/>
    <w:rsid w:val="00157390"/>
    <w:rsid w:val="00160998"/>
    <w:rsid w:val="00160CD6"/>
    <w:rsid w:val="00160F5F"/>
    <w:rsid w:val="001613B1"/>
    <w:rsid w:val="00162308"/>
    <w:rsid w:val="00163030"/>
    <w:rsid w:val="0016316A"/>
    <w:rsid w:val="00163539"/>
    <w:rsid w:val="0016381F"/>
    <w:rsid w:val="00163D1D"/>
    <w:rsid w:val="0016411A"/>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0CF"/>
    <w:rsid w:val="00184239"/>
    <w:rsid w:val="00185158"/>
    <w:rsid w:val="00186904"/>
    <w:rsid w:val="00186B0A"/>
    <w:rsid w:val="001905BD"/>
    <w:rsid w:val="001917CF"/>
    <w:rsid w:val="00191E79"/>
    <w:rsid w:val="00192FE6"/>
    <w:rsid w:val="0019360B"/>
    <w:rsid w:val="00193986"/>
    <w:rsid w:val="00193B08"/>
    <w:rsid w:val="00194570"/>
    <w:rsid w:val="00195BAB"/>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A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D6F"/>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328"/>
    <w:rsid w:val="00226577"/>
    <w:rsid w:val="0022687C"/>
    <w:rsid w:val="002277E7"/>
    <w:rsid w:val="002306F8"/>
    <w:rsid w:val="002312F4"/>
    <w:rsid w:val="002313A2"/>
    <w:rsid w:val="00231FC7"/>
    <w:rsid w:val="00232428"/>
    <w:rsid w:val="00232930"/>
    <w:rsid w:val="00232A95"/>
    <w:rsid w:val="00232C3F"/>
    <w:rsid w:val="00232DD9"/>
    <w:rsid w:val="0023308F"/>
    <w:rsid w:val="00233403"/>
    <w:rsid w:val="00233440"/>
    <w:rsid w:val="00233D0E"/>
    <w:rsid w:val="00234E13"/>
    <w:rsid w:val="00235B7C"/>
    <w:rsid w:val="00236450"/>
    <w:rsid w:val="002364F0"/>
    <w:rsid w:val="0023765A"/>
    <w:rsid w:val="00237921"/>
    <w:rsid w:val="00240342"/>
    <w:rsid w:val="00241311"/>
    <w:rsid w:val="002417C3"/>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0B"/>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207"/>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B7DF5"/>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19E"/>
    <w:rsid w:val="002E62D2"/>
    <w:rsid w:val="002E734F"/>
    <w:rsid w:val="002E74AF"/>
    <w:rsid w:val="002E758C"/>
    <w:rsid w:val="002E76D1"/>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144"/>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660"/>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B31"/>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3718"/>
    <w:rsid w:val="00374848"/>
    <w:rsid w:val="003757A1"/>
    <w:rsid w:val="00375D09"/>
    <w:rsid w:val="003762DC"/>
    <w:rsid w:val="00376990"/>
    <w:rsid w:val="00376CB7"/>
    <w:rsid w:val="0037739D"/>
    <w:rsid w:val="0037751C"/>
    <w:rsid w:val="00377D61"/>
    <w:rsid w:val="00380865"/>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94E"/>
    <w:rsid w:val="00393E44"/>
    <w:rsid w:val="00394301"/>
    <w:rsid w:val="00395E78"/>
    <w:rsid w:val="00396CC6"/>
    <w:rsid w:val="0039747B"/>
    <w:rsid w:val="00397AB6"/>
    <w:rsid w:val="00397ACA"/>
    <w:rsid w:val="003A10C3"/>
    <w:rsid w:val="003A4705"/>
    <w:rsid w:val="003A495D"/>
    <w:rsid w:val="003A4A40"/>
    <w:rsid w:val="003A4C13"/>
    <w:rsid w:val="003A4C7C"/>
    <w:rsid w:val="003A5611"/>
    <w:rsid w:val="003A5844"/>
    <w:rsid w:val="003A597F"/>
    <w:rsid w:val="003A6007"/>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1A7"/>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04D"/>
    <w:rsid w:val="003E64A9"/>
    <w:rsid w:val="003E7905"/>
    <w:rsid w:val="003F0336"/>
    <w:rsid w:val="003F0F90"/>
    <w:rsid w:val="003F3A29"/>
    <w:rsid w:val="003F3FCC"/>
    <w:rsid w:val="003F5547"/>
    <w:rsid w:val="003F5C40"/>
    <w:rsid w:val="003F6E12"/>
    <w:rsid w:val="003F6F8B"/>
    <w:rsid w:val="003F75ED"/>
    <w:rsid w:val="004002B7"/>
    <w:rsid w:val="00400F31"/>
    <w:rsid w:val="004023BA"/>
    <w:rsid w:val="00402AC6"/>
    <w:rsid w:val="00403148"/>
    <w:rsid w:val="004042C6"/>
    <w:rsid w:val="00405895"/>
    <w:rsid w:val="00406B4D"/>
    <w:rsid w:val="0041405B"/>
    <w:rsid w:val="0041443C"/>
    <w:rsid w:val="0041488F"/>
    <w:rsid w:val="004154F7"/>
    <w:rsid w:val="00416662"/>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27125"/>
    <w:rsid w:val="004309D8"/>
    <w:rsid w:val="004313D1"/>
    <w:rsid w:val="0043197F"/>
    <w:rsid w:val="00432110"/>
    <w:rsid w:val="00432521"/>
    <w:rsid w:val="004328EE"/>
    <w:rsid w:val="00433EBE"/>
    <w:rsid w:val="00434406"/>
    <w:rsid w:val="00440FED"/>
    <w:rsid w:val="00441B92"/>
    <w:rsid w:val="00443A9F"/>
    <w:rsid w:val="0044474B"/>
    <w:rsid w:val="00445FF7"/>
    <w:rsid w:val="004478E9"/>
    <w:rsid w:val="004508A8"/>
    <w:rsid w:val="00451BAE"/>
    <w:rsid w:val="00452CA7"/>
    <w:rsid w:val="00453341"/>
    <w:rsid w:val="00454193"/>
    <w:rsid w:val="0045446A"/>
    <w:rsid w:val="004545C6"/>
    <w:rsid w:val="00454DCA"/>
    <w:rsid w:val="00454E26"/>
    <w:rsid w:val="00455441"/>
    <w:rsid w:val="00456544"/>
    <w:rsid w:val="00456649"/>
    <w:rsid w:val="004567B7"/>
    <w:rsid w:val="004567DC"/>
    <w:rsid w:val="00456856"/>
    <w:rsid w:val="004571EF"/>
    <w:rsid w:val="00457567"/>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77CFA"/>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64A"/>
    <w:rsid w:val="004C394F"/>
    <w:rsid w:val="004C3EC7"/>
    <w:rsid w:val="004C3EEE"/>
    <w:rsid w:val="004C483D"/>
    <w:rsid w:val="004C49EA"/>
    <w:rsid w:val="004C4D15"/>
    <w:rsid w:val="004C5725"/>
    <w:rsid w:val="004C69B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2D37"/>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814"/>
    <w:rsid w:val="00520D6D"/>
    <w:rsid w:val="00520FD7"/>
    <w:rsid w:val="005212FD"/>
    <w:rsid w:val="00521425"/>
    <w:rsid w:val="00523E75"/>
    <w:rsid w:val="005243E0"/>
    <w:rsid w:val="005256F3"/>
    <w:rsid w:val="005265A3"/>
    <w:rsid w:val="00526783"/>
    <w:rsid w:val="00526905"/>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1F4D"/>
    <w:rsid w:val="00572947"/>
    <w:rsid w:val="00573138"/>
    <w:rsid w:val="005734A7"/>
    <w:rsid w:val="005746C4"/>
    <w:rsid w:val="00574B50"/>
    <w:rsid w:val="005765AD"/>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623"/>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57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A8F"/>
    <w:rsid w:val="005C3DC6"/>
    <w:rsid w:val="005C4BFB"/>
    <w:rsid w:val="005C533E"/>
    <w:rsid w:val="005C5870"/>
    <w:rsid w:val="005C7D39"/>
    <w:rsid w:val="005D059A"/>
    <w:rsid w:val="005D07C5"/>
    <w:rsid w:val="005D21B7"/>
    <w:rsid w:val="005D2CA4"/>
    <w:rsid w:val="005D2DAD"/>
    <w:rsid w:val="005D2F42"/>
    <w:rsid w:val="005D40B8"/>
    <w:rsid w:val="005D4302"/>
    <w:rsid w:val="005D5A20"/>
    <w:rsid w:val="005D786C"/>
    <w:rsid w:val="005E0023"/>
    <w:rsid w:val="005E00E5"/>
    <w:rsid w:val="005E0148"/>
    <w:rsid w:val="005E049F"/>
    <w:rsid w:val="005E0BB6"/>
    <w:rsid w:val="005E3073"/>
    <w:rsid w:val="005E316A"/>
    <w:rsid w:val="005E3475"/>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C01"/>
    <w:rsid w:val="00600CB4"/>
    <w:rsid w:val="00600CEB"/>
    <w:rsid w:val="0060130F"/>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916"/>
    <w:rsid w:val="00607A7F"/>
    <w:rsid w:val="00607D81"/>
    <w:rsid w:val="00610747"/>
    <w:rsid w:val="00610E03"/>
    <w:rsid w:val="0061176E"/>
    <w:rsid w:val="00611B98"/>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362"/>
    <w:rsid w:val="00644A21"/>
    <w:rsid w:val="00645C9F"/>
    <w:rsid w:val="00646305"/>
    <w:rsid w:val="00646864"/>
    <w:rsid w:val="00646A6C"/>
    <w:rsid w:val="00646D03"/>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07A"/>
    <w:rsid w:val="006619B0"/>
    <w:rsid w:val="00662012"/>
    <w:rsid w:val="00662543"/>
    <w:rsid w:val="006626D0"/>
    <w:rsid w:val="006628E9"/>
    <w:rsid w:val="00663081"/>
    <w:rsid w:val="0066388C"/>
    <w:rsid w:val="00663D9E"/>
    <w:rsid w:val="006641F4"/>
    <w:rsid w:val="00664E8C"/>
    <w:rsid w:val="00664F1B"/>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242"/>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48AB"/>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1A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130"/>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53B7"/>
    <w:rsid w:val="00726878"/>
    <w:rsid w:val="00727686"/>
    <w:rsid w:val="00730603"/>
    <w:rsid w:val="0073124A"/>
    <w:rsid w:val="00731B79"/>
    <w:rsid w:val="007320A2"/>
    <w:rsid w:val="007327CE"/>
    <w:rsid w:val="00733893"/>
    <w:rsid w:val="00734A05"/>
    <w:rsid w:val="00734ECC"/>
    <w:rsid w:val="00735C6F"/>
    <w:rsid w:val="00737A31"/>
    <w:rsid w:val="007411D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5906"/>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0DA6"/>
    <w:rsid w:val="007C12BE"/>
    <w:rsid w:val="007C1DDC"/>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1FAD"/>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384E"/>
    <w:rsid w:val="00803C2B"/>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08C"/>
    <w:rsid w:val="008409AA"/>
    <w:rsid w:val="00840FB8"/>
    <w:rsid w:val="00842E0C"/>
    <w:rsid w:val="00843A7A"/>
    <w:rsid w:val="008447F5"/>
    <w:rsid w:val="00846292"/>
    <w:rsid w:val="00847201"/>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1854"/>
    <w:rsid w:val="00871DBB"/>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6B1D"/>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2B7B"/>
    <w:rsid w:val="008E3063"/>
    <w:rsid w:val="008E34BE"/>
    <w:rsid w:val="008E3AA8"/>
    <w:rsid w:val="008E3E57"/>
    <w:rsid w:val="008E42CE"/>
    <w:rsid w:val="008E42F4"/>
    <w:rsid w:val="008E4333"/>
    <w:rsid w:val="008E4A31"/>
    <w:rsid w:val="008E5657"/>
    <w:rsid w:val="008E577F"/>
    <w:rsid w:val="008E5E51"/>
    <w:rsid w:val="008E6A0E"/>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ADB"/>
    <w:rsid w:val="00911E7D"/>
    <w:rsid w:val="009120A9"/>
    <w:rsid w:val="009134C3"/>
    <w:rsid w:val="009143D9"/>
    <w:rsid w:val="00914F33"/>
    <w:rsid w:val="00915B81"/>
    <w:rsid w:val="00915D6B"/>
    <w:rsid w:val="009160DF"/>
    <w:rsid w:val="009162BF"/>
    <w:rsid w:val="009162C7"/>
    <w:rsid w:val="00916EC2"/>
    <w:rsid w:val="00917177"/>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84E"/>
    <w:rsid w:val="00946C4D"/>
    <w:rsid w:val="00947D6F"/>
    <w:rsid w:val="0095019A"/>
    <w:rsid w:val="0095285B"/>
    <w:rsid w:val="00953FE9"/>
    <w:rsid w:val="00954417"/>
    <w:rsid w:val="0095481C"/>
    <w:rsid w:val="00954CD0"/>
    <w:rsid w:val="0095526F"/>
    <w:rsid w:val="009567E6"/>
    <w:rsid w:val="00957076"/>
    <w:rsid w:val="00957132"/>
    <w:rsid w:val="009576FD"/>
    <w:rsid w:val="009578EB"/>
    <w:rsid w:val="009578FF"/>
    <w:rsid w:val="00960446"/>
    <w:rsid w:val="0096050C"/>
    <w:rsid w:val="009610ED"/>
    <w:rsid w:val="00961EE9"/>
    <w:rsid w:val="00962925"/>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5BE"/>
    <w:rsid w:val="009A3789"/>
    <w:rsid w:val="009A3C95"/>
    <w:rsid w:val="009A45A2"/>
    <w:rsid w:val="009A6919"/>
    <w:rsid w:val="009A6AC7"/>
    <w:rsid w:val="009A794D"/>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1C10"/>
    <w:rsid w:val="009D2348"/>
    <w:rsid w:val="009D2727"/>
    <w:rsid w:val="009D2EA8"/>
    <w:rsid w:val="009D2F0C"/>
    <w:rsid w:val="009D3306"/>
    <w:rsid w:val="009D3578"/>
    <w:rsid w:val="009D3A5F"/>
    <w:rsid w:val="009D4F88"/>
    <w:rsid w:val="009D4FBD"/>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6FE8"/>
    <w:rsid w:val="009F7867"/>
    <w:rsid w:val="009F7D66"/>
    <w:rsid w:val="00A001CE"/>
    <w:rsid w:val="00A00BD2"/>
    <w:rsid w:val="00A00E56"/>
    <w:rsid w:val="00A01368"/>
    <w:rsid w:val="00A027F3"/>
    <w:rsid w:val="00A03978"/>
    <w:rsid w:val="00A03AB1"/>
    <w:rsid w:val="00A0496D"/>
    <w:rsid w:val="00A04D7E"/>
    <w:rsid w:val="00A051D9"/>
    <w:rsid w:val="00A052DE"/>
    <w:rsid w:val="00A05DF3"/>
    <w:rsid w:val="00A06AFD"/>
    <w:rsid w:val="00A07768"/>
    <w:rsid w:val="00A07E08"/>
    <w:rsid w:val="00A10D79"/>
    <w:rsid w:val="00A11535"/>
    <w:rsid w:val="00A11E56"/>
    <w:rsid w:val="00A11FFC"/>
    <w:rsid w:val="00A12798"/>
    <w:rsid w:val="00A13A09"/>
    <w:rsid w:val="00A153BE"/>
    <w:rsid w:val="00A15DEE"/>
    <w:rsid w:val="00A16462"/>
    <w:rsid w:val="00A1678B"/>
    <w:rsid w:val="00A167B5"/>
    <w:rsid w:val="00A16DBE"/>
    <w:rsid w:val="00A16E2F"/>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A0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47A3D"/>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658"/>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5F95"/>
    <w:rsid w:val="00A6665F"/>
    <w:rsid w:val="00A66F36"/>
    <w:rsid w:val="00A67206"/>
    <w:rsid w:val="00A676D9"/>
    <w:rsid w:val="00A67D86"/>
    <w:rsid w:val="00A67EFC"/>
    <w:rsid w:val="00A7031E"/>
    <w:rsid w:val="00A71140"/>
    <w:rsid w:val="00A7205E"/>
    <w:rsid w:val="00A74692"/>
    <w:rsid w:val="00A7578F"/>
    <w:rsid w:val="00A75A52"/>
    <w:rsid w:val="00A7618B"/>
    <w:rsid w:val="00A7640B"/>
    <w:rsid w:val="00A76455"/>
    <w:rsid w:val="00A773A8"/>
    <w:rsid w:val="00A7778B"/>
    <w:rsid w:val="00A803BC"/>
    <w:rsid w:val="00A806D4"/>
    <w:rsid w:val="00A80969"/>
    <w:rsid w:val="00A85798"/>
    <w:rsid w:val="00A8609D"/>
    <w:rsid w:val="00A8686A"/>
    <w:rsid w:val="00A86B99"/>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4A0A"/>
    <w:rsid w:val="00AA51AD"/>
    <w:rsid w:val="00AA5736"/>
    <w:rsid w:val="00AA591E"/>
    <w:rsid w:val="00AA5DF4"/>
    <w:rsid w:val="00AA65C9"/>
    <w:rsid w:val="00AA66CB"/>
    <w:rsid w:val="00AB0A32"/>
    <w:rsid w:val="00AB0B90"/>
    <w:rsid w:val="00AB0E56"/>
    <w:rsid w:val="00AB0ED5"/>
    <w:rsid w:val="00AB13B6"/>
    <w:rsid w:val="00AB18AC"/>
    <w:rsid w:val="00AB1EB7"/>
    <w:rsid w:val="00AB208C"/>
    <w:rsid w:val="00AB2A23"/>
    <w:rsid w:val="00AB35D0"/>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68F"/>
    <w:rsid w:val="00AE3DE1"/>
    <w:rsid w:val="00AE5439"/>
    <w:rsid w:val="00AE61B2"/>
    <w:rsid w:val="00AE72DE"/>
    <w:rsid w:val="00AE78D1"/>
    <w:rsid w:val="00AE7F89"/>
    <w:rsid w:val="00AF2D54"/>
    <w:rsid w:val="00AF3458"/>
    <w:rsid w:val="00AF370B"/>
    <w:rsid w:val="00AF3A2E"/>
    <w:rsid w:val="00AF3F7B"/>
    <w:rsid w:val="00AF42B4"/>
    <w:rsid w:val="00AF4B8A"/>
    <w:rsid w:val="00AF4F1B"/>
    <w:rsid w:val="00AF5EC6"/>
    <w:rsid w:val="00AF6C38"/>
    <w:rsid w:val="00AF6E8A"/>
    <w:rsid w:val="00AF7213"/>
    <w:rsid w:val="00AF7771"/>
    <w:rsid w:val="00AF7D92"/>
    <w:rsid w:val="00B011CC"/>
    <w:rsid w:val="00B0264D"/>
    <w:rsid w:val="00B03586"/>
    <w:rsid w:val="00B04048"/>
    <w:rsid w:val="00B0429A"/>
    <w:rsid w:val="00B04F3D"/>
    <w:rsid w:val="00B05702"/>
    <w:rsid w:val="00B0619C"/>
    <w:rsid w:val="00B06DD9"/>
    <w:rsid w:val="00B074FE"/>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12C7"/>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7"/>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0EE5"/>
    <w:rsid w:val="00BA1104"/>
    <w:rsid w:val="00BA1872"/>
    <w:rsid w:val="00BA1913"/>
    <w:rsid w:val="00BA2BC9"/>
    <w:rsid w:val="00BA4641"/>
    <w:rsid w:val="00BA4A54"/>
    <w:rsid w:val="00BA562D"/>
    <w:rsid w:val="00BA7205"/>
    <w:rsid w:val="00BA76A9"/>
    <w:rsid w:val="00BB0595"/>
    <w:rsid w:val="00BB0F07"/>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1278"/>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BF7E4C"/>
    <w:rsid w:val="00C009AD"/>
    <w:rsid w:val="00C00DA5"/>
    <w:rsid w:val="00C029A5"/>
    <w:rsid w:val="00C03309"/>
    <w:rsid w:val="00C037E0"/>
    <w:rsid w:val="00C06B7A"/>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3D42"/>
    <w:rsid w:val="00C257B7"/>
    <w:rsid w:val="00C272E8"/>
    <w:rsid w:val="00C301A9"/>
    <w:rsid w:val="00C30ABC"/>
    <w:rsid w:val="00C30B60"/>
    <w:rsid w:val="00C31FAA"/>
    <w:rsid w:val="00C32231"/>
    <w:rsid w:val="00C33359"/>
    <w:rsid w:val="00C348D6"/>
    <w:rsid w:val="00C3504C"/>
    <w:rsid w:val="00C35C93"/>
    <w:rsid w:val="00C365E7"/>
    <w:rsid w:val="00C36E34"/>
    <w:rsid w:val="00C37623"/>
    <w:rsid w:val="00C40388"/>
    <w:rsid w:val="00C404D7"/>
    <w:rsid w:val="00C404EE"/>
    <w:rsid w:val="00C41377"/>
    <w:rsid w:val="00C4171B"/>
    <w:rsid w:val="00C42689"/>
    <w:rsid w:val="00C42988"/>
    <w:rsid w:val="00C42ACF"/>
    <w:rsid w:val="00C42BD4"/>
    <w:rsid w:val="00C43FF0"/>
    <w:rsid w:val="00C44124"/>
    <w:rsid w:val="00C44641"/>
    <w:rsid w:val="00C45EF5"/>
    <w:rsid w:val="00C46B7E"/>
    <w:rsid w:val="00C46C26"/>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131"/>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313"/>
    <w:rsid w:val="00C97CF9"/>
    <w:rsid w:val="00CA17DD"/>
    <w:rsid w:val="00CA1863"/>
    <w:rsid w:val="00CA1941"/>
    <w:rsid w:val="00CA26CE"/>
    <w:rsid w:val="00CA391D"/>
    <w:rsid w:val="00CA3ACD"/>
    <w:rsid w:val="00CA4F8B"/>
    <w:rsid w:val="00CA5445"/>
    <w:rsid w:val="00CA551A"/>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293D"/>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306B"/>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47D"/>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5CAF"/>
    <w:rsid w:val="00D46111"/>
    <w:rsid w:val="00D4662F"/>
    <w:rsid w:val="00D46A4D"/>
    <w:rsid w:val="00D46F1B"/>
    <w:rsid w:val="00D475FB"/>
    <w:rsid w:val="00D47ACE"/>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3674"/>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729"/>
    <w:rsid w:val="00DB6A80"/>
    <w:rsid w:val="00DB6C06"/>
    <w:rsid w:val="00DB7B06"/>
    <w:rsid w:val="00DC043D"/>
    <w:rsid w:val="00DC1034"/>
    <w:rsid w:val="00DC151A"/>
    <w:rsid w:val="00DC2930"/>
    <w:rsid w:val="00DC318A"/>
    <w:rsid w:val="00DC33A2"/>
    <w:rsid w:val="00DC3445"/>
    <w:rsid w:val="00DC3A9D"/>
    <w:rsid w:val="00DC4004"/>
    <w:rsid w:val="00DC4243"/>
    <w:rsid w:val="00DC4405"/>
    <w:rsid w:val="00DC5584"/>
    <w:rsid w:val="00DC64EA"/>
    <w:rsid w:val="00DC6C1E"/>
    <w:rsid w:val="00DC7255"/>
    <w:rsid w:val="00DC72CE"/>
    <w:rsid w:val="00DC7951"/>
    <w:rsid w:val="00DC7C8F"/>
    <w:rsid w:val="00DD1C4B"/>
    <w:rsid w:val="00DD1F63"/>
    <w:rsid w:val="00DD1F7B"/>
    <w:rsid w:val="00DD229E"/>
    <w:rsid w:val="00DD23B7"/>
    <w:rsid w:val="00DD3029"/>
    <w:rsid w:val="00DD31A8"/>
    <w:rsid w:val="00DD55E0"/>
    <w:rsid w:val="00DD60C4"/>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2C5"/>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1DB7"/>
    <w:rsid w:val="00E3250F"/>
    <w:rsid w:val="00E3409E"/>
    <w:rsid w:val="00E34F76"/>
    <w:rsid w:val="00E3531D"/>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63A4"/>
    <w:rsid w:val="00E77C2A"/>
    <w:rsid w:val="00E80440"/>
    <w:rsid w:val="00E80DDA"/>
    <w:rsid w:val="00E817E0"/>
    <w:rsid w:val="00E82EE4"/>
    <w:rsid w:val="00E83106"/>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D44"/>
    <w:rsid w:val="00EA44F0"/>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2FBC"/>
    <w:rsid w:val="00EB4F83"/>
    <w:rsid w:val="00EB555E"/>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1725D"/>
    <w:rsid w:val="00F2052B"/>
    <w:rsid w:val="00F22183"/>
    <w:rsid w:val="00F2260F"/>
    <w:rsid w:val="00F23174"/>
    <w:rsid w:val="00F238B9"/>
    <w:rsid w:val="00F242AD"/>
    <w:rsid w:val="00F242B7"/>
    <w:rsid w:val="00F247F2"/>
    <w:rsid w:val="00F2518F"/>
    <w:rsid w:val="00F252A8"/>
    <w:rsid w:val="00F255D9"/>
    <w:rsid w:val="00F265F7"/>
    <w:rsid w:val="00F27FA6"/>
    <w:rsid w:val="00F309F6"/>
    <w:rsid w:val="00F33DC8"/>
    <w:rsid w:val="00F34444"/>
    <w:rsid w:val="00F34E6B"/>
    <w:rsid w:val="00F378F1"/>
    <w:rsid w:val="00F37DBF"/>
    <w:rsid w:val="00F403A1"/>
    <w:rsid w:val="00F403DB"/>
    <w:rsid w:val="00F4065A"/>
    <w:rsid w:val="00F41378"/>
    <w:rsid w:val="00F4275C"/>
    <w:rsid w:val="00F434B2"/>
    <w:rsid w:val="00F45693"/>
    <w:rsid w:val="00F463EB"/>
    <w:rsid w:val="00F508AF"/>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81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C30"/>
    <w:rsid w:val="00F94DB3"/>
    <w:rsid w:val="00F96500"/>
    <w:rsid w:val="00F97C4B"/>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9AB"/>
    <w:rsid w:val="00FB6B73"/>
    <w:rsid w:val="00FB7A0B"/>
    <w:rsid w:val="00FC0065"/>
    <w:rsid w:val="00FC062F"/>
    <w:rsid w:val="00FC0754"/>
    <w:rsid w:val="00FC118A"/>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087977"/>
    <w:rPr>
      <w:rFonts w:ascii="Arial" w:hAnsi="Arial"/>
      <w:sz w:val="28"/>
      <w:lang w:val="en-GB"/>
    </w:rPr>
  </w:style>
  <w:style w:type="character" w:customStyle="1" w:styleId="0MaintextChar">
    <w:name w:val="0 Main text Char"/>
    <w:link w:val="0Maintext"/>
    <w:qFormat/>
    <w:locked/>
    <w:rsid w:val="00954CD0"/>
    <w:rPr>
      <w:rFonts w:ascii="Times New Roman" w:hAnsi="Times New Roman"/>
      <w:lang w:val="en-GB"/>
    </w:rPr>
  </w:style>
  <w:style w:type="paragraph" w:customStyle="1" w:styleId="0Maintext">
    <w:name w:val="0 Main text"/>
    <w:basedOn w:val="Normal"/>
    <w:link w:val="0MaintextChar"/>
    <w:qFormat/>
    <w:rsid w:val="00954CD0"/>
    <w:pPr>
      <w:overflowPunct/>
      <w:autoSpaceDE/>
      <w:autoSpaceDN/>
      <w:adjustRightInd/>
      <w:spacing w:before="120" w:after="0" w:line="259" w:lineRule="auto"/>
      <w:jc w:val="both"/>
      <w:textAlignment w:val="auto"/>
    </w:pPr>
  </w:style>
  <w:style w:type="paragraph" w:customStyle="1" w:styleId="Observation">
    <w:name w:val="Observation"/>
    <w:basedOn w:val="List"/>
    <w:link w:val="ObservationChar"/>
    <w:qFormat/>
    <w:rsid w:val="007411D1"/>
    <w:pPr>
      <w:numPr>
        <w:numId w:val="49"/>
      </w:numPr>
      <w:spacing w:before="120" w:after="120" w:line="259" w:lineRule="auto"/>
      <w:ind w:left="1418" w:hanging="1418"/>
    </w:pPr>
    <w:rPr>
      <w:i/>
    </w:rPr>
  </w:style>
  <w:style w:type="character" w:customStyle="1" w:styleId="ObservationChar">
    <w:name w:val="Observation Char"/>
    <w:basedOn w:val="DefaultParagraphFont"/>
    <w:link w:val="Observation"/>
    <w:rsid w:val="007411D1"/>
    <w:rPr>
      <w:rFonts w:ascii="Times New Roman" w:hAnsi="Times New Roman"/>
      <w:i/>
      <w:lang w:val="en-GB"/>
    </w:rPr>
  </w:style>
  <w:style w:type="paragraph" w:customStyle="1" w:styleId="Proposal">
    <w:name w:val="Proposal"/>
    <w:basedOn w:val="ListBullet"/>
    <w:link w:val="ProposalChar"/>
    <w:qFormat/>
    <w:rsid w:val="00F1725D"/>
    <w:pPr>
      <w:numPr>
        <w:numId w:val="53"/>
      </w:numPr>
      <w:spacing w:before="180" w:after="120" w:line="259" w:lineRule="auto"/>
      <w:ind w:left="1418" w:hanging="1418"/>
    </w:pPr>
    <w:rPr>
      <w:rFonts w:eastAsia="Malgun Gothic"/>
      <w:b/>
      <w:i/>
      <w:kern w:val="2"/>
      <w:lang w:eastAsia="en-GB"/>
      <w14:ligatures w14:val="standardContextual"/>
    </w:rPr>
  </w:style>
  <w:style w:type="character" w:customStyle="1" w:styleId="ProposalChar">
    <w:name w:val="Proposal Char"/>
    <w:basedOn w:val="DefaultParagraphFont"/>
    <w:link w:val="Proposal"/>
    <w:rsid w:val="00F1725D"/>
    <w:rPr>
      <w:rFonts w:ascii="Times New Roman" w:eastAsia="Malgun Gothic" w:hAnsi="Times New Roman"/>
      <w:b/>
      <w:i/>
      <w:kern w:val="2"/>
      <w:lang w:val="en-GB" w:eastAsia="en-GB"/>
      <w14:ligatures w14:val="standardContextual"/>
    </w:rPr>
  </w:style>
  <w:style w:type="character" w:customStyle="1" w:styleId="B1Char1">
    <w:name w:val="B1 Char1"/>
    <w:qFormat/>
    <w:rsid w:val="00A01368"/>
  </w:style>
  <w:style w:type="character" w:customStyle="1" w:styleId="B2Char">
    <w:name w:val="B2 Char"/>
    <w:link w:val="B2"/>
    <w:qFormat/>
    <w:rsid w:val="00A01368"/>
    <w:rPr>
      <w:rFonts w:ascii="Times New Roman" w:hAnsi="Times New Roman"/>
      <w:lang w:val="en-GB"/>
    </w:rPr>
  </w:style>
  <w:style w:type="character" w:customStyle="1" w:styleId="ProposalTextChar">
    <w:name w:val="Proposal Text Char"/>
    <w:basedOn w:val="DefaultParagraphFont"/>
    <w:link w:val="ProposalText"/>
    <w:qFormat/>
    <w:rsid w:val="0080384E"/>
    <w:rPr>
      <w:rFonts w:ascii="Times New Roman" w:hAnsi="Times New Roman"/>
      <w:b/>
      <w:szCs w:val="18"/>
      <w:lang w:eastAsia="zh-CN"/>
    </w:rPr>
  </w:style>
  <w:style w:type="paragraph" w:customStyle="1" w:styleId="ProposalText">
    <w:name w:val="Proposal Text"/>
    <w:basedOn w:val="ListParagraph"/>
    <w:next w:val="Normal"/>
    <w:link w:val="ProposalTextChar"/>
    <w:qFormat/>
    <w:rsid w:val="0080384E"/>
    <w:pPr>
      <w:numPr>
        <w:numId w:val="59"/>
      </w:numPr>
      <w:tabs>
        <w:tab w:val="left" w:pos="1440"/>
      </w:tabs>
      <w:suppressAutoHyphens/>
      <w:overflowPunct w:val="0"/>
      <w:spacing w:before="100" w:after="100"/>
      <w:ind w:left="1418" w:hanging="1418"/>
      <w:contextualSpacing w:val="0"/>
      <w:textAlignment w:val="baseline"/>
    </w:pPr>
    <w:rPr>
      <w:b/>
      <w:szCs w:val="18"/>
      <w:lang w:val="en-US"/>
    </w:rPr>
  </w:style>
  <w:style w:type="paragraph" w:customStyle="1" w:styleId="Style1">
    <w:name w:val="Style1"/>
    <w:basedOn w:val="TOC1"/>
    <w:link w:val="Style1Char"/>
    <w:qFormat/>
    <w:rsid w:val="00914F33"/>
    <w:pPr>
      <w:tabs>
        <w:tab w:val="left" w:pos="1418"/>
      </w:tabs>
      <w:spacing w:line="259" w:lineRule="auto"/>
      <w:ind w:left="1418" w:hanging="1418"/>
    </w:pPr>
    <w:rPr>
      <w:b/>
      <w:sz w:val="20"/>
    </w:rPr>
  </w:style>
  <w:style w:type="character" w:customStyle="1" w:styleId="TOC1Char">
    <w:name w:val="TOC 1 Char"/>
    <w:basedOn w:val="DefaultParagraphFont"/>
    <w:link w:val="TOC1"/>
    <w:uiPriority w:val="39"/>
    <w:rsid w:val="00914F33"/>
    <w:rPr>
      <w:rFonts w:ascii="Times New Roman" w:hAnsi="Times New Roman"/>
      <w:noProof/>
      <w:sz w:val="22"/>
    </w:rPr>
  </w:style>
  <w:style w:type="character" w:customStyle="1" w:styleId="Style1Char">
    <w:name w:val="Style1 Char"/>
    <w:basedOn w:val="TOC1Char"/>
    <w:link w:val="Style1"/>
    <w:rsid w:val="00914F33"/>
    <w:rPr>
      <w:rFonts w:ascii="Times New Roman" w:hAnsi="Times New Roman"/>
      <w:b/>
      <w:noProof/>
      <w:sz w:val="22"/>
    </w:rPr>
  </w:style>
  <w:style w:type="paragraph" w:customStyle="1" w:styleId="Style2">
    <w:name w:val="Style2"/>
    <w:basedOn w:val="TOC1"/>
    <w:link w:val="Style2Char"/>
    <w:qFormat/>
    <w:rsid w:val="00F75810"/>
    <w:pPr>
      <w:tabs>
        <w:tab w:val="left" w:pos="1701"/>
      </w:tabs>
      <w:ind w:left="1418" w:hanging="1418"/>
    </w:pPr>
    <w:rPr>
      <w:i/>
      <w:sz w:val="20"/>
    </w:rPr>
  </w:style>
  <w:style w:type="character" w:customStyle="1" w:styleId="Style2Char">
    <w:name w:val="Style2 Char"/>
    <w:basedOn w:val="TOC1Char"/>
    <w:link w:val="Style2"/>
    <w:rsid w:val="00F75810"/>
    <w:rPr>
      <w:rFonts w:ascii="Times New Roman" w:hAnsi="Times New Roman"/>
      <w:i/>
      <w:noProof/>
      <w:sz w:val="22"/>
    </w:rPr>
  </w:style>
  <w:style w:type="paragraph" w:customStyle="1" w:styleId="Style3">
    <w:name w:val="Style3"/>
    <w:basedOn w:val="Style1"/>
    <w:next w:val="Style1"/>
    <w:link w:val="Style3Char"/>
    <w:qFormat/>
    <w:rsid w:val="00E763A4"/>
    <w:pPr>
      <w:spacing w:line="240" w:lineRule="auto"/>
    </w:pPr>
  </w:style>
  <w:style w:type="character" w:customStyle="1" w:styleId="Style3Char">
    <w:name w:val="Style3 Char"/>
    <w:basedOn w:val="Style1Char"/>
    <w:link w:val="Style3"/>
    <w:rsid w:val="00E763A4"/>
    <w:rPr>
      <w:rFonts w:ascii="Times New Roman" w:hAnsi="Times New Roman"/>
      <w:b/>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10</Pages>
  <Words>4479</Words>
  <Characters>25532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2016-06-21T00:35:00Z</cp:lastPrinted>
  <dcterms:created xsi:type="dcterms:W3CDTF">2025-02-07T23:27:00Z</dcterms:created>
  <dcterms:modified xsi:type="dcterms:W3CDTF">2025-02-07T23:29:00Z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059c7c46-bb26-431a-bbe5-2d00efc28400</vt:lpwstr>
  </property>
  <property fmtid="{D5CDD505-2E9C-101B-9397-08002B2CF9AE}" pid="9" name="MediaServiceImageTags">
    <vt:lpwstr/>
  </property>
  <property fmtid="{D5CDD505-2E9C-101B-9397-08002B2CF9AE}" pid="10" name="TdocSource">
    <vt:lpwstr>Nokia</vt:lpwstr>
  </property>
  <property fmtid="{D5CDD505-2E9C-101B-9397-08002B2CF9AE}" pid="11" name="TdocFor">
    <vt:lpwstr>Discussion and Decision</vt:lpwstr>
  </property>
  <property fmtid="{D5CDD505-2E9C-101B-9397-08002B2CF9AE}" pid="12" name="TdocTitle">
    <vt:lpwstr>AIoT Timing acquisition and synchronization</vt:lpwstr>
  </property>
  <property fmtid="{D5CDD505-2E9C-101B-9397-08002B2CF9AE}" pid="13" name="TdocId">
    <vt:lpwstr>R1-2500396</vt:lpwstr>
  </property>
  <property fmtid="{D5CDD505-2E9C-101B-9397-08002B2CF9AE}" pid="14" name="MeetingPlaceDates">
    <vt:lpwstr>Athens, Greece, February 17th - 21st, 2025</vt:lpwstr>
  </property>
  <property fmtid="{D5CDD505-2E9C-101B-9397-08002B2CF9AE}" pid="15" name="MeetingName">
    <vt:lpwstr>3GPP TSG RAN WG1 #120</vt:lpwstr>
  </property>
  <property fmtid="{D5CDD505-2E9C-101B-9397-08002B2CF9AE}" pid="16" name="TdocAgendaItem">
    <vt:lpwstr>9.4.3</vt:lpwstr>
  </property>
</Properties>
</file>