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2BDB6" w14:textId="06CC40CC" w:rsidR="00957B3B" w:rsidRPr="00957B3B" w:rsidRDefault="00957B3B" w:rsidP="00DC3ED5">
      <w:pPr>
        <w:widowControl/>
        <w:tabs>
          <w:tab w:val="center" w:pos="4536"/>
          <w:tab w:val="right" w:pos="7088"/>
          <w:tab w:val="right" w:pos="9781"/>
        </w:tabs>
        <w:snapToGrid w:val="0"/>
        <w:jc w:val="left"/>
        <w:rPr>
          <w:rFonts w:ascii="Arial" w:eastAsia="MS Mincho" w:hAnsi="Arial" w:cs="Arial"/>
          <w:b/>
          <w:kern w:val="0"/>
          <w:sz w:val="22"/>
          <w:szCs w:val="20"/>
          <w:lang w:eastAsia="en-US"/>
        </w:rPr>
      </w:pPr>
      <w:r w:rsidRPr="00957B3B">
        <w:rPr>
          <w:rFonts w:ascii="Arial" w:eastAsia="MS Mincho" w:hAnsi="Arial" w:cs="Arial"/>
          <w:b/>
          <w:kern w:val="0"/>
          <w:sz w:val="22"/>
          <w:szCs w:val="24"/>
          <w:lang w:eastAsia="en-US"/>
        </w:rPr>
        <w:t>3GPP TSG</w:t>
      </w:r>
      <w:r>
        <w:rPr>
          <w:rFonts w:ascii="Arial" w:eastAsia="MS Mincho" w:hAnsi="Arial" w:cs="Arial"/>
          <w:b/>
          <w:kern w:val="0"/>
          <w:sz w:val="22"/>
          <w:szCs w:val="24"/>
          <w:lang w:eastAsia="en-US"/>
        </w:rPr>
        <w:t xml:space="preserve"> </w:t>
      </w:r>
      <w:r w:rsidRPr="00957B3B">
        <w:rPr>
          <w:rFonts w:ascii="Arial" w:eastAsia="MS Mincho" w:hAnsi="Arial" w:cs="Arial"/>
          <w:b/>
          <w:kern w:val="0"/>
          <w:sz w:val="22"/>
          <w:szCs w:val="24"/>
          <w:lang w:eastAsia="en-US"/>
        </w:rPr>
        <w:t>RAN WG1 Meeting #11</w:t>
      </w:r>
      <w:r>
        <w:rPr>
          <w:rFonts w:ascii="Arial" w:eastAsia="MS Mincho" w:hAnsi="Arial" w:cs="Arial"/>
          <w:b/>
          <w:kern w:val="0"/>
          <w:sz w:val="22"/>
          <w:szCs w:val="24"/>
          <w:lang w:eastAsia="en-US"/>
        </w:rPr>
        <w:t>8</w:t>
      </w:r>
      <w:r w:rsidRPr="00957B3B">
        <w:rPr>
          <w:rFonts w:ascii="Arial" w:eastAsia="MS Mincho" w:hAnsi="Arial" w:cs="Arial"/>
          <w:b/>
          <w:kern w:val="0"/>
          <w:sz w:val="22"/>
          <w:szCs w:val="24"/>
          <w:lang w:eastAsia="en-US"/>
        </w:rPr>
        <w:tab/>
      </w:r>
      <w:r w:rsidRPr="00957B3B">
        <w:rPr>
          <w:rFonts w:ascii="Arial" w:eastAsia="MS Mincho" w:hAnsi="Arial" w:cs="Arial"/>
          <w:b/>
          <w:kern w:val="0"/>
          <w:sz w:val="22"/>
          <w:szCs w:val="24"/>
          <w:lang w:eastAsia="en-US"/>
        </w:rPr>
        <w:tab/>
      </w:r>
      <w:r w:rsidRPr="00957B3B">
        <w:rPr>
          <w:rFonts w:ascii="Arial" w:eastAsia="MS Mincho" w:hAnsi="Arial" w:cs="Arial"/>
          <w:b/>
          <w:kern w:val="0"/>
          <w:sz w:val="22"/>
          <w:szCs w:val="24"/>
          <w:lang w:eastAsia="en-US"/>
        </w:rPr>
        <w:tab/>
        <w:t>R1-240</w:t>
      </w:r>
      <w:r w:rsidR="00EF25A8">
        <w:rPr>
          <w:rFonts w:ascii="Arial" w:eastAsia="MS Mincho" w:hAnsi="Arial" w:cs="Arial"/>
          <w:b/>
          <w:kern w:val="0"/>
          <w:sz w:val="22"/>
          <w:szCs w:val="24"/>
          <w:lang w:eastAsia="en-US"/>
        </w:rPr>
        <w:t>6267</w:t>
      </w:r>
    </w:p>
    <w:p w14:paraId="14498AA6" w14:textId="55D106F6" w:rsidR="003B48A8" w:rsidRPr="003B48A8" w:rsidRDefault="003B48A8" w:rsidP="00DC3ED5">
      <w:pPr>
        <w:widowControl/>
        <w:tabs>
          <w:tab w:val="left" w:pos="1800"/>
          <w:tab w:val="right" w:pos="9072"/>
        </w:tabs>
        <w:snapToGrid w:val="0"/>
        <w:ind w:left="1800" w:hanging="1800"/>
        <w:jc w:val="left"/>
        <w:rPr>
          <w:rFonts w:ascii="Arial" w:eastAsia="宋体" w:hAnsi="Arial" w:cs="Arial"/>
          <w:b/>
          <w:kern w:val="0"/>
          <w:sz w:val="22"/>
        </w:rPr>
      </w:pPr>
      <w:r>
        <w:rPr>
          <w:rFonts w:ascii="Arial" w:eastAsia="MS Mincho" w:hAnsi="Arial" w:cs="Arial"/>
          <w:b/>
          <w:bCs/>
          <w:kern w:val="0"/>
          <w:sz w:val="22"/>
          <w:lang w:eastAsia="en-US"/>
        </w:rPr>
        <w:t>Maastricht</w:t>
      </w:r>
      <w:r w:rsidRPr="003B48A8">
        <w:rPr>
          <w:rFonts w:ascii="Arial" w:eastAsia="MS Mincho" w:hAnsi="Arial" w:cs="Arial"/>
          <w:b/>
          <w:bCs/>
          <w:kern w:val="0"/>
          <w:sz w:val="22"/>
          <w:lang w:eastAsia="en-US"/>
        </w:rPr>
        <w:t xml:space="preserve">, </w:t>
      </w:r>
      <w:r>
        <w:rPr>
          <w:rFonts w:ascii="Arial" w:eastAsia="MS Mincho" w:hAnsi="Arial" w:cs="Arial"/>
          <w:b/>
          <w:bCs/>
          <w:kern w:val="0"/>
          <w:sz w:val="22"/>
          <w:lang w:eastAsia="en-US"/>
        </w:rPr>
        <w:t>Netherlands</w:t>
      </w:r>
      <w:r w:rsidRPr="003B48A8">
        <w:rPr>
          <w:rFonts w:ascii="Arial" w:eastAsia="MS Mincho" w:hAnsi="Arial" w:cs="Arial"/>
          <w:b/>
          <w:bCs/>
          <w:kern w:val="0"/>
          <w:sz w:val="22"/>
          <w:lang w:eastAsia="en-US"/>
        </w:rPr>
        <w:t xml:space="preserve">, </w:t>
      </w:r>
      <w:r>
        <w:rPr>
          <w:rFonts w:ascii="Arial" w:eastAsia="MS Mincho" w:hAnsi="Arial" w:cs="Arial"/>
          <w:b/>
          <w:bCs/>
          <w:kern w:val="0"/>
          <w:sz w:val="22"/>
          <w:lang w:eastAsia="en-US"/>
        </w:rPr>
        <w:t>August</w:t>
      </w:r>
      <w:r w:rsidRPr="003B48A8">
        <w:rPr>
          <w:rFonts w:ascii="Arial" w:eastAsia="MS Mincho" w:hAnsi="Arial" w:cs="Arial"/>
          <w:b/>
          <w:bCs/>
          <w:kern w:val="0"/>
          <w:sz w:val="22"/>
          <w:lang w:eastAsia="en-US"/>
        </w:rPr>
        <w:t xml:space="preserve"> </w:t>
      </w:r>
      <w:r>
        <w:rPr>
          <w:rFonts w:ascii="Arial" w:eastAsia="MS Mincho" w:hAnsi="Arial" w:cs="Arial"/>
          <w:b/>
          <w:bCs/>
          <w:kern w:val="0"/>
          <w:sz w:val="22"/>
          <w:lang w:eastAsia="en-US"/>
        </w:rPr>
        <w:t>1</w:t>
      </w:r>
      <w:r w:rsidR="0072155F">
        <w:rPr>
          <w:rFonts w:ascii="Arial" w:eastAsia="MS Mincho" w:hAnsi="Arial" w:cs="Arial"/>
          <w:b/>
          <w:bCs/>
          <w:kern w:val="0"/>
          <w:sz w:val="22"/>
          <w:lang w:eastAsia="en-US"/>
        </w:rPr>
        <w:t>9</w:t>
      </w:r>
      <w:r w:rsidR="0072155F" w:rsidRPr="0072155F">
        <w:rPr>
          <w:rFonts w:ascii="Arial" w:eastAsia="MS Mincho" w:hAnsi="Arial" w:cs="Arial"/>
          <w:b/>
          <w:bCs/>
          <w:kern w:val="0"/>
          <w:sz w:val="22"/>
          <w:vertAlign w:val="superscript"/>
          <w:lang w:eastAsia="en-US"/>
        </w:rPr>
        <w:t>th</w:t>
      </w:r>
      <w:r w:rsidRPr="003B48A8">
        <w:rPr>
          <w:rFonts w:ascii="Arial" w:eastAsia="MS Mincho" w:hAnsi="Arial" w:cs="Arial"/>
          <w:b/>
          <w:bCs/>
          <w:kern w:val="0"/>
          <w:sz w:val="22"/>
          <w:lang w:val="en-GB" w:eastAsia="en-US"/>
        </w:rPr>
        <w:t xml:space="preserve"> – </w:t>
      </w:r>
      <w:r>
        <w:rPr>
          <w:rFonts w:ascii="Arial" w:eastAsia="MS Mincho" w:hAnsi="Arial" w:cs="Arial"/>
          <w:b/>
          <w:bCs/>
          <w:kern w:val="0"/>
          <w:sz w:val="22"/>
          <w:lang w:val="en-GB" w:eastAsia="en-US"/>
        </w:rPr>
        <w:t>23</w:t>
      </w:r>
      <w:r w:rsidRPr="003B48A8">
        <w:rPr>
          <w:rFonts w:ascii="Arial" w:eastAsia="MS Mincho" w:hAnsi="Arial" w:cs="Arial"/>
          <w:b/>
          <w:bCs/>
          <w:kern w:val="0"/>
          <w:sz w:val="22"/>
          <w:vertAlign w:val="superscript"/>
          <w:lang w:val="en-GB" w:eastAsia="en-US"/>
        </w:rPr>
        <w:t>rd</w:t>
      </w:r>
      <w:r w:rsidRPr="003B48A8">
        <w:rPr>
          <w:rFonts w:ascii="Arial" w:eastAsia="MS Mincho" w:hAnsi="Arial" w:cs="Arial"/>
          <w:b/>
          <w:bCs/>
          <w:kern w:val="0"/>
          <w:sz w:val="22"/>
          <w:lang w:eastAsia="en-US"/>
        </w:rPr>
        <w:t>,</w:t>
      </w:r>
      <w:r w:rsidRPr="003B48A8">
        <w:rPr>
          <w:rFonts w:ascii="Arial" w:eastAsia="宋体" w:hAnsi="Arial" w:cs="Arial"/>
          <w:b/>
          <w:kern w:val="0"/>
          <w:sz w:val="22"/>
        </w:rPr>
        <w:t xml:space="preserve"> 2024</w:t>
      </w:r>
    </w:p>
    <w:p w14:paraId="6458B195" w14:textId="77777777" w:rsidR="003B48A8" w:rsidRPr="003B48A8" w:rsidRDefault="003B48A8" w:rsidP="00DC3ED5">
      <w:pPr>
        <w:widowControl/>
        <w:tabs>
          <w:tab w:val="left" w:pos="1800"/>
          <w:tab w:val="right" w:pos="9072"/>
        </w:tabs>
        <w:snapToGrid w:val="0"/>
        <w:ind w:left="1800" w:hanging="1800"/>
        <w:jc w:val="left"/>
        <w:rPr>
          <w:rFonts w:ascii="Arial" w:eastAsia="宋体" w:hAnsi="Arial" w:cs="Arial"/>
          <w:b/>
          <w:kern w:val="0"/>
          <w:sz w:val="22"/>
        </w:rPr>
      </w:pPr>
    </w:p>
    <w:p w14:paraId="39A19292" w14:textId="5862088F" w:rsidR="003B48A8" w:rsidRPr="003B48A8" w:rsidRDefault="003B48A8" w:rsidP="00DC3ED5">
      <w:pPr>
        <w:widowControl/>
        <w:tabs>
          <w:tab w:val="left" w:pos="1800"/>
          <w:tab w:val="right" w:pos="9072"/>
        </w:tabs>
        <w:snapToGrid w:val="0"/>
        <w:ind w:left="1800" w:hanging="1800"/>
        <w:jc w:val="left"/>
        <w:rPr>
          <w:rFonts w:ascii="Arial" w:eastAsia="宋体" w:hAnsi="Arial" w:cs="Arial"/>
          <w:b/>
          <w:kern w:val="0"/>
          <w:sz w:val="22"/>
        </w:rPr>
      </w:pPr>
      <w:r>
        <w:rPr>
          <w:rFonts w:ascii="Arial" w:eastAsia="MS Mincho" w:hAnsi="Arial" w:cs="Arial"/>
          <w:b/>
          <w:kern w:val="0"/>
          <w:sz w:val="22"/>
          <w:lang w:eastAsia="en-US"/>
        </w:rPr>
        <w:t>Agenda Item</w:t>
      </w:r>
      <w:r w:rsidRPr="003B48A8">
        <w:rPr>
          <w:rFonts w:ascii="Arial" w:eastAsia="MS Mincho" w:hAnsi="Arial" w:cs="Arial"/>
          <w:b/>
          <w:kern w:val="0"/>
          <w:sz w:val="22"/>
          <w:lang w:eastAsia="en-US"/>
        </w:rPr>
        <w:t>:</w:t>
      </w:r>
      <w:r w:rsidRPr="003B48A8">
        <w:rPr>
          <w:rFonts w:ascii="Arial" w:eastAsia="MS Mincho" w:hAnsi="Arial" w:cs="Arial"/>
          <w:b/>
          <w:kern w:val="0"/>
          <w:sz w:val="22"/>
          <w:lang w:eastAsia="en-US"/>
        </w:rPr>
        <w:tab/>
      </w:r>
      <w:r>
        <w:rPr>
          <w:rFonts w:ascii="Arial" w:eastAsia="宋体" w:hAnsi="Arial" w:cs="Arial"/>
          <w:b/>
          <w:kern w:val="0"/>
          <w:sz w:val="22"/>
        </w:rPr>
        <w:t>5</w:t>
      </w:r>
    </w:p>
    <w:p w14:paraId="0680C508" w14:textId="7BB9F0D0" w:rsidR="003B48A8" w:rsidRPr="003B48A8" w:rsidRDefault="003B48A8" w:rsidP="00DC3ED5">
      <w:pPr>
        <w:widowControl/>
        <w:tabs>
          <w:tab w:val="right" w:pos="9072"/>
        </w:tabs>
        <w:snapToGrid w:val="0"/>
        <w:ind w:left="1800" w:hangingChars="815" w:hanging="1800"/>
        <w:jc w:val="left"/>
        <w:rPr>
          <w:rFonts w:ascii="Arial" w:eastAsia="MS Mincho" w:hAnsi="Arial" w:cs="Arial"/>
          <w:b/>
          <w:kern w:val="0"/>
          <w:sz w:val="22"/>
          <w:lang w:eastAsia="en-US"/>
        </w:rPr>
      </w:pPr>
      <w:r w:rsidRPr="003B48A8">
        <w:rPr>
          <w:rFonts w:ascii="Arial" w:eastAsia="MS Mincho" w:hAnsi="Arial" w:cs="Arial"/>
          <w:b/>
          <w:kern w:val="0"/>
          <w:sz w:val="22"/>
          <w:lang w:eastAsia="en-US"/>
        </w:rPr>
        <w:t>Title:</w:t>
      </w:r>
      <w:r w:rsidRPr="003B48A8">
        <w:rPr>
          <w:rFonts w:ascii="Arial" w:eastAsia="MS Mincho" w:hAnsi="Arial" w:cs="Arial"/>
          <w:b/>
          <w:kern w:val="0"/>
          <w:sz w:val="22"/>
          <w:lang w:eastAsia="en-US"/>
        </w:rPr>
        <w:tab/>
      </w:r>
      <w:r>
        <w:rPr>
          <w:rFonts w:ascii="Arial" w:eastAsia="MS Mincho" w:hAnsi="Arial" w:cs="Arial"/>
          <w:b/>
          <w:kern w:val="0"/>
          <w:sz w:val="22"/>
          <w:lang w:eastAsia="en-US"/>
        </w:rPr>
        <w:t>Discussion on the SA2 LS on the requirements of Ambient IoT</w:t>
      </w:r>
    </w:p>
    <w:p w14:paraId="15137D28" w14:textId="5CB805A0" w:rsidR="003B48A8" w:rsidRPr="003B48A8" w:rsidRDefault="003B48A8" w:rsidP="00DC3ED5">
      <w:pPr>
        <w:widowControl/>
        <w:tabs>
          <w:tab w:val="right" w:pos="9072"/>
        </w:tabs>
        <w:snapToGrid w:val="0"/>
        <w:ind w:left="1800" w:hangingChars="815" w:hanging="1800"/>
        <w:jc w:val="left"/>
        <w:rPr>
          <w:rFonts w:ascii="Arial" w:eastAsia="宋体" w:hAnsi="Arial" w:cs="Arial"/>
          <w:b/>
          <w:kern w:val="0"/>
          <w:sz w:val="22"/>
        </w:rPr>
      </w:pPr>
      <w:r>
        <w:rPr>
          <w:rFonts w:ascii="Arial" w:eastAsia="MS Mincho" w:hAnsi="Arial" w:cs="Arial"/>
          <w:b/>
          <w:kern w:val="0"/>
          <w:sz w:val="22"/>
          <w:lang w:eastAsia="en-US"/>
        </w:rPr>
        <w:t>Source</w:t>
      </w:r>
      <w:r w:rsidRPr="003B48A8">
        <w:rPr>
          <w:rFonts w:ascii="Arial" w:eastAsia="MS Mincho" w:hAnsi="Arial" w:cs="Arial"/>
          <w:b/>
          <w:kern w:val="0"/>
          <w:sz w:val="22"/>
          <w:lang w:eastAsia="en-US"/>
        </w:rPr>
        <w:t>:</w:t>
      </w:r>
      <w:r w:rsidRPr="003B48A8">
        <w:rPr>
          <w:rFonts w:ascii="Arial" w:eastAsia="MS Mincho" w:hAnsi="Arial" w:cs="Arial"/>
          <w:b/>
          <w:kern w:val="0"/>
          <w:sz w:val="22"/>
          <w:lang w:eastAsia="en-US"/>
        </w:rPr>
        <w:tab/>
      </w:r>
      <w:r>
        <w:rPr>
          <w:rFonts w:ascii="Arial" w:eastAsia="宋体" w:hAnsi="Arial" w:cs="Arial"/>
          <w:b/>
          <w:kern w:val="0"/>
          <w:sz w:val="22"/>
        </w:rPr>
        <w:t>Xiaomi</w:t>
      </w:r>
    </w:p>
    <w:p w14:paraId="27B51251" w14:textId="77777777" w:rsidR="003B48A8" w:rsidRPr="003B48A8" w:rsidRDefault="003B48A8" w:rsidP="00DC3ED5">
      <w:pPr>
        <w:widowControl/>
        <w:tabs>
          <w:tab w:val="left" w:pos="1800"/>
          <w:tab w:val="center" w:pos="4536"/>
          <w:tab w:val="right" w:pos="9072"/>
        </w:tabs>
        <w:snapToGrid w:val="0"/>
        <w:jc w:val="left"/>
        <w:rPr>
          <w:rFonts w:ascii="Arial" w:eastAsia="宋体" w:hAnsi="Arial" w:cs="Arial"/>
          <w:b/>
          <w:kern w:val="0"/>
          <w:sz w:val="22"/>
        </w:rPr>
      </w:pPr>
      <w:r w:rsidRPr="003B48A8">
        <w:rPr>
          <w:rFonts w:ascii="Arial" w:eastAsia="MS Mincho" w:hAnsi="Arial" w:cs="Arial"/>
          <w:b/>
          <w:kern w:val="0"/>
          <w:sz w:val="22"/>
          <w:lang w:eastAsia="en-US"/>
        </w:rPr>
        <w:t>Document for:</w:t>
      </w:r>
      <w:r w:rsidRPr="003B48A8">
        <w:rPr>
          <w:rFonts w:ascii="Arial" w:eastAsia="MS Mincho" w:hAnsi="Arial" w:cs="Arial"/>
          <w:b/>
          <w:kern w:val="0"/>
          <w:sz w:val="22"/>
          <w:lang w:eastAsia="en-US"/>
        </w:rPr>
        <w:tab/>
        <w:t>Discussio</w:t>
      </w:r>
      <w:r w:rsidRPr="003B48A8">
        <w:rPr>
          <w:rFonts w:ascii="Arial" w:eastAsia="宋体" w:hAnsi="Arial" w:cs="Arial"/>
          <w:b/>
          <w:kern w:val="0"/>
          <w:sz w:val="22"/>
        </w:rPr>
        <w:t>n and Decision</w:t>
      </w:r>
    </w:p>
    <w:p w14:paraId="688C7C66" w14:textId="77777777" w:rsidR="003B48A8" w:rsidRPr="003B48A8" w:rsidRDefault="003B48A8" w:rsidP="00DC3ED5">
      <w:pPr>
        <w:widowControl/>
        <w:pBdr>
          <w:bottom w:val="single" w:sz="4" w:space="1" w:color="auto"/>
        </w:pBdr>
        <w:tabs>
          <w:tab w:val="left" w:pos="2552"/>
        </w:tabs>
        <w:snapToGrid w:val="0"/>
        <w:jc w:val="left"/>
        <w:rPr>
          <w:rFonts w:ascii="Arial" w:eastAsia="宋体" w:hAnsi="Arial" w:cs="Arial"/>
          <w:kern w:val="0"/>
          <w:sz w:val="20"/>
          <w:szCs w:val="24"/>
        </w:rPr>
      </w:pPr>
      <w:bookmarkStart w:id="0" w:name="Source"/>
      <w:bookmarkStart w:id="1" w:name="DocumentFor"/>
      <w:bookmarkEnd w:id="0"/>
      <w:bookmarkEnd w:id="1"/>
    </w:p>
    <w:p w14:paraId="708D4020" w14:textId="77777777" w:rsidR="003B48A8" w:rsidRPr="003B48A8" w:rsidRDefault="003B48A8" w:rsidP="00DC3ED5">
      <w:pPr>
        <w:keepNext/>
        <w:widowControl/>
        <w:numPr>
          <w:ilvl w:val="0"/>
          <w:numId w:val="20"/>
        </w:numPr>
        <w:snapToGrid w:val="0"/>
        <w:spacing w:before="240" w:after="120"/>
        <w:ind w:left="431" w:hanging="431"/>
        <w:jc w:val="left"/>
        <w:outlineLvl w:val="0"/>
        <w:rPr>
          <w:rFonts w:ascii="Arial" w:eastAsia="宋体" w:hAnsi="Arial" w:cs="Arial"/>
          <w:b/>
          <w:bCs/>
          <w:kern w:val="32"/>
          <w:sz w:val="28"/>
          <w:szCs w:val="32"/>
        </w:rPr>
      </w:pPr>
      <w:r w:rsidRPr="003B48A8">
        <w:rPr>
          <w:rFonts w:ascii="Arial" w:eastAsia="宋体" w:hAnsi="Arial" w:cs="Arial"/>
          <w:b/>
          <w:bCs/>
          <w:kern w:val="32"/>
          <w:sz w:val="28"/>
          <w:szCs w:val="32"/>
        </w:rPr>
        <w:t>Introduction</w:t>
      </w:r>
    </w:p>
    <w:p w14:paraId="75E1FB1E" w14:textId="436857D9" w:rsidR="003B48A8" w:rsidRDefault="00E402A6" w:rsidP="00DC3ED5">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kern w:val="0"/>
          <w:sz w:val="20"/>
        </w:rPr>
        <w:t>One incoming LS</w:t>
      </w:r>
      <w:r w:rsidR="0031692E">
        <w:rPr>
          <w:rFonts w:ascii="Times New Roman" w:eastAsia="宋体" w:hAnsi="Times New Roman" w:cs="Times New Roman"/>
          <w:kern w:val="0"/>
          <w:sz w:val="20"/>
        </w:rPr>
        <w:t xml:space="preserve"> [1]</w:t>
      </w:r>
      <w:r>
        <w:rPr>
          <w:rFonts w:ascii="Times New Roman" w:eastAsia="宋体" w:hAnsi="Times New Roman" w:cs="Times New Roman"/>
          <w:kern w:val="0"/>
          <w:sz w:val="20"/>
        </w:rPr>
        <w:t xml:space="preserve"> is sent from SA2 to SA1, RAN1 and SA3 to ask a series of questions for clarification of requirements for Ambient IoT. The overall description and expected actions can be referred as follows. In the LS, the Question 5 is asked to RAN1 and expected for </w:t>
      </w:r>
      <w:r w:rsidR="001C1B2A">
        <w:rPr>
          <w:rFonts w:ascii="Times New Roman" w:eastAsia="宋体" w:hAnsi="Times New Roman" w:cs="Times New Roman"/>
          <w:kern w:val="0"/>
          <w:sz w:val="20"/>
        </w:rPr>
        <w:t>feedback</w:t>
      </w:r>
      <w:r>
        <w:rPr>
          <w:rFonts w:ascii="Times New Roman" w:eastAsia="宋体" w:hAnsi="Times New Roman" w:cs="Times New Roman"/>
          <w:kern w:val="0"/>
          <w:sz w:val="20"/>
        </w:rPr>
        <w:t>.</w:t>
      </w:r>
    </w:p>
    <w:tbl>
      <w:tblPr>
        <w:tblStyle w:val="a8"/>
        <w:tblW w:w="0" w:type="auto"/>
        <w:tblLook w:val="04A0" w:firstRow="1" w:lastRow="0" w:firstColumn="1" w:lastColumn="0" w:noHBand="0" w:noVBand="1"/>
      </w:tblPr>
      <w:tblGrid>
        <w:gridCol w:w="9736"/>
      </w:tblGrid>
      <w:tr w:rsidR="00316283" w14:paraId="735F54A2" w14:textId="77777777" w:rsidTr="00316283">
        <w:tc>
          <w:tcPr>
            <w:tcW w:w="9736" w:type="dxa"/>
          </w:tcPr>
          <w:p w14:paraId="22D547B2" w14:textId="7AA0FA0C" w:rsidR="00316283" w:rsidRPr="00316283" w:rsidRDefault="00316283" w:rsidP="00DC3ED5">
            <w:pPr>
              <w:snapToGrid w:val="0"/>
              <w:spacing w:beforeLines="100" w:before="312" w:after="240"/>
              <w:rPr>
                <w:rFonts w:ascii="Arial" w:eastAsiaTheme="minorEastAsia" w:hAnsi="Arial" w:cs="Arial"/>
                <w:b/>
                <w:bCs/>
                <w:sz w:val="24"/>
                <w:szCs w:val="24"/>
              </w:rPr>
            </w:pPr>
            <w:r w:rsidRPr="00316283">
              <w:rPr>
                <w:rFonts w:ascii="Arial" w:eastAsiaTheme="minorEastAsia" w:hAnsi="Arial" w:cs="Arial"/>
                <w:b/>
                <w:bCs/>
                <w:sz w:val="24"/>
                <w:szCs w:val="24"/>
              </w:rPr>
              <w:t>1 Overall description</w:t>
            </w:r>
          </w:p>
          <w:p w14:paraId="0D657936" w14:textId="760E6F6B" w:rsidR="00316283" w:rsidRPr="00D71FD1" w:rsidRDefault="00316283" w:rsidP="00DC3ED5">
            <w:pPr>
              <w:snapToGrid w:val="0"/>
              <w:spacing w:after="180"/>
              <w:rPr>
                <w:rFonts w:eastAsia="Calibri"/>
              </w:rPr>
            </w:pPr>
            <w:r w:rsidRPr="00D71FD1">
              <w:rPr>
                <w:rFonts w:eastAsia="Calibri"/>
              </w:rPr>
              <w:t>While progressing the study on Ambient IoT, SA2 discussed some of the SA1 requirements in TS 22.369 and SA2 would like to ask SA1 the following questions:</w:t>
            </w:r>
          </w:p>
          <w:p w14:paraId="08E7BF6C" w14:textId="77777777" w:rsidR="00316283" w:rsidRPr="00D71FD1" w:rsidRDefault="00316283" w:rsidP="00DC3ED5">
            <w:pPr>
              <w:snapToGrid w:val="0"/>
            </w:pPr>
            <w:r w:rsidRPr="00D71FD1">
              <w:rPr>
                <w:b/>
                <w:bCs/>
              </w:rPr>
              <w:t>Question 1:</w:t>
            </w:r>
            <w:r w:rsidRPr="00D71FD1">
              <w:t xml:space="preserve"> Are requirements for support of an unalterable/permanent equipment identification, </w:t>
            </w:r>
            <w:r>
              <w:t xml:space="preserve">and any specific usage, </w:t>
            </w:r>
            <w:r w:rsidRPr="00D71FD1">
              <w:t>also valid for Ambient IoT devices that only send uplink messages when triggered by the network?</w:t>
            </w:r>
          </w:p>
          <w:p w14:paraId="3DA74B8E" w14:textId="77777777" w:rsidR="00316283" w:rsidRPr="00D71FD1" w:rsidRDefault="00316283" w:rsidP="00DC3ED5">
            <w:pPr>
              <w:snapToGrid w:val="0"/>
            </w:pPr>
          </w:p>
          <w:p w14:paraId="560A5EB3" w14:textId="77777777" w:rsidR="00316283" w:rsidRPr="00D71FD1" w:rsidRDefault="00316283" w:rsidP="00DC3ED5">
            <w:pPr>
              <w:snapToGrid w:val="0"/>
            </w:pPr>
            <w:r w:rsidRPr="00D71FD1">
              <w:t>TS 22.369 includes the following requirement:</w:t>
            </w:r>
          </w:p>
          <w:p w14:paraId="66DFEA3E" w14:textId="77777777" w:rsidR="00316283" w:rsidRPr="00316283" w:rsidRDefault="00316283" w:rsidP="00DC3ED5">
            <w:pPr>
              <w:pStyle w:val="3"/>
              <w:numPr>
                <w:ilvl w:val="0"/>
                <w:numId w:val="0"/>
              </w:numPr>
              <w:snapToGrid w:val="0"/>
              <w:ind w:left="720"/>
              <w:outlineLvl w:val="2"/>
              <w:rPr>
                <w:i/>
                <w:iCs/>
                <w:sz w:val="22"/>
                <w:szCs w:val="22"/>
                <w:lang w:eastAsia="zh-CN"/>
              </w:rPr>
            </w:pPr>
            <w:bookmarkStart w:id="2" w:name="_Toc154166152"/>
            <w:r w:rsidRPr="00316283">
              <w:rPr>
                <w:rFonts w:hint="eastAsia"/>
                <w:i/>
                <w:iCs/>
                <w:sz w:val="22"/>
                <w:szCs w:val="22"/>
                <w:lang w:eastAsia="zh-CN"/>
              </w:rPr>
              <w:t>5</w:t>
            </w:r>
            <w:r w:rsidRPr="00316283">
              <w:rPr>
                <w:i/>
                <w:iCs/>
                <w:sz w:val="22"/>
                <w:szCs w:val="22"/>
                <w:lang w:eastAsia="zh-CN"/>
              </w:rPr>
              <w:t>.2.6</w:t>
            </w:r>
            <w:r w:rsidRPr="00316283">
              <w:rPr>
                <w:i/>
                <w:iCs/>
                <w:sz w:val="22"/>
                <w:szCs w:val="22"/>
                <w:lang w:eastAsia="zh-CN"/>
              </w:rPr>
              <w:tab/>
              <w:t>Security and privacy</w:t>
            </w:r>
            <w:bookmarkEnd w:id="2"/>
          </w:p>
          <w:p w14:paraId="372A37F9" w14:textId="77777777" w:rsidR="00316283" w:rsidRPr="00D71FD1" w:rsidRDefault="00316283" w:rsidP="00DC3ED5">
            <w:pPr>
              <w:snapToGrid w:val="0"/>
              <w:ind w:left="720"/>
              <w:rPr>
                <w:i/>
                <w:iCs/>
              </w:rPr>
            </w:pPr>
            <w:r w:rsidRPr="00D71FD1">
              <w:rPr>
                <w:i/>
                <w:iCs/>
              </w:rPr>
              <w:t xml:space="preserve">The 5G system shall enable security protection suitable for Ambient IoT, without compromising overall 5G security protection. </w:t>
            </w:r>
          </w:p>
          <w:p w14:paraId="69B21110" w14:textId="77777777" w:rsidR="00316283" w:rsidRPr="00D71FD1" w:rsidRDefault="00316283" w:rsidP="00DC3ED5">
            <w:pPr>
              <w:snapToGrid w:val="0"/>
              <w:ind w:left="720"/>
              <w:rPr>
                <w:i/>
                <w:iCs/>
              </w:rPr>
            </w:pPr>
            <w:r w:rsidRPr="00D71FD1">
              <w:rPr>
                <w:i/>
                <w:iCs/>
              </w:rPr>
              <w:t>The 5G system shall be able to provide a mechanism to protect the privacy of information (e.g., location and identity) exchanged during communication between an Ambient IoT device and the 5G network or an Ambient IoT capable UE.</w:t>
            </w:r>
          </w:p>
          <w:p w14:paraId="6F458932" w14:textId="77777777" w:rsidR="00316283" w:rsidRPr="00D71FD1" w:rsidRDefault="00316283" w:rsidP="00DC3ED5">
            <w:pPr>
              <w:snapToGrid w:val="0"/>
            </w:pPr>
          </w:p>
          <w:p w14:paraId="59AD4311" w14:textId="77777777" w:rsidR="00316283" w:rsidRPr="00D71FD1" w:rsidRDefault="00316283" w:rsidP="00DC3ED5">
            <w:pPr>
              <w:snapToGrid w:val="0"/>
            </w:pPr>
            <w:r w:rsidRPr="00D71FD1">
              <w:t>SA2 discussed the requirements listed above and is seeking clarification whether "suitable for Ambient IoT" means that the second requirement does not necessarily apply to all classes of Ambient IoT devices that may be supported in Rel-19.</w:t>
            </w:r>
          </w:p>
          <w:p w14:paraId="66F2BF69" w14:textId="77777777" w:rsidR="00316283" w:rsidRPr="00D71FD1" w:rsidRDefault="00316283" w:rsidP="00DC3ED5">
            <w:pPr>
              <w:snapToGrid w:val="0"/>
            </w:pPr>
          </w:p>
          <w:p w14:paraId="09A60FFD" w14:textId="77777777" w:rsidR="00316283" w:rsidRPr="00D71FD1" w:rsidRDefault="00316283" w:rsidP="00DC3ED5">
            <w:pPr>
              <w:snapToGrid w:val="0"/>
            </w:pPr>
            <w:r w:rsidRPr="00D71FD1">
              <w:t xml:space="preserve">Rel-19 Ambient IoT work focuses on indoor inventory and command </w:t>
            </w:r>
            <w:proofErr w:type="gramStart"/>
            <w:r w:rsidRPr="00D71FD1">
              <w:t>scenarios,.</w:t>
            </w:r>
            <w:proofErr w:type="gramEnd"/>
            <w:r w:rsidRPr="00D71FD1">
              <w:t xml:space="preserve"> SA2 is specifically discussing whether for inventory taking (as described in TS 22.639 clause 4.3) there is a need to ensure privacy of the </w:t>
            </w:r>
            <w:proofErr w:type="spellStart"/>
            <w:r w:rsidRPr="00D71FD1">
              <w:t>AIoT</w:t>
            </w:r>
            <w:proofErr w:type="spellEnd"/>
            <w:r w:rsidRPr="00D71FD1">
              <w:t xml:space="preserve"> device identifier.</w:t>
            </w:r>
          </w:p>
          <w:p w14:paraId="42C02584" w14:textId="77777777" w:rsidR="00316283" w:rsidRPr="00D71FD1" w:rsidRDefault="00316283" w:rsidP="00DC3ED5">
            <w:pPr>
              <w:snapToGrid w:val="0"/>
            </w:pPr>
          </w:p>
          <w:p w14:paraId="606C132A" w14:textId="77777777" w:rsidR="00316283" w:rsidRPr="00D71FD1" w:rsidRDefault="00316283" w:rsidP="00DC3ED5">
            <w:pPr>
              <w:snapToGrid w:val="0"/>
            </w:pPr>
            <w:r w:rsidRPr="00D71FD1">
              <w:t xml:space="preserve">There is no consensus in SA2 whether a </w:t>
            </w:r>
            <w:proofErr w:type="spellStart"/>
            <w:r w:rsidRPr="00D71FD1">
              <w:t>AIoT</w:t>
            </w:r>
            <w:proofErr w:type="spellEnd"/>
            <w:r w:rsidRPr="00D71FD1">
              <w:t xml:space="preserve"> device will always be able to support security procedures. There are also different views in SA2 whether privacy protection is required for all inventory taking scenarios.</w:t>
            </w:r>
          </w:p>
          <w:p w14:paraId="2D2826C6" w14:textId="77777777" w:rsidR="00316283" w:rsidRPr="00D71FD1" w:rsidRDefault="00316283" w:rsidP="00DC3ED5">
            <w:pPr>
              <w:snapToGrid w:val="0"/>
            </w:pPr>
          </w:p>
          <w:p w14:paraId="78643EB6" w14:textId="77777777" w:rsidR="00316283" w:rsidRPr="00D71FD1" w:rsidRDefault="00316283" w:rsidP="00DC3ED5">
            <w:pPr>
              <w:snapToGrid w:val="0"/>
              <w:rPr>
                <w:b/>
                <w:bCs/>
              </w:rPr>
            </w:pPr>
            <w:r w:rsidRPr="00D71FD1">
              <w:rPr>
                <w:b/>
                <w:bCs/>
              </w:rPr>
              <w:t xml:space="preserve">Question 2: Do the requirements listed in clause 5.2.6 of TS 22.369 for privacy protection apply to </w:t>
            </w:r>
            <w:r>
              <w:rPr>
                <w:b/>
                <w:bCs/>
              </w:rPr>
              <w:t xml:space="preserve">any </w:t>
            </w:r>
            <w:r w:rsidRPr="00D71FD1">
              <w:rPr>
                <w:b/>
                <w:bCs/>
              </w:rPr>
              <w:t>Ambient IoT device that need to be supported in Rel-19? If these requirements do not apply to all Ambient IoT</w:t>
            </w:r>
            <w:r>
              <w:rPr>
                <w:b/>
                <w:bCs/>
              </w:rPr>
              <w:t xml:space="preserve"> devices</w:t>
            </w:r>
            <w:r w:rsidRPr="00D71FD1">
              <w:rPr>
                <w:b/>
                <w:bCs/>
              </w:rPr>
              <w:t>, does this imply that such devices would be restricted to certain deployment scenarios?</w:t>
            </w:r>
          </w:p>
          <w:p w14:paraId="38C6C294" w14:textId="77777777" w:rsidR="00316283" w:rsidRPr="00D71FD1" w:rsidRDefault="00316283" w:rsidP="00DC3ED5">
            <w:pPr>
              <w:snapToGrid w:val="0"/>
              <w:rPr>
                <w:b/>
                <w:bCs/>
              </w:rPr>
            </w:pPr>
          </w:p>
          <w:p w14:paraId="3C238859" w14:textId="77777777" w:rsidR="00316283" w:rsidRPr="00D71FD1" w:rsidRDefault="00316283" w:rsidP="00DC3ED5">
            <w:pPr>
              <w:snapToGrid w:val="0"/>
              <w:rPr>
                <w:b/>
                <w:bCs/>
              </w:rPr>
            </w:pPr>
            <w:r w:rsidRPr="00D71FD1">
              <w:rPr>
                <w:b/>
                <w:bCs/>
              </w:rPr>
              <w:t xml:space="preserve">Question 3: Does command / inventory </w:t>
            </w:r>
            <w:r w:rsidRPr="007A59F8">
              <w:rPr>
                <w:b/>
                <w:bCs/>
              </w:rPr>
              <w:t xml:space="preserve">response </w:t>
            </w:r>
            <w:r w:rsidRPr="00D71FD1">
              <w:rPr>
                <w:b/>
                <w:bCs/>
              </w:rPr>
              <w:t xml:space="preserve">signaling, </w:t>
            </w:r>
            <w:proofErr w:type="gramStart"/>
            <w:r w:rsidRPr="00D71FD1">
              <w:rPr>
                <w:b/>
                <w:bCs/>
              </w:rPr>
              <w:t>e.g.</w:t>
            </w:r>
            <w:proofErr w:type="gramEnd"/>
            <w:r w:rsidRPr="00D71FD1">
              <w:rPr>
                <w:b/>
                <w:bCs/>
              </w:rPr>
              <w:t xml:space="preserve"> for sensor data collection or actuator control in TS 22.369 clause 4.3, need to generally be security protected (</w:t>
            </w:r>
            <w:r>
              <w:rPr>
                <w:b/>
                <w:bCs/>
              </w:rPr>
              <w:t xml:space="preserve">privacy, </w:t>
            </w:r>
            <w:r w:rsidRPr="00D71FD1">
              <w:rPr>
                <w:b/>
                <w:bCs/>
              </w:rPr>
              <w:t>integrity and confidentiality protection)?</w:t>
            </w:r>
          </w:p>
          <w:p w14:paraId="3A329D57" w14:textId="77777777" w:rsidR="00316283" w:rsidRPr="00D71FD1" w:rsidRDefault="00316283" w:rsidP="00DC3ED5">
            <w:pPr>
              <w:snapToGrid w:val="0"/>
            </w:pPr>
          </w:p>
          <w:p w14:paraId="42CAF8BC" w14:textId="77777777" w:rsidR="00316283" w:rsidRPr="00D71FD1" w:rsidRDefault="00316283" w:rsidP="00DC3ED5">
            <w:pPr>
              <w:snapToGrid w:val="0"/>
            </w:pPr>
            <w:r w:rsidRPr="00D71FD1">
              <w:t>TS 22.369 includes the following requirements:</w:t>
            </w:r>
          </w:p>
          <w:p w14:paraId="7FB50DDF" w14:textId="77777777" w:rsidR="00316283" w:rsidRPr="00316283" w:rsidRDefault="00316283" w:rsidP="00DC3ED5">
            <w:pPr>
              <w:pStyle w:val="3"/>
              <w:numPr>
                <w:ilvl w:val="0"/>
                <w:numId w:val="0"/>
              </w:numPr>
              <w:snapToGrid w:val="0"/>
              <w:ind w:left="720"/>
              <w:outlineLvl w:val="2"/>
              <w:rPr>
                <w:rFonts w:eastAsia="宋体"/>
                <w:i/>
                <w:iCs/>
                <w:sz w:val="22"/>
                <w:szCs w:val="22"/>
                <w:lang w:eastAsia="zh-CN"/>
              </w:rPr>
            </w:pPr>
            <w:r w:rsidRPr="00316283">
              <w:rPr>
                <w:i/>
                <w:iCs/>
                <w:sz w:val="22"/>
                <w:szCs w:val="22"/>
              </w:rPr>
              <w:t>5.2.3</w:t>
            </w:r>
            <w:r w:rsidRPr="00316283">
              <w:rPr>
                <w:i/>
                <w:iCs/>
                <w:sz w:val="22"/>
                <w:szCs w:val="22"/>
              </w:rPr>
              <w:tab/>
              <w:t>Management</w:t>
            </w:r>
            <w:r w:rsidRPr="00316283">
              <w:rPr>
                <w:rFonts w:eastAsia="宋体"/>
                <w:i/>
                <w:iCs/>
                <w:sz w:val="22"/>
                <w:szCs w:val="22"/>
                <w:lang w:eastAsia="zh-CN"/>
              </w:rPr>
              <w:t xml:space="preserve"> </w:t>
            </w:r>
          </w:p>
          <w:p w14:paraId="5FE23273" w14:textId="77777777" w:rsidR="00316283" w:rsidRPr="00D71FD1" w:rsidRDefault="00316283" w:rsidP="00DC3ED5">
            <w:pPr>
              <w:pStyle w:val="B1"/>
              <w:snapToGrid w:val="0"/>
              <w:ind w:left="720" w:firstLine="0"/>
              <w:rPr>
                <w:rFonts w:ascii="Times New Roman" w:hAnsi="Times New Roman"/>
                <w:i/>
                <w:lang w:val="en-US" w:eastAsia="zh-CN"/>
              </w:rPr>
            </w:pPr>
            <w:r w:rsidRPr="00D71FD1">
              <w:rPr>
                <w:rFonts w:ascii="Times New Roman" w:hAnsi="Times New Roman"/>
                <w:i/>
                <w:lang w:val="en-US" w:eastAsia="zh-CN"/>
              </w:rPr>
              <w:t>The 5G network shall support suitable management mechanisms for an Ambient IoT device or a group of Ambient IoT devices.</w:t>
            </w:r>
          </w:p>
          <w:p w14:paraId="03B64B29" w14:textId="77777777" w:rsidR="00316283" w:rsidRPr="00D71FD1" w:rsidRDefault="00316283" w:rsidP="00DC3ED5">
            <w:pPr>
              <w:snapToGrid w:val="0"/>
              <w:ind w:left="720"/>
              <w:rPr>
                <w:i/>
                <w:iCs/>
              </w:rPr>
            </w:pPr>
            <w:r w:rsidRPr="00D71FD1">
              <w:rPr>
                <w:i/>
                <w:iCs/>
              </w:rPr>
              <w:t>The 5G system shall support a mechanism to:</w:t>
            </w:r>
          </w:p>
          <w:p w14:paraId="036E0E28" w14:textId="77777777" w:rsidR="00316283" w:rsidRPr="00D71FD1" w:rsidRDefault="00316283" w:rsidP="00DC3ED5">
            <w:pPr>
              <w:pStyle w:val="B1"/>
              <w:snapToGrid w:val="0"/>
              <w:ind w:left="1287"/>
              <w:rPr>
                <w:rFonts w:ascii="Times New Roman" w:hAnsi="Times New Roman"/>
                <w:i/>
                <w:lang w:eastAsia="zh-CN"/>
              </w:rPr>
            </w:pPr>
            <w:r w:rsidRPr="00D71FD1">
              <w:rPr>
                <w:rFonts w:ascii="Times New Roman" w:hAnsi="Times New Roman"/>
                <w:i/>
                <w:lang w:eastAsia="zh-CN"/>
              </w:rPr>
              <w:t xml:space="preserve">- </w:t>
            </w:r>
            <w:r w:rsidRPr="00D71FD1">
              <w:rPr>
                <w:rFonts w:ascii="Times New Roman" w:hAnsi="Times New Roman"/>
                <w:i/>
                <w:lang w:eastAsia="zh-CN"/>
              </w:rPr>
              <w:tab/>
              <w:t>disable the capability to transmit RF signals for one or more Ambient IoT device that is / are currently able to transmit RF signals</w:t>
            </w:r>
          </w:p>
          <w:p w14:paraId="3021D918" w14:textId="77777777" w:rsidR="00316283" w:rsidRPr="00D71FD1" w:rsidRDefault="00316283" w:rsidP="00DC3ED5">
            <w:pPr>
              <w:pStyle w:val="B1"/>
              <w:snapToGrid w:val="0"/>
              <w:ind w:left="1287"/>
              <w:rPr>
                <w:rFonts w:ascii="Times New Roman" w:hAnsi="Times New Roman"/>
                <w:i/>
                <w:lang w:eastAsia="zh-CN"/>
              </w:rPr>
            </w:pPr>
            <w:r w:rsidRPr="00D71FD1">
              <w:rPr>
                <w:rFonts w:ascii="Times New Roman" w:hAnsi="Times New Roman"/>
                <w:i/>
                <w:lang w:eastAsia="zh-CN"/>
              </w:rPr>
              <w:lastRenderedPageBreak/>
              <w:t xml:space="preserve">- </w:t>
            </w:r>
            <w:r w:rsidRPr="00D71FD1">
              <w:rPr>
                <w:rFonts w:ascii="Times New Roman" w:hAnsi="Times New Roman"/>
                <w:i/>
                <w:lang w:eastAsia="zh-CN"/>
              </w:rPr>
              <w:tab/>
              <w:t>enable the capability to transmit RF signals for one or more Ambient IoT device that is / are currently disabled to transmit RF signals</w:t>
            </w:r>
          </w:p>
          <w:p w14:paraId="1D9228EA" w14:textId="77777777" w:rsidR="00316283" w:rsidRPr="00D71FD1" w:rsidRDefault="00316283" w:rsidP="00DC3ED5">
            <w:pPr>
              <w:snapToGrid w:val="0"/>
              <w:ind w:left="720"/>
              <w:rPr>
                <w:i/>
                <w:iCs/>
              </w:rPr>
            </w:pPr>
            <w:r w:rsidRPr="00D71FD1">
              <w:rPr>
                <w:i/>
                <w:iCs/>
              </w:rPr>
              <w:t>Based on operator policy, the 5G system shall provide a suitable mechanism to permanently disable the capability of an Ambient IoT device or a group of Ambient IoT devices to transmit RF signals. Subject to operator policy and regulatory requirements, the 5G system shall support suitable mechanisms for the Ambient IoT device to move between one or more networks and countries.</w:t>
            </w:r>
          </w:p>
          <w:p w14:paraId="0B385F85" w14:textId="77777777" w:rsidR="00316283" w:rsidRPr="00D71FD1" w:rsidRDefault="00316283" w:rsidP="00DC3ED5">
            <w:pPr>
              <w:snapToGrid w:val="0"/>
              <w:rPr>
                <w:rFonts w:ascii="Arial" w:hAnsi="Arial" w:cs="Arial"/>
                <w:bCs/>
              </w:rPr>
            </w:pPr>
          </w:p>
          <w:p w14:paraId="0CB521E0" w14:textId="77777777" w:rsidR="00316283" w:rsidRPr="00D71FD1" w:rsidRDefault="00316283" w:rsidP="00DC3ED5">
            <w:pPr>
              <w:snapToGrid w:val="0"/>
            </w:pPr>
            <w:r w:rsidRPr="00D71FD1">
              <w:rPr>
                <w:rFonts w:ascii="Arial" w:hAnsi="Arial" w:cs="Arial"/>
                <w:b/>
              </w:rPr>
              <w:t>Question 4</w:t>
            </w:r>
            <w:r w:rsidRPr="00D71FD1">
              <w:rPr>
                <w:rFonts w:ascii="Arial" w:hAnsi="Arial" w:cs="Arial"/>
                <w:bCs/>
              </w:rPr>
              <w:t>: Is the last requirement above on mobility related to the previous requirements on disabling AIOT devices?</w:t>
            </w:r>
          </w:p>
          <w:p w14:paraId="1BE13677" w14:textId="77777777" w:rsidR="00316283" w:rsidRPr="00D71FD1" w:rsidRDefault="00316283" w:rsidP="00DC3ED5">
            <w:pPr>
              <w:snapToGrid w:val="0"/>
            </w:pPr>
          </w:p>
          <w:p w14:paraId="29F32D87" w14:textId="77777777" w:rsidR="00316283" w:rsidRPr="00E402A6" w:rsidRDefault="00316283" w:rsidP="00DC3ED5">
            <w:pPr>
              <w:snapToGrid w:val="0"/>
              <w:rPr>
                <w:highlight w:val="lightGray"/>
              </w:rPr>
            </w:pPr>
            <w:r w:rsidRPr="00E402A6">
              <w:rPr>
                <w:highlight w:val="lightGray"/>
              </w:rPr>
              <w:t>SA2 have discussed different aspects with respect to non-volatile memory:</w:t>
            </w:r>
          </w:p>
          <w:p w14:paraId="712653A8" w14:textId="77777777" w:rsidR="00316283" w:rsidRPr="00E402A6" w:rsidRDefault="00316283" w:rsidP="00DC3ED5">
            <w:pPr>
              <w:pStyle w:val="B1"/>
              <w:snapToGrid w:val="0"/>
              <w:rPr>
                <w:highlight w:val="lightGray"/>
                <w:lang w:eastAsia="zh-CN"/>
              </w:rPr>
            </w:pPr>
            <w:r w:rsidRPr="00E402A6">
              <w:rPr>
                <w:rFonts w:ascii="Times New Roman" w:hAnsi="Times New Roman"/>
                <w:highlight w:val="lightGray"/>
                <w:lang w:eastAsia="zh-CN"/>
              </w:rPr>
              <w:t>-</w:t>
            </w:r>
            <w:r w:rsidRPr="00E402A6">
              <w:rPr>
                <w:rFonts w:ascii="Times New Roman" w:hAnsi="Times New Roman"/>
                <w:highlight w:val="lightGray"/>
                <w:lang w:eastAsia="zh-CN"/>
              </w:rPr>
              <w:tab/>
              <w:t xml:space="preserve">whether or not an Ambient IoT device can incorporate a non-volatile memory in the device design i.e., include a non-volatile memory in the Bill-of-Materials (BoM). </w:t>
            </w:r>
          </w:p>
          <w:p w14:paraId="66643609" w14:textId="77777777" w:rsidR="00316283" w:rsidRPr="00E402A6" w:rsidRDefault="00316283" w:rsidP="00DC3ED5">
            <w:pPr>
              <w:pStyle w:val="B1"/>
              <w:snapToGrid w:val="0"/>
              <w:rPr>
                <w:highlight w:val="lightGray"/>
                <w:lang w:eastAsia="zh-CN"/>
              </w:rPr>
            </w:pPr>
            <w:r w:rsidRPr="00E402A6">
              <w:rPr>
                <w:rFonts w:ascii="Times New Roman" w:hAnsi="Times New Roman"/>
                <w:highlight w:val="lightGray"/>
                <w:lang w:eastAsia="zh-CN"/>
              </w:rPr>
              <w:t>-</w:t>
            </w:r>
            <w:r w:rsidRPr="00E402A6">
              <w:rPr>
                <w:rFonts w:ascii="Times New Roman" w:hAnsi="Times New Roman"/>
                <w:highlight w:val="lightGray"/>
                <w:lang w:eastAsia="zh-CN"/>
              </w:rPr>
              <w:tab/>
              <w:t xml:space="preserve">whether an Ambient IoT device will be able to update its non-volatile memory based on its energy status and energy storage capabilities at some point after receiving a trigger from the Reader. </w:t>
            </w:r>
          </w:p>
          <w:p w14:paraId="2D79E797" w14:textId="77777777" w:rsidR="00316283" w:rsidRPr="00E402A6" w:rsidRDefault="00316283" w:rsidP="00DC3ED5">
            <w:pPr>
              <w:snapToGrid w:val="0"/>
              <w:rPr>
                <w:highlight w:val="lightGray"/>
              </w:rPr>
            </w:pPr>
          </w:p>
          <w:p w14:paraId="38B64A0C" w14:textId="77777777" w:rsidR="00316283" w:rsidRPr="00E402A6" w:rsidRDefault="00316283" w:rsidP="00DC3ED5">
            <w:pPr>
              <w:snapToGrid w:val="0"/>
              <w:rPr>
                <w:highlight w:val="lightGray"/>
              </w:rPr>
            </w:pPr>
            <w:r w:rsidRPr="00E402A6">
              <w:rPr>
                <w:highlight w:val="lightGray"/>
              </w:rPr>
              <w:t>SA2 has not reached any common understanding. While there is no consensus in SA2 whether it is in RAN1 scope to determine devices' level of capability to support non-volatile memory; SA2 would like to ask the following question to RAN1:</w:t>
            </w:r>
          </w:p>
          <w:p w14:paraId="44437F0F" w14:textId="77777777" w:rsidR="00316283" w:rsidRPr="00E402A6" w:rsidRDefault="00316283" w:rsidP="00DC3ED5">
            <w:pPr>
              <w:snapToGrid w:val="0"/>
              <w:rPr>
                <w:highlight w:val="lightGray"/>
              </w:rPr>
            </w:pPr>
          </w:p>
          <w:p w14:paraId="6C6E2DF9" w14:textId="77777777" w:rsidR="00316283" w:rsidRPr="00D71FD1" w:rsidRDefault="00316283" w:rsidP="00DC3ED5">
            <w:pPr>
              <w:snapToGrid w:val="0"/>
            </w:pPr>
            <w:r w:rsidRPr="00E402A6">
              <w:rPr>
                <w:b/>
                <w:bCs/>
                <w:highlight w:val="lightGray"/>
              </w:rPr>
              <w:t>Question 5:</w:t>
            </w:r>
            <w:r w:rsidRPr="00E402A6">
              <w:rPr>
                <w:highlight w:val="lightGray"/>
              </w:rPr>
              <w:t xml:space="preserve"> SA2 would like to ask RAN1 if RAN1 can provide feedback on the non-volatile memory aspects listed above.</w:t>
            </w:r>
            <w:r w:rsidRPr="00D71FD1">
              <w:t xml:space="preserve"> </w:t>
            </w:r>
          </w:p>
          <w:p w14:paraId="59E6AD41" w14:textId="77777777" w:rsidR="00316283" w:rsidRPr="00D71FD1" w:rsidRDefault="00316283" w:rsidP="00DC3ED5">
            <w:pPr>
              <w:snapToGrid w:val="0"/>
            </w:pPr>
          </w:p>
          <w:p w14:paraId="77B845EC" w14:textId="396E33DF" w:rsidR="00316283" w:rsidRPr="00316283" w:rsidRDefault="00316283" w:rsidP="00DC3ED5">
            <w:pPr>
              <w:snapToGrid w:val="0"/>
            </w:pPr>
            <w:r w:rsidRPr="00D71FD1">
              <w:t>SA2 would like to ask SA3 to provide SA2 with any progress of the SA3 work that can impact SA2.</w:t>
            </w:r>
          </w:p>
        </w:tc>
      </w:tr>
      <w:tr w:rsidR="00316283" w14:paraId="3B9C7F2F" w14:textId="77777777" w:rsidTr="00316283">
        <w:tc>
          <w:tcPr>
            <w:tcW w:w="9736" w:type="dxa"/>
          </w:tcPr>
          <w:p w14:paraId="10498CD0" w14:textId="77777777" w:rsidR="00316283" w:rsidRPr="00316283" w:rsidRDefault="00316283" w:rsidP="00DC3ED5">
            <w:pPr>
              <w:snapToGrid w:val="0"/>
              <w:spacing w:beforeLines="100" w:before="312" w:after="240"/>
              <w:rPr>
                <w:rFonts w:ascii="Arial" w:eastAsiaTheme="minorEastAsia" w:hAnsi="Arial" w:cs="Arial"/>
                <w:b/>
                <w:bCs/>
                <w:sz w:val="24"/>
                <w:szCs w:val="24"/>
              </w:rPr>
            </w:pPr>
            <w:r w:rsidRPr="00316283">
              <w:rPr>
                <w:rFonts w:ascii="Arial" w:eastAsiaTheme="minorEastAsia" w:hAnsi="Arial" w:cs="Arial"/>
                <w:b/>
                <w:bCs/>
                <w:sz w:val="24"/>
                <w:szCs w:val="24"/>
              </w:rPr>
              <w:lastRenderedPageBreak/>
              <w:t>2 Actions</w:t>
            </w:r>
          </w:p>
          <w:p w14:paraId="70ABD4A9" w14:textId="77777777" w:rsidR="00316283" w:rsidRPr="00D71FD1" w:rsidRDefault="00316283" w:rsidP="00DC3ED5">
            <w:pPr>
              <w:snapToGrid w:val="0"/>
              <w:ind w:left="1985" w:hanging="1985"/>
              <w:rPr>
                <w:rFonts w:ascii="Arial" w:hAnsi="Arial" w:cs="Arial"/>
                <w:b/>
              </w:rPr>
            </w:pPr>
            <w:r w:rsidRPr="00D71FD1">
              <w:rPr>
                <w:rFonts w:ascii="Arial" w:hAnsi="Arial" w:cs="Arial"/>
                <w:b/>
              </w:rPr>
              <w:t>To SA1</w:t>
            </w:r>
            <w:r>
              <w:rPr>
                <w:rFonts w:ascii="Arial" w:hAnsi="Arial" w:cs="Arial"/>
                <w:b/>
              </w:rPr>
              <w:t>:</w:t>
            </w:r>
          </w:p>
          <w:p w14:paraId="0B0A5414" w14:textId="77777777" w:rsidR="00316283" w:rsidRDefault="00316283" w:rsidP="00DC3ED5">
            <w:pPr>
              <w:snapToGrid w:val="0"/>
              <w:rPr>
                <w:rFonts w:ascii="Arial" w:hAnsi="Arial"/>
              </w:rPr>
            </w:pPr>
            <w:r w:rsidRPr="00D71FD1">
              <w:rPr>
                <w:rFonts w:ascii="Arial" w:hAnsi="Arial" w:cs="Arial"/>
                <w:b/>
              </w:rPr>
              <w:t xml:space="preserve">ACTION: </w:t>
            </w:r>
            <w:r w:rsidRPr="00D71FD1">
              <w:rPr>
                <w:rFonts w:ascii="Arial" w:hAnsi="Arial"/>
              </w:rPr>
              <w:t>SA2 kindly asks SA1 to answer questions</w:t>
            </w:r>
            <w:r>
              <w:rPr>
                <w:rFonts w:ascii="Arial" w:hAnsi="Arial"/>
              </w:rPr>
              <w:t xml:space="preserve"> 1 to 4</w:t>
            </w:r>
            <w:r w:rsidRPr="00D71FD1">
              <w:rPr>
                <w:rFonts w:ascii="Arial" w:hAnsi="Arial"/>
              </w:rPr>
              <w:t>.</w:t>
            </w:r>
          </w:p>
          <w:p w14:paraId="26484056" w14:textId="77777777" w:rsidR="00316283" w:rsidRDefault="00316283" w:rsidP="00DC3ED5">
            <w:pPr>
              <w:snapToGrid w:val="0"/>
              <w:rPr>
                <w:rFonts w:ascii="Arial" w:hAnsi="Arial"/>
              </w:rPr>
            </w:pPr>
          </w:p>
          <w:p w14:paraId="3CD8D824" w14:textId="77777777" w:rsidR="00316283" w:rsidRPr="00D71FD1" w:rsidRDefault="00316283" w:rsidP="00DC3ED5">
            <w:pPr>
              <w:snapToGrid w:val="0"/>
              <w:ind w:left="1985" w:hanging="1985"/>
              <w:rPr>
                <w:rFonts w:ascii="Arial" w:hAnsi="Arial" w:cs="Arial"/>
                <w:b/>
              </w:rPr>
            </w:pPr>
            <w:r w:rsidRPr="00D71FD1">
              <w:rPr>
                <w:rFonts w:ascii="Arial" w:hAnsi="Arial" w:cs="Arial"/>
                <w:b/>
              </w:rPr>
              <w:t>To RAN1</w:t>
            </w:r>
            <w:r>
              <w:rPr>
                <w:rFonts w:ascii="Arial" w:hAnsi="Arial" w:cs="Arial"/>
                <w:b/>
              </w:rPr>
              <w:t>:</w:t>
            </w:r>
          </w:p>
          <w:p w14:paraId="65E8C00E" w14:textId="77777777" w:rsidR="00316283" w:rsidRDefault="00316283" w:rsidP="00DC3ED5">
            <w:pPr>
              <w:snapToGrid w:val="0"/>
              <w:rPr>
                <w:rFonts w:ascii="Arial" w:hAnsi="Arial"/>
              </w:rPr>
            </w:pPr>
            <w:r w:rsidRPr="00D71FD1">
              <w:rPr>
                <w:rFonts w:ascii="Arial" w:hAnsi="Arial" w:cs="Arial"/>
                <w:b/>
              </w:rPr>
              <w:t xml:space="preserve">ACTION: </w:t>
            </w:r>
            <w:r w:rsidRPr="00D71FD1">
              <w:rPr>
                <w:rFonts w:ascii="Arial" w:hAnsi="Arial"/>
              </w:rPr>
              <w:t>SA2 kindly asks RAN1 to answer question</w:t>
            </w:r>
            <w:r>
              <w:rPr>
                <w:rFonts w:ascii="Arial" w:hAnsi="Arial"/>
              </w:rPr>
              <w:t xml:space="preserve"> 5</w:t>
            </w:r>
            <w:r w:rsidRPr="00D71FD1">
              <w:rPr>
                <w:rFonts w:ascii="Arial" w:hAnsi="Arial"/>
              </w:rPr>
              <w:t>.</w:t>
            </w:r>
          </w:p>
          <w:p w14:paraId="2D1CD744" w14:textId="77777777" w:rsidR="00316283" w:rsidRDefault="00316283" w:rsidP="00DC3ED5">
            <w:pPr>
              <w:snapToGrid w:val="0"/>
              <w:rPr>
                <w:rFonts w:ascii="Arial" w:hAnsi="Arial"/>
              </w:rPr>
            </w:pPr>
          </w:p>
          <w:p w14:paraId="467B210C" w14:textId="77777777" w:rsidR="00316283" w:rsidRPr="00D71FD1" w:rsidRDefault="00316283" w:rsidP="00DC3ED5">
            <w:pPr>
              <w:snapToGrid w:val="0"/>
              <w:ind w:left="1985" w:hanging="1985"/>
              <w:rPr>
                <w:rFonts w:ascii="Arial" w:hAnsi="Arial" w:cs="Arial"/>
                <w:b/>
              </w:rPr>
            </w:pPr>
            <w:r w:rsidRPr="00D71FD1">
              <w:rPr>
                <w:rFonts w:ascii="Arial" w:hAnsi="Arial" w:cs="Arial"/>
                <w:b/>
              </w:rPr>
              <w:t>To SA</w:t>
            </w:r>
            <w:r>
              <w:rPr>
                <w:rFonts w:ascii="Arial" w:hAnsi="Arial" w:cs="Arial"/>
                <w:b/>
              </w:rPr>
              <w:t>3:</w:t>
            </w:r>
          </w:p>
          <w:p w14:paraId="51657092" w14:textId="7870D491" w:rsidR="00316283" w:rsidRPr="00316283" w:rsidRDefault="00316283" w:rsidP="00DC3ED5">
            <w:pPr>
              <w:snapToGrid w:val="0"/>
              <w:rPr>
                <w:rFonts w:ascii="Arial" w:hAnsi="Arial"/>
              </w:rPr>
            </w:pPr>
            <w:r w:rsidRPr="00D71FD1">
              <w:rPr>
                <w:rFonts w:ascii="Arial" w:hAnsi="Arial" w:cs="Arial"/>
                <w:b/>
              </w:rPr>
              <w:t xml:space="preserve">ACTION: </w:t>
            </w:r>
            <w:r w:rsidRPr="00D71FD1">
              <w:rPr>
                <w:rFonts w:ascii="Arial" w:hAnsi="Arial"/>
              </w:rPr>
              <w:t>SA2 kindly asks SA</w:t>
            </w:r>
            <w:r>
              <w:rPr>
                <w:rFonts w:ascii="Arial" w:hAnsi="Arial"/>
              </w:rPr>
              <w:t xml:space="preserve">3 to </w:t>
            </w:r>
            <w:r w:rsidRPr="00951452">
              <w:rPr>
                <w:rFonts w:ascii="Arial" w:hAnsi="Arial"/>
              </w:rPr>
              <w:t>provide SA2 with any progress of the SA3 work can impact SA2</w:t>
            </w:r>
            <w:r w:rsidRPr="00D71FD1">
              <w:rPr>
                <w:rFonts w:ascii="Arial" w:hAnsi="Arial"/>
              </w:rPr>
              <w:t>.</w:t>
            </w:r>
          </w:p>
        </w:tc>
      </w:tr>
    </w:tbl>
    <w:p w14:paraId="2A44CF3E" w14:textId="23C2DAA6" w:rsidR="003B48A8" w:rsidRPr="003B48A8" w:rsidRDefault="001E4EF6" w:rsidP="00DC3ED5">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kern w:val="0"/>
          <w:sz w:val="20"/>
        </w:rPr>
        <w:t>This contribution discusses non-volatile memory aspects related to this Question from RAN1’s perspective.</w:t>
      </w:r>
    </w:p>
    <w:p w14:paraId="2CCF5185" w14:textId="77777777" w:rsidR="003B48A8" w:rsidRPr="003B48A8" w:rsidRDefault="003B48A8" w:rsidP="00DC3ED5">
      <w:pPr>
        <w:keepNext/>
        <w:widowControl/>
        <w:numPr>
          <w:ilvl w:val="0"/>
          <w:numId w:val="20"/>
        </w:numPr>
        <w:snapToGrid w:val="0"/>
        <w:spacing w:before="240" w:after="120"/>
        <w:ind w:left="431" w:hanging="431"/>
        <w:jc w:val="left"/>
        <w:outlineLvl w:val="0"/>
        <w:rPr>
          <w:rFonts w:ascii="Arial" w:eastAsia="宋体" w:hAnsi="Arial" w:cs="Arial"/>
          <w:b/>
          <w:bCs/>
          <w:kern w:val="32"/>
          <w:sz w:val="28"/>
          <w:szCs w:val="32"/>
        </w:rPr>
      </w:pPr>
      <w:r w:rsidRPr="003B48A8">
        <w:rPr>
          <w:rFonts w:ascii="Arial" w:eastAsia="宋体" w:hAnsi="Arial" w:cs="Arial"/>
          <w:b/>
          <w:bCs/>
          <w:kern w:val="32"/>
          <w:sz w:val="28"/>
          <w:szCs w:val="32"/>
        </w:rPr>
        <w:t>Discussion</w:t>
      </w:r>
    </w:p>
    <w:tbl>
      <w:tblPr>
        <w:tblStyle w:val="a8"/>
        <w:tblW w:w="0" w:type="auto"/>
        <w:tblLook w:val="04A0" w:firstRow="1" w:lastRow="0" w:firstColumn="1" w:lastColumn="0" w:noHBand="0" w:noVBand="1"/>
      </w:tblPr>
      <w:tblGrid>
        <w:gridCol w:w="9736"/>
      </w:tblGrid>
      <w:tr w:rsidR="003C21E0" w14:paraId="3E664A68" w14:textId="77777777" w:rsidTr="003C21E0">
        <w:tc>
          <w:tcPr>
            <w:tcW w:w="9736" w:type="dxa"/>
          </w:tcPr>
          <w:p w14:paraId="07400757" w14:textId="283CC4D4" w:rsidR="003C21E0" w:rsidRPr="003C21E0" w:rsidRDefault="003C21E0" w:rsidP="00DC3ED5">
            <w:pPr>
              <w:pStyle w:val="B1"/>
              <w:snapToGrid w:val="0"/>
              <w:rPr>
                <w:highlight w:val="lightGray"/>
                <w:lang w:eastAsia="zh-CN"/>
              </w:rPr>
            </w:pPr>
            <w:r w:rsidRPr="00E402A6">
              <w:rPr>
                <w:rFonts w:ascii="Times New Roman" w:hAnsi="Times New Roman"/>
                <w:highlight w:val="lightGray"/>
                <w:lang w:eastAsia="zh-CN"/>
              </w:rPr>
              <w:t>-</w:t>
            </w:r>
            <w:r w:rsidRPr="00E402A6">
              <w:rPr>
                <w:rFonts w:ascii="Times New Roman" w:hAnsi="Times New Roman"/>
                <w:highlight w:val="lightGray"/>
                <w:lang w:eastAsia="zh-CN"/>
              </w:rPr>
              <w:tab/>
              <w:t xml:space="preserve">whether or not an Ambient IoT device can incorporate a non-volatile memory in the device design i.e., include a non-volatile memory in the Bill-of-Materials (BoM). </w:t>
            </w:r>
          </w:p>
        </w:tc>
      </w:tr>
    </w:tbl>
    <w:p w14:paraId="48DB72F2" w14:textId="73DBDA0F" w:rsidR="003B48A8" w:rsidRDefault="0031692E" w:rsidP="00DC3ED5">
      <w:pPr>
        <w:widowControl/>
        <w:snapToGrid w:val="0"/>
        <w:spacing w:beforeLines="50" w:before="156" w:afterLines="50" w:after="156"/>
        <w:rPr>
          <w:rFonts w:ascii="Times New Roman" w:eastAsia="宋体" w:hAnsi="Times New Roman" w:cs="Times New Roman"/>
          <w:kern w:val="0"/>
          <w:sz w:val="20"/>
          <w:szCs w:val="20"/>
        </w:rPr>
      </w:pPr>
      <w:r>
        <w:rPr>
          <w:rFonts w:ascii="Times New Roman" w:eastAsia="宋体" w:hAnsi="Times New Roman" w:cs="Times New Roman"/>
          <w:kern w:val="0"/>
          <w:sz w:val="20"/>
          <w:szCs w:val="20"/>
        </w:rPr>
        <w:t>According to RAN1’s agreements [2][3] for Ambient IoT device architecture</w:t>
      </w:r>
      <w:r w:rsidR="00A5075E">
        <w:rPr>
          <w:rFonts w:ascii="Times New Roman" w:eastAsia="宋体" w:hAnsi="Times New Roman" w:cs="Times New Roman"/>
          <w:kern w:val="0"/>
          <w:sz w:val="20"/>
          <w:szCs w:val="20"/>
        </w:rPr>
        <w:t>, the Memory blocks for device 1, device 2a with RF-ED receiver, and device 2b with RF-ED/ZIF/IF-ED receiver can include two types of memory, i.e., Non-Volatile Memory (NVM) and registers for temporarily keeping any information. The memory block</w:t>
      </w:r>
      <w:r w:rsidR="00D64EA3">
        <w:rPr>
          <w:rFonts w:ascii="Times New Roman" w:eastAsia="宋体" w:hAnsi="Times New Roman" w:cs="Times New Roman"/>
          <w:kern w:val="0"/>
          <w:sz w:val="20"/>
          <w:szCs w:val="20"/>
        </w:rPr>
        <w:t xml:space="preserve"> agreed by RAN1 meeting</w:t>
      </w:r>
      <w:r w:rsidR="00A5075E">
        <w:rPr>
          <w:rFonts w:ascii="Times New Roman" w:eastAsia="宋体" w:hAnsi="Times New Roman" w:cs="Times New Roman"/>
          <w:kern w:val="0"/>
          <w:sz w:val="20"/>
          <w:szCs w:val="20"/>
        </w:rPr>
        <w:t xml:space="preserve"> is copied as follow for reference.</w:t>
      </w:r>
      <w:r w:rsidR="00DE4E33">
        <w:rPr>
          <w:rFonts w:ascii="Times New Roman" w:eastAsia="宋体" w:hAnsi="Times New Roman" w:cs="Times New Roman"/>
          <w:kern w:val="0"/>
          <w:sz w:val="20"/>
          <w:szCs w:val="20"/>
        </w:rPr>
        <w:t xml:space="preserve"> NVM is used to store device’s ID or EPC and some potential private data/information, and register is used to temporarily cache the information during R2D/R2D communication procedures.</w:t>
      </w:r>
    </w:p>
    <w:p w14:paraId="0E6486D0" w14:textId="1AD03B24" w:rsidR="00A5075E" w:rsidRPr="0045752F" w:rsidRDefault="00A5075E" w:rsidP="00DC3ED5">
      <w:pPr>
        <w:numPr>
          <w:ilvl w:val="0"/>
          <w:numId w:val="22"/>
        </w:numPr>
        <w:autoSpaceDE w:val="0"/>
        <w:autoSpaceDN w:val="0"/>
        <w:adjustRightInd w:val="0"/>
        <w:snapToGrid w:val="0"/>
        <w:ind w:left="714" w:hanging="357"/>
        <w:rPr>
          <w:rFonts w:ascii="Times New Roman" w:hAnsi="Times New Roman" w:cs="Times New Roman"/>
          <w:b/>
          <w:bCs/>
          <w:i/>
          <w:iCs/>
        </w:rPr>
      </w:pPr>
      <w:r w:rsidRPr="00A5075E">
        <w:rPr>
          <w:rFonts w:ascii="Times New Roman" w:hAnsi="Times New Roman" w:cs="Times New Roman"/>
          <w:b/>
          <w:bCs/>
          <w:i/>
          <w:iCs/>
        </w:rPr>
        <w:t>Memory</w:t>
      </w:r>
      <w:r w:rsidRPr="00A5075E">
        <w:rPr>
          <w:rFonts w:ascii="Times New Roman" w:hAnsi="Times New Roman" w:cs="Times New Roman"/>
          <w:i/>
          <w:iCs/>
        </w:rPr>
        <w:t xml:space="preserve"> can</w:t>
      </w:r>
      <w:r w:rsidRPr="00A5075E">
        <w:rPr>
          <w:rFonts w:ascii="Times New Roman" w:hAnsi="Times New Roman" w:cs="Times New Roman"/>
          <w:b/>
          <w:bCs/>
          <w:i/>
          <w:iCs/>
        </w:rPr>
        <w:t xml:space="preserve"> </w:t>
      </w:r>
      <w:r w:rsidRPr="00A5075E">
        <w:rPr>
          <w:rFonts w:ascii="Times New Roman" w:hAnsi="Times New Roman" w:cs="Times New Roman"/>
          <w:i/>
          <w:iCs/>
        </w:rPr>
        <w:t xml:space="preserve">include two types of memory: 1) Non-Volatile Memory (NVM) such as EEPROM for permanently storing device ID, </w:t>
      </w:r>
      <w:proofErr w:type="spellStart"/>
      <w:r w:rsidRPr="00A5075E">
        <w:rPr>
          <w:rFonts w:ascii="Times New Roman" w:hAnsi="Times New Roman" w:cs="Times New Roman"/>
          <w:i/>
          <w:iCs/>
        </w:rPr>
        <w:t>etc</w:t>
      </w:r>
      <w:proofErr w:type="spellEnd"/>
      <w:r w:rsidRPr="00A5075E">
        <w:rPr>
          <w:rFonts w:ascii="Times New Roman" w:hAnsi="Times New Roman" w:cs="Times New Roman"/>
          <w:i/>
          <w:iCs/>
        </w:rPr>
        <w:t>, and 2) registers for temporarily keeping any information required for its operation only while energy is available in energy storage.</w:t>
      </w:r>
    </w:p>
    <w:p w14:paraId="41798CF3" w14:textId="0C5D03C2" w:rsidR="0045752F" w:rsidRPr="0045752F" w:rsidRDefault="003737D2" w:rsidP="003737D2">
      <w:pPr>
        <w:autoSpaceDE w:val="0"/>
        <w:autoSpaceDN w:val="0"/>
        <w:adjustRightInd w:val="0"/>
        <w:snapToGrid w:val="0"/>
        <w:spacing w:beforeLines="50" w:before="156" w:afterLines="50" w:after="156"/>
        <w:rPr>
          <w:rFonts w:ascii="Times New Roman" w:hAnsi="Times New Roman" w:cs="Times New Roman"/>
          <w:sz w:val="20"/>
          <w:szCs w:val="21"/>
        </w:rPr>
      </w:pPr>
      <w:r w:rsidRPr="002A00E4">
        <w:rPr>
          <w:rFonts w:ascii="Times New Roman" w:eastAsia="宋体" w:hAnsi="Times New Roman" w:cs="Times New Roman"/>
          <w:b/>
          <w:bCs/>
          <w:kern w:val="0"/>
          <w:sz w:val="20"/>
          <w:szCs w:val="24"/>
        </w:rPr>
        <w:t>Observation 1:</w:t>
      </w:r>
      <w:r>
        <w:rPr>
          <w:rFonts w:ascii="Times New Roman" w:eastAsia="宋体" w:hAnsi="Times New Roman" w:cs="Times New Roman"/>
          <w:b/>
          <w:bCs/>
          <w:kern w:val="0"/>
          <w:sz w:val="20"/>
          <w:szCs w:val="24"/>
        </w:rPr>
        <w:t xml:space="preserve"> According to RAN1’s agreement, an Ambient IoT device, including device 1 and 2</w:t>
      </w:r>
      <w:r>
        <w:rPr>
          <w:rFonts w:ascii="Times New Roman" w:eastAsia="宋体" w:hAnsi="Times New Roman" w:cs="Times New Roman" w:hint="eastAsia"/>
          <w:b/>
          <w:bCs/>
          <w:kern w:val="0"/>
          <w:sz w:val="20"/>
          <w:szCs w:val="24"/>
        </w:rPr>
        <w:t>,</w:t>
      </w:r>
      <w:r>
        <w:rPr>
          <w:rFonts w:ascii="Times New Roman" w:eastAsia="宋体" w:hAnsi="Times New Roman" w:cs="Times New Roman"/>
          <w:b/>
          <w:bCs/>
          <w:kern w:val="0"/>
          <w:sz w:val="20"/>
          <w:szCs w:val="24"/>
        </w:rPr>
        <w:t xml:space="preserve"> can include two types of memory, </w:t>
      </w:r>
      <w:r w:rsidR="004D59D9">
        <w:rPr>
          <w:rFonts w:ascii="Times New Roman" w:eastAsia="宋体" w:hAnsi="Times New Roman" w:cs="Times New Roman"/>
          <w:b/>
          <w:bCs/>
          <w:kern w:val="0"/>
          <w:sz w:val="20"/>
          <w:szCs w:val="24"/>
        </w:rPr>
        <w:t>i.e.,</w:t>
      </w:r>
      <w:r>
        <w:rPr>
          <w:rFonts w:ascii="Times New Roman" w:eastAsia="宋体" w:hAnsi="Times New Roman" w:cs="Times New Roman"/>
          <w:b/>
          <w:bCs/>
          <w:kern w:val="0"/>
          <w:sz w:val="20"/>
          <w:szCs w:val="24"/>
        </w:rPr>
        <w:t xml:space="preserve"> NVM such as EEPROM for permanently storing device ID, etc</w:t>
      </w:r>
      <w:r w:rsidR="003712E2">
        <w:rPr>
          <w:rFonts w:ascii="Times New Roman" w:eastAsia="宋体" w:hAnsi="Times New Roman" w:cs="Times New Roman"/>
          <w:b/>
          <w:bCs/>
          <w:kern w:val="0"/>
          <w:sz w:val="20"/>
          <w:szCs w:val="24"/>
        </w:rPr>
        <w:t>.</w:t>
      </w:r>
      <w:r>
        <w:rPr>
          <w:rFonts w:ascii="Times New Roman" w:eastAsia="宋体" w:hAnsi="Times New Roman" w:cs="Times New Roman"/>
          <w:b/>
          <w:bCs/>
          <w:kern w:val="0"/>
          <w:sz w:val="20"/>
          <w:szCs w:val="24"/>
        </w:rPr>
        <w:t>, and registers for temporarily keeping any information required for its operation only while energy is available in energy storage.</w:t>
      </w:r>
    </w:p>
    <w:tbl>
      <w:tblPr>
        <w:tblStyle w:val="a8"/>
        <w:tblW w:w="0" w:type="auto"/>
        <w:tblLook w:val="04A0" w:firstRow="1" w:lastRow="0" w:firstColumn="1" w:lastColumn="0" w:noHBand="0" w:noVBand="1"/>
      </w:tblPr>
      <w:tblGrid>
        <w:gridCol w:w="9736"/>
      </w:tblGrid>
      <w:tr w:rsidR="0045752F" w14:paraId="32D47249" w14:textId="77777777" w:rsidTr="0045752F">
        <w:tc>
          <w:tcPr>
            <w:tcW w:w="9736" w:type="dxa"/>
          </w:tcPr>
          <w:p w14:paraId="27563FA5" w14:textId="459895C6" w:rsidR="0045752F" w:rsidRPr="0045752F" w:rsidRDefault="0045752F" w:rsidP="00DC3ED5">
            <w:pPr>
              <w:pStyle w:val="B1"/>
              <w:snapToGrid w:val="0"/>
              <w:rPr>
                <w:highlight w:val="lightGray"/>
                <w:lang w:eastAsia="zh-CN"/>
              </w:rPr>
            </w:pPr>
            <w:r w:rsidRPr="00E402A6">
              <w:rPr>
                <w:rFonts w:ascii="Times New Roman" w:hAnsi="Times New Roman"/>
                <w:highlight w:val="lightGray"/>
                <w:lang w:eastAsia="zh-CN"/>
              </w:rPr>
              <w:t>-</w:t>
            </w:r>
            <w:r w:rsidRPr="00E402A6">
              <w:rPr>
                <w:rFonts w:ascii="Times New Roman" w:hAnsi="Times New Roman"/>
                <w:highlight w:val="lightGray"/>
                <w:lang w:eastAsia="zh-CN"/>
              </w:rPr>
              <w:tab/>
              <w:t xml:space="preserve">whether an Ambient IoT device will be able to update its non-volatile memory based on its energy status and energy storage capabilities at some point after receiving a trigger from the Reader. </w:t>
            </w:r>
          </w:p>
        </w:tc>
      </w:tr>
    </w:tbl>
    <w:p w14:paraId="6F36C8B6" w14:textId="77777777" w:rsidR="00DF0D13" w:rsidRDefault="000A1303" w:rsidP="00DC3ED5">
      <w:pPr>
        <w:widowControl/>
        <w:snapToGrid w:val="0"/>
        <w:spacing w:beforeLines="50" w:before="156" w:afterLines="50" w:after="156"/>
        <w:rPr>
          <w:rFonts w:ascii="Times New Roman" w:eastAsia="宋体" w:hAnsi="Times New Roman" w:cs="Times New Roman"/>
          <w:sz w:val="20"/>
          <w:szCs w:val="20"/>
        </w:rPr>
      </w:pPr>
      <w:r>
        <w:rPr>
          <w:rFonts w:ascii="Times New Roman" w:eastAsia="宋体" w:hAnsi="Times New Roman" w:cs="Times New Roman"/>
          <w:kern w:val="0"/>
          <w:sz w:val="20"/>
          <w:szCs w:val="20"/>
        </w:rPr>
        <w:lastRenderedPageBreak/>
        <w:t>Based on the UHF RFID</w:t>
      </w:r>
      <w:r w:rsidR="00427EA2">
        <w:rPr>
          <w:rFonts w:ascii="Times New Roman" w:eastAsia="宋体" w:hAnsi="Times New Roman" w:cs="Times New Roman"/>
          <w:kern w:val="0"/>
          <w:sz w:val="20"/>
          <w:szCs w:val="20"/>
        </w:rPr>
        <w:t xml:space="preserve"> design, and according to the power consumption analysis provided by some RAN1 contributions, </w:t>
      </w:r>
      <w:r w:rsidR="00396439">
        <w:rPr>
          <w:rFonts w:ascii="Times New Roman" w:eastAsia="宋体" w:hAnsi="Times New Roman" w:cs="Times New Roman"/>
          <w:kern w:val="0"/>
          <w:sz w:val="20"/>
          <w:szCs w:val="20"/>
        </w:rPr>
        <w:t xml:space="preserve">writing process to </w:t>
      </w:r>
      <w:r w:rsidR="006F6310">
        <w:rPr>
          <w:rFonts w:ascii="Times New Roman" w:eastAsia="宋体" w:hAnsi="Times New Roman" w:cs="Times New Roman"/>
          <w:kern w:val="0"/>
          <w:sz w:val="20"/>
          <w:szCs w:val="20"/>
        </w:rPr>
        <w:t>NVM</w:t>
      </w:r>
      <w:r w:rsidR="00396439">
        <w:rPr>
          <w:rFonts w:ascii="Times New Roman" w:eastAsia="宋体" w:hAnsi="Times New Roman" w:cs="Times New Roman"/>
          <w:kern w:val="0"/>
          <w:sz w:val="20"/>
          <w:szCs w:val="20"/>
        </w:rPr>
        <w:t xml:space="preserve"> has much higher power consumption than reading process from </w:t>
      </w:r>
      <w:r w:rsidR="006F6310">
        <w:rPr>
          <w:rFonts w:ascii="Times New Roman" w:eastAsia="宋体" w:hAnsi="Times New Roman" w:cs="Times New Roman"/>
          <w:kern w:val="0"/>
          <w:sz w:val="20"/>
          <w:szCs w:val="20"/>
        </w:rPr>
        <w:t>NVM</w:t>
      </w:r>
      <w:r w:rsidR="00396439">
        <w:rPr>
          <w:rFonts w:ascii="Times New Roman" w:eastAsia="宋体" w:hAnsi="Times New Roman" w:cs="Times New Roman"/>
          <w:kern w:val="0"/>
          <w:sz w:val="20"/>
          <w:szCs w:val="20"/>
        </w:rPr>
        <w:t xml:space="preserve"> </w:t>
      </w:r>
      <w:r w:rsidR="00416D7C">
        <w:rPr>
          <w:rFonts w:ascii="Times New Roman" w:eastAsia="宋体" w:hAnsi="Times New Roman" w:cs="Times New Roman"/>
          <w:kern w:val="0"/>
          <w:sz w:val="20"/>
          <w:szCs w:val="20"/>
        </w:rPr>
        <w:t>for a device.</w:t>
      </w:r>
      <w:r w:rsidR="00914756">
        <w:rPr>
          <w:rFonts w:ascii="Times New Roman" w:eastAsia="宋体" w:hAnsi="Times New Roman" w:cs="Times New Roman"/>
          <w:kern w:val="0"/>
          <w:sz w:val="20"/>
          <w:szCs w:val="20"/>
        </w:rPr>
        <w:t xml:space="preserve"> Depending on different data bit sizes, the writing power consumption to </w:t>
      </w:r>
      <w:r w:rsidR="006F6310">
        <w:rPr>
          <w:rFonts w:ascii="Times New Roman" w:eastAsia="宋体" w:hAnsi="Times New Roman" w:cs="Times New Roman"/>
          <w:kern w:val="0"/>
          <w:sz w:val="20"/>
          <w:szCs w:val="20"/>
        </w:rPr>
        <w:t>NVM</w:t>
      </w:r>
      <w:r w:rsidR="00914756">
        <w:rPr>
          <w:rFonts w:ascii="Times New Roman" w:eastAsia="宋体" w:hAnsi="Times New Roman" w:cs="Times New Roman"/>
          <w:kern w:val="0"/>
          <w:sz w:val="20"/>
          <w:szCs w:val="20"/>
        </w:rPr>
        <w:t xml:space="preserve"> can be ranging from several </w:t>
      </w:r>
      <w:r w:rsidR="001656F4" w:rsidRPr="001656F4">
        <w:rPr>
          <w:rFonts w:ascii="Times New Roman" w:eastAsia="宋体" w:hAnsi="Times New Roman" w:cs="Times New Roman"/>
          <w:i/>
          <w:sz w:val="20"/>
          <w:szCs w:val="21"/>
          <w:lang w:eastAsia="ja-JP"/>
        </w:rPr>
        <w:t>µ</w:t>
      </w:r>
      <w:r w:rsidR="001656F4" w:rsidRPr="001656F4">
        <w:rPr>
          <w:rFonts w:ascii="Times New Roman" w:eastAsia="宋体" w:hAnsi="Times New Roman" w:cs="Times New Roman"/>
          <w:sz w:val="20"/>
          <w:szCs w:val="21"/>
          <w:lang w:eastAsia="ja-JP"/>
        </w:rPr>
        <w:t>W</w:t>
      </w:r>
      <w:r w:rsidR="001656F4" w:rsidRPr="00914756">
        <w:rPr>
          <w:rFonts w:ascii="Times New Roman" w:eastAsia="宋体" w:hAnsi="Times New Roman" w:cs="Times New Roman"/>
          <w:sz w:val="20"/>
          <w:szCs w:val="20"/>
        </w:rPr>
        <w:t xml:space="preserve"> </w:t>
      </w:r>
      <w:r w:rsidR="00914756" w:rsidRPr="00914756">
        <w:rPr>
          <w:rFonts w:ascii="Times New Roman" w:eastAsia="宋体" w:hAnsi="Times New Roman" w:cs="Times New Roman"/>
          <w:sz w:val="20"/>
          <w:szCs w:val="20"/>
        </w:rPr>
        <w:t>to</w:t>
      </w:r>
      <w:r w:rsidR="00914756">
        <w:rPr>
          <w:rFonts w:ascii="Times New Roman" w:eastAsia="宋体" w:hAnsi="Times New Roman" w:cs="Times New Roman"/>
          <w:sz w:val="20"/>
          <w:szCs w:val="20"/>
        </w:rPr>
        <w:t xml:space="preserve"> hundreds of</w:t>
      </w:r>
      <w:r w:rsidR="001656F4" w:rsidRPr="001656F4">
        <w:rPr>
          <w:rFonts w:ascii="Times New Roman" w:eastAsia="宋体" w:hAnsi="Times New Roman" w:cs="Times New Roman"/>
          <w:sz w:val="20"/>
          <w:szCs w:val="21"/>
          <w:lang w:eastAsia="ja-JP"/>
        </w:rPr>
        <w:t xml:space="preserve"> </w:t>
      </w:r>
      <w:r w:rsidR="001656F4" w:rsidRPr="001656F4">
        <w:rPr>
          <w:rFonts w:ascii="Times New Roman" w:eastAsia="宋体" w:hAnsi="Times New Roman" w:cs="Times New Roman"/>
          <w:i/>
          <w:sz w:val="20"/>
          <w:szCs w:val="21"/>
          <w:lang w:eastAsia="ja-JP"/>
        </w:rPr>
        <w:t>µ</w:t>
      </w:r>
      <w:r w:rsidR="001656F4" w:rsidRPr="001656F4">
        <w:rPr>
          <w:rFonts w:ascii="Times New Roman" w:eastAsia="宋体" w:hAnsi="Times New Roman" w:cs="Times New Roman"/>
          <w:sz w:val="20"/>
          <w:szCs w:val="21"/>
          <w:lang w:eastAsia="ja-JP"/>
        </w:rPr>
        <w:t>W</w:t>
      </w:r>
      <w:r w:rsidR="00914756">
        <w:rPr>
          <w:rFonts w:ascii="Times New Roman" w:eastAsia="宋体" w:hAnsi="Times New Roman" w:cs="Times New Roman"/>
          <w:sz w:val="20"/>
          <w:szCs w:val="20"/>
        </w:rPr>
        <w:t xml:space="preserve">. </w:t>
      </w:r>
      <w:r w:rsidR="001656F4">
        <w:rPr>
          <w:rFonts w:ascii="Times New Roman" w:eastAsia="宋体" w:hAnsi="Times New Roman" w:cs="Times New Roman"/>
          <w:sz w:val="20"/>
          <w:szCs w:val="20"/>
        </w:rPr>
        <w:t xml:space="preserve">However, based on the device type definition in the SID, the peak power consumption for device type 1 is </w:t>
      </w:r>
      <w:r w:rsidR="001656F4" w:rsidRPr="001656F4">
        <w:rPr>
          <w:rFonts w:ascii="Times New Roman" w:eastAsia="宋体" w:hAnsi="Times New Roman" w:cs="Times New Roman"/>
          <w:sz w:val="20"/>
          <w:szCs w:val="21"/>
          <w:lang w:eastAsia="ja-JP"/>
        </w:rPr>
        <w:t xml:space="preserve">~1 </w:t>
      </w:r>
      <w:r w:rsidR="001656F4" w:rsidRPr="001656F4">
        <w:rPr>
          <w:rFonts w:ascii="Times New Roman" w:eastAsia="宋体" w:hAnsi="Times New Roman" w:cs="Times New Roman"/>
          <w:i/>
          <w:sz w:val="20"/>
          <w:szCs w:val="21"/>
          <w:lang w:eastAsia="ja-JP"/>
        </w:rPr>
        <w:t>µ</w:t>
      </w:r>
      <w:r w:rsidR="001656F4" w:rsidRPr="001656F4">
        <w:rPr>
          <w:rFonts w:ascii="Times New Roman" w:eastAsia="宋体" w:hAnsi="Times New Roman" w:cs="Times New Roman"/>
          <w:sz w:val="20"/>
          <w:szCs w:val="21"/>
          <w:lang w:eastAsia="ja-JP"/>
        </w:rPr>
        <w:t>W</w:t>
      </w:r>
      <w:r w:rsidR="001656F4" w:rsidRPr="001656F4">
        <w:rPr>
          <w:rFonts w:ascii="Times New Roman" w:eastAsia="宋体" w:hAnsi="Times New Roman" w:cs="Times New Roman"/>
          <w:sz w:val="18"/>
          <w:szCs w:val="18"/>
        </w:rPr>
        <w:t xml:space="preserve"> </w:t>
      </w:r>
      <w:r w:rsidR="001656F4">
        <w:rPr>
          <w:rFonts w:ascii="Times New Roman" w:eastAsia="宋体" w:hAnsi="Times New Roman" w:cs="Times New Roman"/>
          <w:sz w:val="20"/>
          <w:szCs w:val="20"/>
        </w:rPr>
        <w:t>and</w:t>
      </w:r>
      <w:r w:rsidR="00E60A5A">
        <w:rPr>
          <w:rFonts w:ascii="Times New Roman" w:eastAsia="宋体" w:hAnsi="Times New Roman" w:cs="Times New Roman"/>
          <w:sz w:val="20"/>
          <w:szCs w:val="20"/>
        </w:rPr>
        <w:t xml:space="preserve"> </w:t>
      </w:r>
      <w:r w:rsidR="00E60A5A" w:rsidRPr="00E60A5A">
        <w:rPr>
          <w:rFonts w:ascii="Times New Roman" w:eastAsia="宋体" w:hAnsi="Times New Roman" w:cs="Times New Roman"/>
          <w:sz w:val="20"/>
          <w:szCs w:val="20"/>
        </w:rPr>
        <w:t>≤ a few hundred</w:t>
      </w:r>
      <w:r w:rsidR="008F1555">
        <w:rPr>
          <w:rFonts w:ascii="Times New Roman" w:eastAsia="宋体" w:hAnsi="Times New Roman" w:cs="Times New Roman"/>
          <w:sz w:val="20"/>
          <w:szCs w:val="20"/>
        </w:rPr>
        <w:t xml:space="preserve"> </w:t>
      </w:r>
      <w:r w:rsidR="008F1555" w:rsidRPr="001656F4">
        <w:rPr>
          <w:rFonts w:ascii="Times New Roman" w:eastAsia="宋体" w:hAnsi="Times New Roman" w:cs="Times New Roman"/>
          <w:i/>
          <w:sz w:val="20"/>
          <w:szCs w:val="21"/>
          <w:lang w:eastAsia="ja-JP"/>
        </w:rPr>
        <w:t>µ</w:t>
      </w:r>
      <w:r w:rsidR="008F1555" w:rsidRPr="001656F4">
        <w:rPr>
          <w:rFonts w:ascii="Times New Roman" w:eastAsia="宋体" w:hAnsi="Times New Roman" w:cs="Times New Roman"/>
          <w:sz w:val="20"/>
          <w:szCs w:val="21"/>
          <w:lang w:eastAsia="ja-JP"/>
        </w:rPr>
        <w:t>W</w:t>
      </w:r>
      <w:r w:rsidR="001656F4">
        <w:rPr>
          <w:rFonts w:ascii="Times New Roman" w:eastAsia="宋体" w:hAnsi="Times New Roman" w:cs="Times New Roman"/>
          <w:sz w:val="20"/>
          <w:szCs w:val="20"/>
        </w:rPr>
        <w:t xml:space="preserve"> for device type 2.</w:t>
      </w:r>
      <w:r w:rsidR="006F6310">
        <w:rPr>
          <w:rFonts w:ascii="Times New Roman" w:eastAsia="宋体" w:hAnsi="Times New Roman" w:cs="Times New Roman"/>
          <w:sz w:val="20"/>
          <w:szCs w:val="20"/>
        </w:rPr>
        <w:t xml:space="preserve"> Considering the main scenario for Ambient IoT is inventory and command, reading process from NVM</w:t>
      </w:r>
      <w:r w:rsidR="003B56EC">
        <w:rPr>
          <w:rFonts w:ascii="Times New Roman" w:eastAsia="宋体" w:hAnsi="Times New Roman" w:cs="Times New Roman"/>
          <w:sz w:val="20"/>
          <w:szCs w:val="20"/>
        </w:rPr>
        <w:t xml:space="preserve"> should be supported by all types of devices.</w:t>
      </w:r>
      <w:r w:rsidR="001F2ED2">
        <w:rPr>
          <w:rFonts w:ascii="Times New Roman" w:eastAsia="宋体" w:hAnsi="Times New Roman" w:cs="Times New Roman"/>
          <w:sz w:val="20"/>
          <w:szCs w:val="20"/>
        </w:rPr>
        <w:t xml:space="preserve"> For writing process, the required power consumption is much higher than the peak power consumption for device 1 which may not capable to support writing to its </w:t>
      </w:r>
      <w:r w:rsidR="00C33921">
        <w:rPr>
          <w:rFonts w:ascii="Times New Roman" w:eastAsia="宋体" w:hAnsi="Times New Roman" w:cs="Times New Roman"/>
          <w:sz w:val="20"/>
          <w:szCs w:val="20"/>
        </w:rPr>
        <w:t>NVM</w:t>
      </w:r>
      <w:r w:rsidR="001F2ED2">
        <w:rPr>
          <w:rFonts w:ascii="Times New Roman" w:eastAsia="宋体" w:hAnsi="Times New Roman" w:cs="Times New Roman"/>
          <w:sz w:val="20"/>
          <w:szCs w:val="20"/>
        </w:rPr>
        <w:t>.</w:t>
      </w:r>
      <w:r w:rsidR="00C33921">
        <w:rPr>
          <w:rFonts w:ascii="Times New Roman" w:eastAsia="宋体" w:hAnsi="Times New Roman" w:cs="Times New Roman"/>
          <w:sz w:val="20"/>
          <w:szCs w:val="20"/>
        </w:rPr>
        <w:t xml:space="preserve"> Device 2 is capable to support writing to NVM</w:t>
      </w:r>
      <w:r w:rsidR="00581640">
        <w:rPr>
          <w:rFonts w:ascii="Times New Roman" w:eastAsia="宋体" w:hAnsi="Times New Roman" w:cs="Times New Roman"/>
          <w:sz w:val="20"/>
          <w:szCs w:val="20"/>
        </w:rPr>
        <w:t>, but the data size should be carefully designed to ensure the writing power consumption to NVM is less than the power consumption limitation of device 2.</w:t>
      </w:r>
    </w:p>
    <w:p w14:paraId="44D7564E" w14:textId="657F7EB0" w:rsidR="000A1303" w:rsidRDefault="00DF0D13" w:rsidP="00DC3ED5">
      <w:pPr>
        <w:widowControl/>
        <w:snapToGrid w:val="0"/>
        <w:spacing w:beforeLines="50" w:before="156" w:afterLines="50" w:after="156"/>
        <w:rPr>
          <w:rFonts w:ascii="Times New Roman" w:eastAsia="宋体" w:hAnsi="Times New Roman" w:cs="Times New Roman"/>
          <w:kern w:val="0"/>
          <w:sz w:val="20"/>
          <w:szCs w:val="20"/>
        </w:rPr>
      </w:pPr>
      <w:r>
        <w:rPr>
          <w:rFonts w:ascii="Times New Roman" w:eastAsia="宋体" w:hAnsi="Times New Roman" w:cs="Times New Roman"/>
          <w:sz w:val="20"/>
          <w:szCs w:val="20"/>
        </w:rPr>
        <w:t>Furthermore, energy storage capability and energy storage status should also be considered when the reader decide to write to the device’s NVM.</w:t>
      </w:r>
      <w:r w:rsidR="001B2767">
        <w:rPr>
          <w:rFonts w:ascii="Times New Roman" w:eastAsia="宋体" w:hAnsi="Times New Roman" w:cs="Times New Roman"/>
          <w:sz w:val="20"/>
          <w:szCs w:val="20"/>
        </w:rPr>
        <w:t xml:space="preserve"> For device 2, the energy storage should be large enough to supply power for writing process to NVM</w:t>
      </w:r>
      <w:r w:rsidR="006D6C09">
        <w:rPr>
          <w:rFonts w:ascii="Times New Roman" w:eastAsia="宋体" w:hAnsi="Times New Roman" w:cs="Times New Roman"/>
          <w:sz w:val="20"/>
          <w:szCs w:val="20"/>
        </w:rPr>
        <w:t xml:space="preserve">. Even the energy storage is capable for writing process, the reader should also check device’s energy status, </w:t>
      </w:r>
      <w:proofErr w:type="gramStart"/>
      <w:r w:rsidR="006D6C09">
        <w:rPr>
          <w:rFonts w:ascii="Times New Roman" w:eastAsia="宋体" w:hAnsi="Times New Roman" w:cs="Times New Roman"/>
          <w:sz w:val="20"/>
          <w:szCs w:val="20"/>
        </w:rPr>
        <w:t>e.g.</w:t>
      </w:r>
      <w:proofErr w:type="gramEnd"/>
      <w:r w:rsidR="006D6C09">
        <w:rPr>
          <w:rFonts w:ascii="Times New Roman" w:eastAsia="宋体" w:hAnsi="Times New Roman" w:cs="Times New Roman"/>
          <w:sz w:val="20"/>
          <w:szCs w:val="20"/>
        </w:rPr>
        <w:t xml:space="preserve"> whether the remaining energy is enough to </w:t>
      </w:r>
      <w:r w:rsidR="00B404DA">
        <w:rPr>
          <w:rFonts w:ascii="Times New Roman" w:eastAsia="宋体" w:hAnsi="Times New Roman" w:cs="Times New Roman"/>
          <w:sz w:val="20"/>
          <w:szCs w:val="20"/>
        </w:rPr>
        <w:t>support the current round of writing process to NVM.</w:t>
      </w:r>
      <w:r w:rsidR="005738FD">
        <w:rPr>
          <w:rFonts w:ascii="Times New Roman" w:eastAsia="宋体" w:hAnsi="Times New Roman" w:cs="Times New Roman"/>
          <w:sz w:val="20"/>
          <w:szCs w:val="20"/>
        </w:rPr>
        <w:t xml:space="preserve"> If the remaining energy is not enough, </w:t>
      </w:r>
      <w:r w:rsidR="00013ABB">
        <w:rPr>
          <w:rFonts w:ascii="Times New Roman" w:eastAsia="宋体" w:hAnsi="Times New Roman" w:cs="Times New Roman"/>
          <w:sz w:val="20"/>
          <w:szCs w:val="20"/>
        </w:rPr>
        <w:t>charging/energy harvesting</w:t>
      </w:r>
      <w:r w:rsidR="005738FD">
        <w:rPr>
          <w:rFonts w:ascii="Times New Roman" w:eastAsia="宋体" w:hAnsi="Times New Roman" w:cs="Times New Roman"/>
          <w:sz w:val="20"/>
          <w:szCs w:val="20"/>
        </w:rPr>
        <w:t xml:space="preserve"> should be firstly performed.</w:t>
      </w:r>
    </w:p>
    <w:p w14:paraId="6724BA57" w14:textId="59B3C2DA" w:rsidR="00437055" w:rsidRDefault="00437055" w:rsidP="00DC3ED5">
      <w:pPr>
        <w:widowControl/>
        <w:snapToGrid w:val="0"/>
        <w:spacing w:beforeLines="50" w:before="156" w:afterLines="50" w:after="156"/>
        <w:rPr>
          <w:rFonts w:ascii="Times New Roman" w:eastAsia="宋体" w:hAnsi="Times New Roman" w:cs="Times New Roman"/>
          <w:b/>
          <w:bCs/>
          <w:kern w:val="0"/>
          <w:sz w:val="20"/>
          <w:szCs w:val="24"/>
        </w:rPr>
      </w:pPr>
      <w:r w:rsidRPr="002A00E4">
        <w:rPr>
          <w:rFonts w:ascii="Times New Roman" w:eastAsia="宋体" w:hAnsi="Times New Roman" w:cs="Times New Roman" w:hint="eastAsia"/>
          <w:b/>
          <w:bCs/>
          <w:kern w:val="0"/>
          <w:sz w:val="20"/>
          <w:szCs w:val="24"/>
        </w:rPr>
        <w:t>O</w:t>
      </w:r>
      <w:r w:rsidRPr="002A00E4">
        <w:rPr>
          <w:rFonts w:ascii="Times New Roman" w:eastAsia="宋体" w:hAnsi="Times New Roman" w:cs="Times New Roman"/>
          <w:b/>
          <w:bCs/>
          <w:kern w:val="0"/>
          <w:sz w:val="20"/>
          <w:szCs w:val="24"/>
        </w:rPr>
        <w:t>bservation 2:</w:t>
      </w:r>
      <w:r w:rsidR="0023626F">
        <w:rPr>
          <w:rFonts w:ascii="Times New Roman" w:eastAsia="宋体" w:hAnsi="Times New Roman" w:cs="Times New Roman"/>
          <w:b/>
          <w:bCs/>
          <w:kern w:val="0"/>
          <w:sz w:val="20"/>
          <w:szCs w:val="24"/>
        </w:rPr>
        <w:t xml:space="preserve"> Ambient IoT device 1 is not capable to support writing to its NVM.</w:t>
      </w:r>
    </w:p>
    <w:p w14:paraId="6046FAD6" w14:textId="2DC6F77E" w:rsidR="0023626F" w:rsidRPr="002A00E4" w:rsidRDefault="0023626F" w:rsidP="00DC3ED5">
      <w:pPr>
        <w:widowControl/>
        <w:snapToGrid w:val="0"/>
        <w:spacing w:beforeLines="50" w:before="156" w:afterLines="50" w:after="156"/>
        <w:rPr>
          <w:rFonts w:ascii="Times New Roman" w:eastAsia="宋体" w:hAnsi="Times New Roman" w:cs="Times New Roman"/>
          <w:b/>
          <w:bCs/>
          <w:kern w:val="0"/>
          <w:sz w:val="20"/>
          <w:szCs w:val="24"/>
        </w:rPr>
      </w:pPr>
      <w:r>
        <w:rPr>
          <w:rFonts w:ascii="Times New Roman" w:eastAsia="宋体" w:hAnsi="Times New Roman" w:cs="Times New Roman" w:hint="eastAsia"/>
          <w:b/>
          <w:bCs/>
          <w:kern w:val="0"/>
          <w:sz w:val="20"/>
          <w:szCs w:val="24"/>
        </w:rPr>
        <w:t>O</w:t>
      </w:r>
      <w:r>
        <w:rPr>
          <w:rFonts w:ascii="Times New Roman" w:eastAsia="宋体" w:hAnsi="Times New Roman" w:cs="Times New Roman"/>
          <w:b/>
          <w:bCs/>
          <w:kern w:val="0"/>
          <w:sz w:val="20"/>
          <w:szCs w:val="24"/>
        </w:rPr>
        <w:t>bservation 3: Ambient IoT device 2 can support writing to its NVM based on its energy storage capability and energy status.</w:t>
      </w:r>
    </w:p>
    <w:p w14:paraId="53975784" w14:textId="77777777" w:rsidR="003B48A8" w:rsidRPr="003B48A8" w:rsidRDefault="003B48A8" w:rsidP="00DC3ED5">
      <w:pPr>
        <w:widowControl/>
        <w:snapToGrid w:val="0"/>
        <w:spacing w:beforeLines="50" w:before="156" w:afterLines="50" w:after="156"/>
        <w:rPr>
          <w:rFonts w:ascii="Times New Roman" w:eastAsia="宋体" w:hAnsi="Times New Roman" w:cs="Times New Roman"/>
          <w:kern w:val="0"/>
          <w:sz w:val="20"/>
          <w:szCs w:val="24"/>
        </w:rPr>
      </w:pPr>
    </w:p>
    <w:p w14:paraId="70054BA0" w14:textId="77777777" w:rsidR="003B48A8" w:rsidRPr="003B48A8" w:rsidRDefault="003B48A8" w:rsidP="00DC3ED5">
      <w:pPr>
        <w:keepNext/>
        <w:widowControl/>
        <w:numPr>
          <w:ilvl w:val="0"/>
          <w:numId w:val="20"/>
        </w:numPr>
        <w:tabs>
          <w:tab w:val="num" w:pos="567"/>
        </w:tabs>
        <w:snapToGrid w:val="0"/>
        <w:spacing w:before="240" w:after="120"/>
        <w:ind w:left="567" w:hanging="567"/>
        <w:jc w:val="left"/>
        <w:outlineLvl w:val="0"/>
        <w:rPr>
          <w:rFonts w:ascii="Arial" w:eastAsia="MS Mincho" w:hAnsi="Arial" w:cs="Arial"/>
          <w:b/>
          <w:bCs/>
          <w:kern w:val="0"/>
          <w:sz w:val="28"/>
          <w:szCs w:val="32"/>
          <w:lang w:eastAsia="en-US"/>
        </w:rPr>
      </w:pPr>
      <w:r w:rsidRPr="003B48A8">
        <w:rPr>
          <w:rFonts w:ascii="Arial" w:eastAsia="MS Mincho" w:hAnsi="Arial" w:cs="Arial"/>
          <w:b/>
          <w:bCs/>
          <w:kern w:val="0"/>
          <w:sz w:val="28"/>
          <w:szCs w:val="32"/>
          <w:lang w:eastAsia="en-US"/>
        </w:rPr>
        <w:t>Conclusion</w:t>
      </w:r>
    </w:p>
    <w:p w14:paraId="16332FD0" w14:textId="25D9D3CB" w:rsidR="003B48A8" w:rsidRDefault="0054219D" w:rsidP="00DC3ED5">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hint="eastAsia"/>
          <w:kern w:val="0"/>
          <w:sz w:val="20"/>
        </w:rPr>
        <w:t>T</w:t>
      </w:r>
      <w:r>
        <w:rPr>
          <w:rFonts w:ascii="Times New Roman" w:eastAsia="宋体" w:hAnsi="Times New Roman" w:cs="Times New Roman"/>
          <w:kern w:val="0"/>
          <w:sz w:val="20"/>
        </w:rPr>
        <w:t>his contribution discusses and analyze whether an Ambient IoT device</w:t>
      </w:r>
      <w:r w:rsidR="00EB1F4E">
        <w:rPr>
          <w:rFonts w:ascii="Times New Roman" w:eastAsia="宋体" w:hAnsi="Times New Roman" w:cs="Times New Roman"/>
          <w:kern w:val="0"/>
          <w:sz w:val="20"/>
        </w:rPr>
        <w:t xml:space="preserve"> can include NVM and</w:t>
      </w:r>
      <w:r>
        <w:rPr>
          <w:rFonts w:ascii="Times New Roman" w:eastAsia="宋体" w:hAnsi="Times New Roman" w:cs="Times New Roman"/>
          <w:kern w:val="0"/>
          <w:sz w:val="20"/>
        </w:rPr>
        <w:t xml:space="preserve"> can be able to </w:t>
      </w:r>
      <w:r w:rsidR="00EB1F4E">
        <w:rPr>
          <w:rFonts w:ascii="Times New Roman" w:eastAsia="宋体" w:hAnsi="Times New Roman" w:cs="Times New Roman"/>
          <w:kern w:val="0"/>
          <w:sz w:val="20"/>
        </w:rPr>
        <w:t>update its NVM</w:t>
      </w:r>
      <w:r>
        <w:rPr>
          <w:rFonts w:ascii="Times New Roman" w:eastAsia="宋体" w:hAnsi="Times New Roman" w:cs="Times New Roman"/>
          <w:kern w:val="0"/>
          <w:sz w:val="20"/>
        </w:rPr>
        <w:t xml:space="preserve"> </w:t>
      </w:r>
      <w:r w:rsidR="00F07220">
        <w:rPr>
          <w:rFonts w:ascii="Times New Roman" w:eastAsia="宋体" w:hAnsi="Times New Roman" w:cs="Times New Roman"/>
          <w:kern w:val="0"/>
          <w:sz w:val="20"/>
        </w:rPr>
        <w:t>after receiving reader’s triggering</w:t>
      </w:r>
      <w:r w:rsidR="00E979B3">
        <w:rPr>
          <w:rFonts w:ascii="Times New Roman" w:eastAsia="宋体" w:hAnsi="Times New Roman" w:cs="Times New Roman"/>
          <w:kern w:val="0"/>
          <w:sz w:val="20"/>
        </w:rPr>
        <w:t>, and the following observations are provided</w:t>
      </w:r>
      <w:r w:rsidR="00973259">
        <w:rPr>
          <w:rFonts w:ascii="Times New Roman" w:eastAsia="宋体" w:hAnsi="Times New Roman" w:cs="Times New Roman"/>
          <w:kern w:val="0"/>
          <w:sz w:val="20"/>
        </w:rPr>
        <w:t xml:space="preserve"> to answer the question 5 in the incoming LS</w:t>
      </w:r>
      <w:r w:rsidR="00E979B3">
        <w:rPr>
          <w:rFonts w:ascii="Times New Roman" w:eastAsia="宋体" w:hAnsi="Times New Roman" w:cs="Times New Roman"/>
          <w:kern w:val="0"/>
          <w:sz w:val="20"/>
        </w:rPr>
        <w:t>:</w:t>
      </w:r>
    </w:p>
    <w:p w14:paraId="072F498C" w14:textId="77777777" w:rsidR="00154C24" w:rsidRPr="0045752F" w:rsidRDefault="00154C24" w:rsidP="00154C24">
      <w:pPr>
        <w:autoSpaceDE w:val="0"/>
        <w:autoSpaceDN w:val="0"/>
        <w:adjustRightInd w:val="0"/>
        <w:snapToGrid w:val="0"/>
        <w:spacing w:beforeLines="50" w:before="156" w:afterLines="50" w:after="156"/>
        <w:rPr>
          <w:rFonts w:ascii="Times New Roman" w:hAnsi="Times New Roman" w:cs="Times New Roman"/>
          <w:sz w:val="20"/>
          <w:szCs w:val="21"/>
        </w:rPr>
      </w:pPr>
      <w:r w:rsidRPr="002A00E4">
        <w:rPr>
          <w:rFonts w:ascii="Times New Roman" w:eastAsia="宋体" w:hAnsi="Times New Roman" w:cs="Times New Roman"/>
          <w:b/>
          <w:bCs/>
          <w:kern w:val="0"/>
          <w:sz w:val="20"/>
          <w:szCs w:val="24"/>
        </w:rPr>
        <w:t>Observation 1:</w:t>
      </w:r>
      <w:r>
        <w:rPr>
          <w:rFonts w:ascii="Times New Roman" w:eastAsia="宋体" w:hAnsi="Times New Roman" w:cs="Times New Roman"/>
          <w:b/>
          <w:bCs/>
          <w:kern w:val="0"/>
          <w:sz w:val="20"/>
          <w:szCs w:val="24"/>
        </w:rPr>
        <w:t xml:space="preserve"> According to RAN1’s agreement, an Ambient IoT device, including device 1 and 2</w:t>
      </w:r>
      <w:r>
        <w:rPr>
          <w:rFonts w:ascii="Times New Roman" w:eastAsia="宋体" w:hAnsi="Times New Roman" w:cs="Times New Roman" w:hint="eastAsia"/>
          <w:b/>
          <w:bCs/>
          <w:kern w:val="0"/>
          <w:sz w:val="20"/>
          <w:szCs w:val="24"/>
        </w:rPr>
        <w:t>,</w:t>
      </w:r>
      <w:r>
        <w:rPr>
          <w:rFonts w:ascii="Times New Roman" w:eastAsia="宋体" w:hAnsi="Times New Roman" w:cs="Times New Roman"/>
          <w:b/>
          <w:bCs/>
          <w:kern w:val="0"/>
          <w:sz w:val="20"/>
          <w:szCs w:val="24"/>
        </w:rPr>
        <w:t xml:space="preserve"> can include two types of memory, i.e., NVM such as EEPROM for permanently storing device ID, etc., and registers for temporarily keeping any information required for its operation only while energy is available in energy storage.</w:t>
      </w:r>
    </w:p>
    <w:p w14:paraId="6136BB17" w14:textId="77777777" w:rsidR="00154C24" w:rsidRDefault="00154C24" w:rsidP="00154C24">
      <w:pPr>
        <w:widowControl/>
        <w:snapToGrid w:val="0"/>
        <w:spacing w:beforeLines="50" w:before="156" w:afterLines="50" w:after="156"/>
        <w:rPr>
          <w:rFonts w:ascii="Times New Roman" w:eastAsia="宋体" w:hAnsi="Times New Roman" w:cs="Times New Roman"/>
          <w:b/>
          <w:bCs/>
          <w:kern w:val="0"/>
          <w:sz w:val="20"/>
          <w:szCs w:val="24"/>
        </w:rPr>
      </w:pPr>
      <w:r w:rsidRPr="002A00E4">
        <w:rPr>
          <w:rFonts w:ascii="Times New Roman" w:eastAsia="宋体" w:hAnsi="Times New Roman" w:cs="Times New Roman" w:hint="eastAsia"/>
          <w:b/>
          <w:bCs/>
          <w:kern w:val="0"/>
          <w:sz w:val="20"/>
          <w:szCs w:val="24"/>
        </w:rPr>
        <w:t>O</w:t>
      </w:r>
      <w:r w:rsidRPr="002A00E4">
        <w:rPr>
          <w:rFonts w:ascii="Times New Roman" w:eastAsia="宋体" w:hAnsi="Times New Roman" w:cs="Times New Roman"/>
          <w:b/>
          <w:bCs/>
          <w:kern w:val="0"/>
          <w:sz w:val="20"/>
          <w:szCs w:val="24"/>
        </w:rPr>
        <w:t>bservation 2:</w:t>
      </w:r>
      <w:r>
        <w:rPr>
          <w:rFonts w:ascii="Times New Roman" w:eastAsia="宋体" w:hAnsi="Times New Roman" w:cs="Times New Roman"/>
          <w:b/>
          <w:bCs/>
          <w:kern w:val="0"/>
          <w:sz w:val="20"/>
          <w:szCs w:val="24"/>
        </w:rPr>
        <w:t xml:space="preserve"> Ambient IoT device 1 is not capable to support writing to its NVM.</w:t>
      </w:r>
    </w:p>
    <w:p w14:paraId="0BB455B9" w14:textId="77777777" w:rsidR="00154C24" w:rsidRPr="002A00E4" w:rsidRDefault="00154C24" w:rsidP="00154C24">
      <w:pPr>
        <w:widowControl/>
        <w:snapToGrid w:val="0"/>
        <w:spacing w:beforeLines="50" w:before="156" w:afterLines="50" w:after="156"/>
        <w:rPr>
          <w:rFonts w:ascii="Times New Roman" w:eastAsia="宋体" w:hAnsi="Times New Roman" w:cs="Times New Roman"/>
          <w:b/>
          <w:bCs/>
          <w:kern w:val="0"/>
          <w:sz w:val="20"/>
          <w:szCs w:val="24"/>
        </w:rPr>
      </w:pPr>
      <w:r>
        <w:rPr>
          <w:rFonts w:ascii="Times New Roman" w:eastAsia="宋体" w:hAnsi="Times New Roman" w:cs="Times New Roman" w:hint="eastAsia"/>
          <w:b/>
          <w:bCs/>
          <w:kern w:val="0"/>
          <w:sz w:val="20"/>
          <w:szCs w:val="24"/>
        </w:rPr>
        <w:t>O</w:t>
      </w:r>
      <w:r>
        <w:rPr>
          <w:rFonts w:ascii="Times New Roman" w:eastAsia="宋体" w:hAnsi="Times New Roman" w:cs="Times New Roman"/>
          <w:b/>
          <w:bCs/>
          <w:kern w:val="0"/>
          <w:sz w:val="20"/>
          <w:szCs w:val="24"/>
        </w:rPr>
        <w:t>bservation 3: Ambient IoT device 2 can support writing to its NVM based on its energy storage capability and energy status.</w:t>
      </w:r>
    </w:p>
    <w:p w14:paraId="34E96A4F" w14:textId="77777777" w:rsidR="003B48A8" w:rsidRPr="00154C24" w:rsidRDefault="003B48A8" w:rsidP="00DC3ED5">
      <w:pPr>
        <w:widowControl/>
        <w:snapToGrid w:val="0"/>
        <w:spacing w:beforeLines="50" w:before="156" w:after="120"/>
        <w:rPr>
          <w:rFonts w:ascii="Times New Roman" w:eastAsia="宋体" w:hAnsi="Times New Roman" w:cs="Times New Roman"/>
          <w:kern w:val="0"/>
          <w:sz w:val="20"/>
        </w:rPr>
      </w:pPr>
    </w:p>
    <w:p w14:paraId="79A038FB" w14:textId="77777777" w:rsidR="003B48A8" w:rsidRPr="003B48A8" w:rsidRDefault="003B48A8" w:rsidP="00DC3ED5">
      <w:pPr>
        <w:keepNext/>
        <w:widowControl/>
        <w:numPr>
          <w:ilvl w:val="0"/>
          <w:numId w:val="20"/>
        </w:numPr>
        <w:tabs>
          <w:tab w:val="num" w:pos="567"/>
        </w:tabs>
        <w:snapToGrid w:val="0"/>
        <w:spacing w:before="240" w:after="120"/>
        <w:ind w:left="567" w:hanging="567"/>
        <w:jc w:val="left"/>
        <w:outlineLvl w:val="0"/>
        <w:rPr>
          <w:rFonts w:ascii="Arial" w:eastAsia="MS Mincho" w:hAnsi="Arial" w:cs="Arial"/>
          <w:b/>
          <w:bCs/>
          <w:kern w:val="0"/>
          <w:sz w:val="28"/>
          <w:szCs w:val="32"/>
          <w:lang w:eastAsia="en-US"/>
        </w:rPr>
      </w:pPr>
      <w:bookmarkStart w:id="3" w:name="OLE_LINK1"/>
      <w:bookmarkStart w:id="4" w:name="OLE_LINK2"/>
      <w:r w:rsidRPr="003B48A8">
        <w:rPr>
          <w:rFonts w:ascii="Arial" w:eastAsia="MS Mincho" w:hAnsi="Arial" w:cs="Arial" w:hint="eastAsia"/>
          <w:b/>
          <w:bCs/>
          <w:kern w:val="0"/>
          <w:sz w:val="28"/>
          <w:szCs w:val="32"/>
          <w:lang w:eastAsia="en-US"/>
        </w:rPr>
        <w:t>R</w:t>
      </w:r>
      <w:r w:rsidRPr="003B48A8">
        <w:rPr>
          <w:rFonts w:ascii="Arial" w:eastAsia="MS Mincho" w:hAnsi="Arial" w:cs="Arial"/>
          <w:b/>
          <w:bCs/>
          <w:kern w:val="0"/>
          <w:sz w:val="28"/>
          <w:szCs w:val="32"/>
          <w:lang w:eastAsia="en-US"/>
        </w:rPr>
        <w:t>eference</w:t>
      </w:r>
    </w:p>
    <w:p w14:paraId="725D4C0D" w14:textId="7E5DAE16" w:rsidR="0031692E" w:rsidRPr="0031692E" w:rsidRDefault="0031692E" w:rsidP="00DC3ED5">
      <w:pPr>
        <w:widowControl/>
        <w:numPr>
          <w:ilvl w:val="0"/>
          <w:numId w:val="1"/>
        </w:numPr>
        <w:snapToGrid w:val="0"/>
        <w:spacing w:beforeLines="50" w:before="156" w:afterLines="50" w:after="156"/>
        <w:jc w:val="left"/>
        <w:rPr>
          <w:rFonts w:ascii="Times New Roman" w:eastAsia="Batang" w:hAnsi="Times New Roman" w:cs="Times New Roman"/>
          <w:kern w:val="0"/>
          <w:sz w:val="20"/>
        </w:rPr>
      </w:pPr>
      <w:bookmarkStart w:id="5" w:name="_Ref102030294"/>
      <w:r w:rsidRPr="003B48A8">
        <w:rPr>
          <w:rFonts w:ascii="Times New Roman" w:eastAsia="宋体" w:hAnsi="Times New Roman" w:cs="Times New Roman" w:hint="eastAsia"/>
          <w:kern w:val="0"/>
          <w:sz w:val="20"/>
        </w:rPr>
        <w:t>R</w:t>
      </w:r>
      <w:r>
        <w:rPr>
          <w:rFonts w:ascii="Times New Roman" w:eastAsia="宋体" w:hAnsi="Times New Roman" w:cs="Times New Roman"/>
          <w:kern w:val="0"/>
          <w:sz w:val="20"/>
        </w:rPr>
        <w:t>1</w:t>
      </w:r>
      <w:r w:rsidRPr="003B48A8">
        <w:rPr>
          <w:rFonts w:ascii="Times New Roman" w:eastAsia="宋体" w:hAnsi="Times New Roman" w:cs="Times New Roman"/>
          <w:kern w:val="0"/>
          <w:sz w:val="20"/>
        </w:rPr>
        <w:t>-</w:t>
      </w:r>
      <w:r>
        <w:rPr>
          <w:rFonts w:ascii="Times New Roman" w:eastAsia="宋体" w:hAnsi="Times New Roman" w:cs="Times New Roman"/>
          <w:kern w:val="0"/>
          <w:sz w:val="20"/>
        </w:rPr>
        <w:t>240</w:t>
      </w:r>
      <w:r w:rsidR="00206672">
        <w:rPr>
          <w:rFonts w:ascii="Times New Roman" w:eastAsia="宋体" w:hAnsi="Times New Roman" w:cs="Times New Roman"/>
          <w:kern w:val="0"/>
          <w:sz w:val="20"/>
        </w:rPr>
        <w:t>5796</w:t>
      </w:r>
      <w:r w:rsidR="00EB7BCC">
        <w:rPr>
          <w:rFonts w:ascii="Times New Roman" w:eastAsia="宋体" w:hAnsi="Times New Roman" w:cs="Times New Roman"/>
          <w:kern w:val="0"/>
          <w:sz w:val="20"/>
        </w:rPr>
        <w:t xml:space="preserve"> (S2-</w:t>
      </w:r>
      <w:r w:rsidR="00121BBF">
        <w:rPr>
          <w:rFonts w:ascii="Times New Roman" w:eastAsia="宋体" w:hAnsi="Times New Roman" w:cs="Times New Roman"/>
          <w:kern w:val="0"/>
          <w:sz w:val="20"/>
        </w:rPr>
        <w:t>2407231</w:t>
      </w:r>
      <w:r w:rsidR="00EB7BCC">
        <w:rPr>
          <w:rFonts w:ascii="Times New Roman" w:eastAsia="宋体" w:hAnsi="Times New Roman" w:cs="Times New Roman"/>
          <w:kern w:val="0"/>
          <w:sz w:val="20"/>
        </w:rPr>
        <w:t>)</w:t>
      </w:r>
      <w:r w:rsidRPr="003B48A8">
        <w:rPr>
          <w:rFonts w:ascii="Times New Roman" w:eastAsia="宋体" w:hAnsi="Times New Roman" w:cs="Times New Roman"/>
          <w:kern w:val="0"/>
          <w:sz w:val="20"/>
        </w:rPr>
        <w:t xml:space="preserve">, </w:t>
      </w:r>
      <w:r>
        <w:rPr>
          <w:rFonts w:ascii="Times New Roman" w:eastAsia="宋体" w:hAnsi="Times New Roman" w:cs="Times New Roman"/>
          <w:kern w:val="0"/>
          <w:sz w:val="20"/>
        </w:rPr>
        <w:t>LS on Clarification of requirements for Ambient IoT</w:t>
      </w:r>
      <w:r w:rsidRPr="003B48A8">
        <w:rPr>
          <w:rFonts w:ascii="Times New Roman" w:eastAsia="宋体" w:hAnsi="Times New Roman" w:cs="Times New Roman"/>
          <w:kern w:val="0"/>
          <w:sz w:val="20"/>
        </w:rPr>
        <w:t>, 3GPP RAN</w:t>
      </w:r>
      <w:r>
        <w:rPr>
          <w:rFonts w:ascii="Times New Roman" w:eastAsia="宋体" w:hAnsi="Times New Roman" w:cs="Times New Roman"/>
          <w:kern w:val="0"/>
          <w:sz w:val="20"/>
        </w:rPr>
        <w:t>1</w:t>
      </w:r>
      <w:r w:rsidRPr="003B48A8">
        <w:rPr>
          <w:rFonts w:ascii="Times New Roman" w:eastAsia="宋体" w:hAnsi="Times New Roman" w:cs="Times New Roman"/>
          <w:kern w:val="0"/>
          <w:sz w:val="20"/>
        </w:rPr>
        <w:t xml:space="preserve"> meeting #1</w:t>
      </w:r>
      <w:r>
        <w:rPr>
          <w:rFonts w:ascii="Times New Roman" w:eastAsia="宋体" w:hAnsi="Times New Roman" w:cs="Times New Roman"/>
          <w:kern w:val="0"/>
          <w:sz w:val="20"/>
        </w:rPr>
        <w:t>18</w:t>
      </w:r>
      <w:r w:rsidRPr="003B48A8">
        <w:rPr>
          <w:rFonts w:ascii="Times New Roman" w:eastAsia="宋体" w:hAnsi="Times New Roman" w:cs="Times New Roman"/>
          <w:kern w:val="0"/>
          <w:sz w:val="20"/>
        </w:rPr>
        <w:t xml:space="preserve">, Maastricht, Netherlands, </w:t>
      </w:r>
      <w:r>
        <w:rPr>
          <w:rFonts w:ascii="Times New Roman" w:eastAsia="宋体" w:hAnsi="Times New Roman" w:cs="Times New Roman"/>
          <w:kern w:val="0"/>
          <w:sz w:val="20"/>
        </w:rPr>
        <w:t>August</w:t>
      </w:r>
      <w:r w:rsidRPr="003B48A8">
        <w:rPr>
          <w:rFonts w:ascii="Times New Roman" w:eastAsia="宋体" w:hAnsi="Times New Roman" w:cs="Times New Roman"/>
          <w:kern w:val="0"/>
          <w:sz w:val="20"/>
        </w:rPr>
        <w:t xml:space="preserve"> 1</w:t>
      </w:r>
      <w:r>
        <w:rPr>
          <w:rFonts w:ascii="Times New Roman" w:eastAsia="宋体" w:hAnsi="Times New Roman" w:cs="Times New Roman"/>
          <w:kern w:val="0"/>
          <w:sz w:val="20"/>
        </w:rPr>
        <w:t>9</w:t>
      </w:r>
      <w:r w:rsidRPr="003B48A8">
        <w:rPr>
          <w:rFonts w:ascii="Times New Roman" w:eastAsia="宋体" w:hAnsi="Times New Roman" w:cs="Times New Roman"/>
          <w:kern w:val="0"/>
          <w:sz w:val="20"/>
        </w:rPr>
        <w:t>-2</w:t>
      </w:r>
      <w:r>
        <w:rPr>
          <w:rFonts w:ascii="Times New Roman" w:eastAsia="宋体" w:hAnsi="Times New Roman" w:cs="Times New Roman"/>
          <w:kern w:val="0"/>
          <w:sz w:val="20"/>
        </w:rPr>
        <w:t>3</w:t>
      </w:r>
      <w:r w:rsidRPr="003B48A8">
        <w:rPr>
          <w:rFonts w:ascii="Times New Roman" w:eastAsia="宋体" w:hAnsi="Times New Roman" w:cs="Times New Roman"/>
          <w:kern w:val="0"/>
          <w:sz w:val="20"/>
        </w:rPr>
        <w:t>, 2024</w:t>
      </w:r>
      <w:r>
        <w:rPr>
          <w:rFonts w:ascii="Times New Roman" w:eastAsia="宋体" w:hAnsi="Times New Roman" w:cs="Times New Roman"/>
          <w:kern w:val="0"/>
          <w:sz w:val="20"/>
        </w:rPr>
        <w:t>.</w:t>
      </w:r>
    </w:p>
    <w:p w14:paraId="3FD62BC1" w14:textId="1632B4B8" w:rsidR="00121CFB" w:rsidRPr="00121CFB" w:rsidRDefault="00121CFB" w:rsidP="00DC3ED5">
      <w:pPr>
        <w:widowControl/>
        <w:numPr>
          <w:ilvl w:val="0"/>
          <w:numId w:val="1"/>
        </w:numPr>
        <w:snapToGrid w:val="0"/>
        <w:spacing w:beforeLines="50" w:before="156" w:afterLines="50" w:after="156"/>
        <w:jc w:val="left"/>
        <w:rPr>
          <w:rFonts w:ascii="Times New Roman" w:eastAsia="Batang" w:hAnsi="Times New Roman" w:cs="Times New Roman"/>
          <w:kern w:val="0"/>
          <w:sz w:val="20"/>
        </w:rPr>
      </w:pPr>
      <w:r>
        <w:rPr>
          <w:rFonts w:ascii="Times New Roman" w:hAnsi="Times New Roman" w:cs="Times New Roman"/>
          <w:kern w:val="0"/>
          <w:sz w:val="20"/>
        </w:rPr>
        <w:t>RAN1#116 Chairman notes, Athens, Greece, February 26</w:t>
      </w:r>
      <w:r w:rsidRPr="00121CFB">
        <w:rPr>
          <w:rFonts w:ascii="Times New Roman" w:hAnsi="Times New Roman" w:cs="Times New Roman"/>
          <w:kern w:val="0"/>
          <w:sz w:val="20"/>
          <w:vertAlign w:val="superscript"/>
        </w:rPr>
        <w:t>th</w:t>
      </w:r>
      <w:r>
        <w:rPr>
          <w:rFonts w:ascii="Times New Roman" w:hAnsi="Times New Roman" w:cs="Times New Roman"/>
          <w:kern w:val="0"/>
          <w:sz w:val="20"/>
        </w:rPr>
        <w:t xml:space="preserve"> – March 1</w:t>
      </w:r>
      <w:r w:rsidRPr="00121CFB">
        <w:rPr>
          <w:rFonts w:ascii="Times New Roman" w:hAnsi="Times New Roman" w:cs="Times New Roman"/>
          <w:kern w:val="0"/>
          <w:sz w:val="20"/>
          <w:vertAlign w:val="superscript"/>
        </w:rPr>
        <w:t>st</w:t>
      </w:r>
      <w:r>
        <w:rPr>
          <w:rFonts w:ascii="Times New Roman" w:hAnsi="Times New Roman" w:cs="Times New Roman"/>
          <w:kern w:val="0"/>
          <w:sz w:val="20"/>
        </w:rPr>
        <w:t>, 2024.</w:t>
      </w:r>
    </w:p>
    <w:p w14:paraId="18E55C9F" w14:textId="2D23573B" w:rsidR="0031692E" w:rsidRPr="0031692E" w:rsidRDefault="0031692E" w:rsidP="00DC3ED5">
      <w:pPr>
        <w:widowControl/>
        <w:numPr>
          <w:ilvl w:val="0"/>
          <w:numId w:val="1"/>
        </w:numPr>
        <w:snapToGrid w:val="0"/>
        <w:spacing w:beforeLines="50" w:before="156" w:afterLines="50" w:after="156"/>
        <w:jc w:val="left"/>
        <w:rPr>
          <w:rFonts w:ascii="Times New Roman" w:eastAsia="Batang" w:hAnsi="Times New Roman" w:cs="Times New Roman"/>
          <w:kern w:val="0"/>
          <w:sz w:val="20"/>
        </w:rPr>
      </w:pPr>
      <w:r>
        <w:rPr>
          <w:rFonts w:ascii="Times New Roman" w:hAnsi="Times New Roman" w:cs="Times New Roman" w:hint="eastAsia"/>
          <w:kern w:val="0"/>
          <w:sz w:val="20"/>
        </w:rPr>
        <w:t>R</w:t>
      </w:r>
      <w:r>
        <w:rPr>
          <w:rFonts w:ascii="Times New Roman" w:hAnsi="Times New Roman" w:cs="Times New Roman"/>
          <w:kern w:val="0"/>
          <w:sz w:val="20"/>
        </w:rPr>
        <w:t>AN1#116</w:t>
      </w:r>
      <w:r w:rsidR="00121CFB">
        <w:rPr>
          <w:rFonts w:ascii="Times New Roman" w:hAnsi="Times New Roman" w:cs="Times New Roman"/>
          <w:kern w:val="0"/>
          <w:sz w:val="20"/>
        </w:rPr>
        <w:t>bis</w:t>
      </w:r>
      <w:r>
        <w:rPr>
          <w:rFonts w:ascii="Times New Roman" w:hAnsi="Times New Roman" w:cs="Times New Roman"/>
          <w:kern w:val="0"/>
          <w:sz w:val="20"/>
        </w:rPr>
        <w:t xml:space="preserve"> </w:t>
      </w:r>
      <w:r w:rsidR="00121CFB">
        <w:rPr>
          <w:rFonts w:ascii="Times New Roman" w:hAnsi="Times New Roman" w:cs="Times New Roman"/>
          <w:kern w:val="0"/>
          <w:sz w:val="20"/>
        </w:rPr>
        <w:t>C</w:t>
      </w:r>
      <w:r>
        <w:rPr>
          <w:rFonts w:ascii="Times New Roman" w:hAnsi="Times New Roman" w:cs="Times New Roman"/>
          <w:kern w:val="0"/>
          <w:sz w:val="20"/>
        </w:rPr>
        <w:t>hairman notes</w:t>
      </w:r>
      <w:r w:rsidR="00121CFB">
        <w:rPr>
          <w:rFonts w:ascii="Times New Roman" w:hAnsi="Times New Roman" w:cs="Times New Roman"/>
          <w:kern w:val="0"/>
          <w:sz w:val="20"/>
        </w:rPr>
        <w:t>, Changsha, China, April 15</w:t>
      </w:r>
      <w:r w:rsidR="00121CFB" w:rsidRPr="00121CFB">
        <w:rPr>
          <w:rFonts w:ascii="Times New Roman" w:hAnsi="Times New Roman" w:cs="Times New Roman"/>
          <w:kern w:val="0"/>
          <w:sz w:val="20"/>
          <w:vertAlign w:val="superscript"/>
        </w:rPr>
        <w:t>th</w:t>
      </w:r>
      <w:r w:rsidR="00121CFB">
        <w:rPr>
          <w:rFonts w:ascii="Times New Roman" w:hAnsi="Times New Roman" w:cs="Times New Roman"/>
          <w:kern w:val="0"/>
          <w:sz w:val="20"/>
        </w:rPr>
        <w:t xml:space="preserve"> – 19</w:t>
      </w:r>
      <w:r w:rsidR="00121CFB" w:rsidRPr="00121CFB">
        <w:rPr>
          <w:rFonts w:ascii="Times New Roman" w:hAnsi="Times New Roman" w:cs="Times New Roman"/>
          <w:kern w:val="0"/>
          <w:sz w:val="20"/>
          <w:vertAlign w:val="superscript"/>
        </w:rPr>
        <w:t>th</w:t>
      </w:r>
      <w:r w:rsidR="00121CFB">
        <w:rPr>
          <w:rFonts w:ascii="Times New Roman" w:hAnsi="Times New Roman" w:cs="Times New Roman"/>
          <w:kern w:val="0"/>
          <w:sz w:val="20"/>
        </w:rPr>
        <w:t>, 2024.</w:t>
      </w:r>
    </w:p>
    <w:bookmarkEnd w:id="3"/>
    <w:bookmarkEnd w:id="4"/>
    <w:bookmarkEnd w:id="5"/>
    <w:p w14:paraId="60F991B8" w14:textId="77777777" w:rsidR="003B48A8" w:rsidRPr="003B48A8" w:rsidRDefault="003B48A8" w:rsidP="00DC3ED5">
      <w:pPr>
        <w:snapToGrid w:val="0"/>
      </w:pPr>
    </w:p>
    <w:sectPr w:rsidR="003B48A8" w:rsidRPr="003B48A8" w:rsidSect="001030BF">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F108F" w14:textId="77777777" w:rsidR="00E028AB" w:rsidRDefault="00E028AB" w:rsidP="001030BF">
      <w:r>
        <w:separator/>
      </w:r>
    </w:p>
  </w:endnote>
  <w:endnote w:type="continuationSeparator" w:id="0">
    <w:p w14:paraId="33D94778" w14:textId="77777777" w:rsidR="00E028AB" w:rsidRDefault="00E028AB" w:rsidP="00103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63CF4" w14:textId="77777777" w:rsidR="00E028AB" w:rsidRDefault="00E028AB" w:rsidP="001030BF">
      <w:r>
        <w:separator/>
      </w:r>
    </w:p>
  </w:footnote>
  <w:footnote w:type="continuationSeparator" w:id="0">
    <w:p w14:paraId="1D2F008E" w14:textId="77777777" w:rsidR="00E028AB" w:rsidRDefault="00E028AB" w:rsidP="001030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1947"/>
    <w:multiLevelType w:val="hybridMultilevel"/>
    <w:tmpl w:val="B93A75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203FA8"/>
    <w:multiLevelType w:val="hybridMultilevel"/>
    <w:tmpl w:val="498847BA"/>
    <w:lvl w:ilvl="0" w:tplc="D908BD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A961D4"/>
    <w:multiLevelType w:val="hybridMultilevel"/>
    <w:tmpl w:val="83DE7570"/>
    <w:lvl w:ilvl="0" w:tplc="F3384DBC">
      <w:start w:val="1"/>
      <w:numFmt w:val="decimal"/>
      <w:suff w:val="space"/>
      <w:lvlText w:val="Proposal %1:"/>
      <w:lvlJc w:val="left"/>
      <w:pPr>
        <w:ind w:left="0" w:firstLine="0"/>
      </w:pPr>
      <w:rPr>
        <w:rFonts w:hint="eastAsia"/>
      </w:rPr>
    </w:lvl>
    <w:lvl w:ilvl="1" w:tplc="D908BDAC">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23927B9"/>
    <w:multiLevelType w:val="hybridMultilevel"/>
    <w:tmpl w:val="24B24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FC40BD"/>
    <w:multiLevelType w:val="multilevel"/>
    <w:tmpl w:val="31FC40BD"/>
    <w:styleLink w:val="3GPPListofBullets1"/>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A864BF"/>
    <w:multiLevelType w:val="multilevel"/>
    <w:tmpl w:val="61B4AECC"/>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bCs w:val="0"/>
        <w:i w:val="0"/>
        <w:iCs w:val="0"/>
        <w:caps w:val="0"/>
        <w:smallCaps w:val="0"/>
        <w:strike w:val="0"/>
        <w:dstrike w:val="0"/>
        <w:color w:val="auto"/>
        <w:spacing w:val="0"/>
        <w:w w:val="100"/>
        <w:kern w:val="0"/>
        <w:position w:val="0"/>
        <w:sz w:val="20"/>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6" w15:restartNumberingAfterBreak="0">
    <w:nsid w:val="3C7E6CBA"/>
    <w:multiLevelType w:val="hybridMultilevel"/>
    <w:tmpl w:val="E5AA564E"/>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EDB08F7"/>
    <w:multiLevelType w:val="hybridMultilevel"/>
    <w:tmpl w:val="3F343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F5B0A3C"/>
    <w:multiLevelType w:val="hybridMultilevel"/>
    <w:tmpl w:val="213E9166"/>
    <w:lvl w:ilvl="0" w:tplc="D908BDAC">
      <w:start w:val="1"/>
      <w:numFmt w:val="bullet"/>
      <w:lvlText w:val=""/>
      <w:lvlJc w:val="left"/>
      <w:pPr>
        <w:ind w:left="420" w:hanging="420"/>
      </w:pPr>
      <w:rPr>
        <w:rFonts w:ascii="Wingdings" w:hAnsi="Wingdings" w:hint="default"/>
      </w:rPr>
    </w:lvl>
    <w:lvl w:ilvl="1" w:tplc="AF64333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3427F3"/>
    <w:multiLevelType w:val="hybridMultilevel"/>
    <w:tmpl w:val="C524985E"/>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2" w15:restartNumberingAfterBreak="0">
    <w:nsid w:val="59707288"/>
    <w:multiLevelType w:val="hybridMultilevel"/>
    <w:tmpl w:val="5798C004"/>
    <w:lvl w:ilvl="0" w:tplc="FB989FFC">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2078DB"/>
    <w:multiLevelType w:val="hybridMultilevel"/>
    <w:tmpl w:val="799E1718"/>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A8286D"/>
    <w:multiLevelType w:val="hybridMultilevel"/>
    <w:tmpl w:val="2EE0B356"/>
    <w:lvl w:ilvl="0" w:tplc="F3384DBC">
      <w:start w:val="1"/>
      <w:numFmt w:val="decimal"/>
      <w:suff w:val="space"/>
      <w:lvlText w:val="Proposal %1:"/>
      <w:lvlJc w:val="left"/>
      <w:pPr>
        <w:ind w:left="0" w:firstLine="0"/>
      </w:pPr>
      <w:rPr>
        <w:rFonts w:hint="eastAsia"/>
      </w:rPr>
    </w:lvl>
    <w:lvl w:ilvl="1" w:tplc="D908BDAC">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82E4214"/>
    <w:multiLevelType w:val="hybridMultilevel"/>
    <w:tmpl w:val="852694EA"/>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9E2208D"/>
    <w:multiLevelType w:val="hybridMultilevel"/>
    <w:tmpl w:val="CB0C3C6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5"/>
  </w:num>
  <w:num w:numId="2">
    <w:abstractNumId w:val="17"/>
  </w:num>
  <w:num w:numId="3">
    <w:abstractNumId w:val="5"/>
  </w:num>
  <w:num w:numId="4">
    <w:abstractNumId w:val="20"/>
  </w:num>
  <w:num w:numId="5">
    <w:abstractNumId w:val="14"/>
  </w:num>
  <w:num w:numId="6">
    <w:abstractNumId w:val="9"/>
  </w:num>
  <w:num w:numId="7">
    <w:abstractNumId w:val="18"/>
  </w:num>
  <w:num w:numId="8">
    <w:abstractNumId w:val="16"/>
  </w:num>
  <w:num w:numId="9">
    <w:abstractNumId w:val="1"/>
  </w:num>
  <w:num w:numId="10">
    <w:abstractNumId w:val="8"/>
  </w:num>
  <w:num w:numId="11">
    <w:abstractNumId w:val="6"/>
  </w:num>
  <w:num w:numId="12">
    <w:abstractNumId w:val="10"/>
  </w:num>
  <w:num w:numId="13">
    <w:abstractNumId w:val="21"/>
  </w:num>
  <w:num w:numId="14">
    <w:abstractNumId w:val="7"/>
  </w:num>
  <w:num w:numId="15">
    <w:abstractNumId w:val="3"/>
  </w:num>
  <w:num w:numId="16">
    <w:abstractNumId w:val="13"/>
  </w:num>
  <w:num w:numId="17">
    <w:abstractNumId w:val="22"/>
  </w:num>
  <w:num w:numId="18">
    <w:abstractNumId w:val="12"/>
  </w:num>
  <w:num w:numId="19">
    <w:abstractNumId w:val="2"/>
  </w:num>
  <w:num w:numId="20">
    <w:abstractNumId w:val="19"/>
  </w:num>
  <w:num w:numId="21">
    <w:abstractNumId w:val="11"/>
  </w:num>
  <w:num w:numId="22">
    <w:abstractNumId w:val="4"/>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847"/>
    <w:rsid w:val="00013ABB"/>
    <w:rsid w:val="00042155"/>
    <w:rsid w:val="000A1303"/>
    <w:rsid w:val="000A484B"/>
    <w:rsid w:val="001030BF"/>
    <w:rsid w:val="00113BF0"/>
    <w:rsid w:val="00121BBF"/>
    <w:rsid w:val="00121CFB"/>
    <w:rsid w:val="00154C24"/>
    <w:rsid w:val="001656F4"/>
    <w:rsid w:val="00175D2E"/>
    <w:rsid w:val="00185318"/>
    <w:rsid w:val="001B2767"/>
    <w:rsid w:val="001C1B2A"/>
    <w:rsid w:val="001E4EF6"/>
    <w:rsid w:val="001F20B0"/>
    <w:rsid w:val="001F2ED2"/>
    <w:rsid w:val="00204620"/>
    <w:rsid w:val="00206672"/>
    <w:rsid w:val="0023626F"/>
    <w:rsid w:val="00291217"/>
    <w:rsid w:val="002A00E4"/>
    <w:rsid w:val="002A0F88"/>
    <w:rsid w:val="00316283"/>
    <w:rsid w:val="0031692E"/>
    <w:rsid w:val="0035412D"/>
    <w:rsid w:val="003712E2"/>
    <w:rsid w:val="003737D2"/>
    <w:rsid w:val="00396439"/>
    <w:rsid w:val="003A2DF6"/>
    <w:rsid w:val="003B48A8"/>
    <w:rsid w:val="003B56EC"/>
    <w:rsid w:val="003C21E0"/>
    <w:rsid w:val="004015E5"/>
    <w:rsid w:val="004125F3"/>
    <w:rsid w:val="004136F9"/>
    <w:rsid w:val="00416D7C"/>
    <w:rsid w:val="00427EA2"/>
    <w:rsid w:val="00437055"/>
    <w:rsid w:val="0045752F"/>
    <w:rsid w:val="004818B1"/>
    <w:rsid w:val="004C50BF"/>
    <w:rsid w:val="004D59D9"/>
    <w:rsid w:val="005228FD"/>
    <w:rsid w:val="0053123F"/>
    <w:rsid w:val="0054219D"/>
    <w:rsid w:val="005738FD"/>
    <w:rsid w:val="00581640"/>
    <w:rsid w:val="005953BA"/>
    <w:rsid w:val="005A3FBF"/>
    <w:rsid w:val="005C2044"/>
    <w:rsid w:val="005C41A3"/>
    <w:rsid w:val="00612C2F"/>
    <w:rsid w:val="006706A6"/>
    <w:rsid w:val="006821B4"/>
    <w:rsid w:val="006B1181"/>
    <w:rsid w:val="006B2802"/>
    <w:rsid w:val="006D6C09"/>
    <w:rsid w:val="006F53E7"/>
    <w:rsid w:val="006F6310"/>
    <w:rsid w:val="00701DD5"/>
    <w:rsid w:val="0072155F"/>
    <w:rsid w:val="00735B50"/>
    <w:rsid w:val="007946D0"/>
    <w:rsid w:val="007E1B63"/>
    <w:rsid w:val="007F7CBE"/>
    <w:rsid w:val="0082799A"/>
    <w:rsid w:val="00843168"/>
    <w:rsid w:val="008E404B"/>
    <w:rsid w:val="008F1555"/>
    <w:rsid w:val="008F3808"/>
    <w:rsid w:val="00914756"/>
    <w:rsid w:val="009312B4"/>
    <w:rsid w:val="00957B3B"/>
    <w:rsid w:val="00973259"/>
    <w:rsid w:val="009813EA"/>
    <w:rsid w:val="009E2368"/>
    <w:rsid w:val="009F3662"/>
    <w:rsid w:val="00A25A7A"/>
    <w:rsid w:val="00A5075E"/>
    <w:rsid w:val="00A731E3"/>
    <w:rsid w:val="00AA0FFC"/>
    <w:rsid w:val="00AC51DD"/>
    <w:rsid w:val="00AD0A5C"/>
    <w:rsid w:val="00B12DD6"/>
    <w:rsid w:val="00B16847"/>
    <w:rsid w:val="00B404DA"/>
    <w:rsid w:val="00B75CB0"/>
    <w:rsid w:val="00BB7DE3"/>
    <w:rsid w:val="00BE47CE"/>
    <w:rsid w:val="00C33921"/>
    <w:rsid w:val="00C832BF"/>
    <w:rsid w:val="00CF7493"/>
    <w:rsid w:val="00D64EA3"/>
    <w:rsid w:val="00DA6480"/>
    <w:rsid w:val="00DB5556"/>
    <w:rsid w:val="00DC3ED5"/>
    <w:rsid w:val="00DD16BA"/>
    <w:rsid w:val="00DE4E33"/>
    <w:rsid w:val="00DF0D13"/>
    <w:rsid w:val="00E028AB"/>
    <w:rsid w:val="00E31F72"/>
    <w:rsid w:val="00E402A6"/>
    <w:rsid w:val="00E41473"/>
    <w:rsid w:val="00E535B7"/>
    <w:rsid w:val="00E60A5A"/>
    <w:rsid w:val="00E72DC4"/>
    <w:rsid w:val="00E979B3"/>
    <w:rsid w:val="00EB1F4E"/>
    <w:rsid w:val="00EB7BCC"/>
    <w:rsid w:val="00ED62D2"/>
    <w:rsid w:val="00EF25A8"/>
    <w:rsid w:val="00F07220"/>
    <w:rsid w:val="00F356FA"/>
    <w:rsid w:val="00F823C1"/>
    <w:rsid w:val="00FA4D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E821AF"/>
  <w15:chartTrackingRefBased/>
  <w15:docId w15:val="{4D7284B4-A86D-4809-B3C9-D33E24C50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6B1181"/>
    <w:pPr>
      <w:keepNext/>
      <w:widowControl/>
      <w:numPr>
        <w:numId w:val="3"/>
      </w:numPr>
      <w:spacing w:before="360" w:after="120"/>
      <w:jc w:val="left"/>
      <w:outlineLvl w:val="0"/>
    </w:pPr>
    <w:rPr>
      <w:rFonts w:ascii="Arial" w:eastAsia="宋体" w:hAnsi="Arial" w:cs="Arial"/>
      <w:b/>
      <w:bCs/>
      <w:kern w:val="32"/>
      <w:sz w:val="28"/>
      <w:szCs w:val="32"/>
    </w:rPr>
  </w:style>
  <w:style w:type="paragraph" w:styleId="2">
    <w:name w:val="heading 2"/>
    <w:basedOn w:val="a"/>
    <w:next w:val="a"/>
    <w:link w:val="20"/>
    <w:uiPriority w:val="9"/>
    <w:semiHidden/>
    <w:unhideWhenUsed/>
    <w:qFormat/>
    <w:rsid w:val="003B48A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B1181"/>
    <w:pPr>
      <w:keepNext/>
      <w:widowControl/>
      <w:numPr>
        <w:ilvl w:val="2"/>
        <w:numId w:val="3"/>
      </w:numPr>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6B1181"/>
    <w:pPr>
      <w:keepNext/>
      <w:widowControl/>
      <w:numPr>
        <w:ilvl w:val="3"/>
        <w:numId w:val="3"/>
      </w:numPr>
      <w:spacing w:before="240" w:after="60"/>
      <w:jc w:val="left"/>
      <w:outlineLvl w:val="3"/>
    </w:pPr>
    <w:rPr>
      <w:rFonts w:ascii="Times New Roman" w:eastAsia="MS Mincho" w:hAnsi="Times New Roman" w:cs="Times New Roman"/>
      <w:b/>
      <w:bCs/>
      <w:kern w:val="0"/>
      <w:sz w:val="28"/>
      <w:szCs w:val="28"/>
      <w:lang w:eastAsia="en-US"/>
    </w:rPr>
  </w:style>
  <w:style w:type="paragraph" w:styleId="5">
    <w:name w:val="heading 5"/>
    <w:basedOn w:val="a"/>
    <w:next w:val="a"/>
    <w:link w:val="50"/>
    <w:qFormat/>
    <w:rsid w:val="006B1181"/>
    <w:pPr>
      <w:keepNext/>
      <w:keepLines/>
      <w:widowControl/>
      <w:numPr>
        <w:ilvl w:val="4"/>
        <w:numId w:val="3"/>
      </w:numPr>
      <w:spacing w:before="280" w:after="290" w:line="376" w:lineRule="auto"/>
      <w:jc w:val="left"/>
      <w:outlineLvl w:val="4"/>
    </w:pPr>
    <w:rPr>
      <w:rFonts w:ascii="Times New Roman" w:eastAsia="Times New Roman" w:hAnsi="Times New Roman" w:cs="Times New Roman"/>
      <w:b/>
      <w:bCs/>
      <w:kern w:val="0"/>
      <w:sz w:val="28"/>
      <w:szCs w:val="28"/>
      <w:lang w:eastAsia="en-US"/>
    </w:rPr>
  </w:style>
  <w:style w:type="paragraph" w:styleId="6">
    <w:name w:val="heading 6"/>
    <w:basedOn w:val="a"/>
    <w:next w:val="a"/>
    <w:link w:val="60"/>
    <w:qFormat/>
    <w:rsid w:val="006B1181"/>
    <w:pPr>
      <w:keepNext/>
      <w:keepLines/>
      <w:widowControl/>
      <w:numPr>
        <w:ilvl w:val="5"/>
        <w:numId w:val="3"/>
      </w:numPr>
      <w:spacing w:before="240" w:after="64" w:line="320" w:lineRule="auto"/>
      <w:jc w:val="left"/>
      <w:outlineLvl w:val="5"/>
    </w:pPr>
    <w:rPr>
      <w:rFonts w:ascii="Arial" w:eastAsia="黑体" w:hAnsi="Arial" w:cs="Times New Roman"/>
      <w:b/>
      <w:bCs/>
      <w:kern w:val="0"/>
      <w:sz w:val="24"/>
      <w:szCs w:val="24"/>
      <w:lang w:eastAsia="en-US"/>
    </w:rPr>
  </w:style>
  <w:style w:type="paragraph" w:styleId="7">
    <w:name w:val="heading 7"/>
    <w:basedOn w:val="a"/>
    <w:next w:val="a"/>
    <w:link w:val="70"/>
    <w:qFormat/>
    <w:rsid w:val="006B1181"/>
    <w:pPr>
      <w:keepNext/>
      <w:keepLines/>
      <w:widowControl/>
      <w:numPr>
        <w:ilvl w:val="6"/>
        <w:numId w:val="3"/>
      </w:numPr>
      <w:spacing w:before="240" w:after="64" w:line="320" w:lineRule="auto"/>
      <w:jc w:val="left"/>
      <w:outlineLvl w:val="6"/>
    </w:pPr>
    <w:rPr>
      <w:rFonts w:ascii="Times New Roman" w:eastAsia="Times New Roman" w:hAnsi="Times New Roman" w:cs="Times New Roman"/>
      <w:b/>
      <w:bCs/>
      <w:kern w:val="0"/>
      <w:sz w:val="24"/>
      <w:szCs w:val="24"/>
      <w:lang w:eastAsia="en-US"/>
    </w:rPr>
  </w:style>
  <w:style w:type="paragraph" w:styleId="8">
    <w:name w:val="heading 8"/>
    <w:basedOn w:val="a"/>
    <w:next w:val="a"/>
    <w:link w:val="80"/>
    <w:qFormat/>
    <w:rsid w:val="006B1181"/>
    <w:pPr>
      <w:keepNext/>
      <w:keepLines/>
      <w:widowControl/>
      <w:numPr>
        <w:ilvl w:val="7"/>
        <w:numId w:val="3"/>
      </w:numPr>
      <w:spacing w:before="240" w:after="64" w:line="320" w:lineRule="auto"/>
      <w:jc w:val="left"/>
      <w:outlineLvl w:val="7"/>
    </w:pPr>
    <w:rPr>
      <w:rFonts w:ascii="Arial" w:eastAsia="黑体" w:hAnsi="Arial" w:cs="Times New Roman"/>
      <w:kern w:val="0"/>
      <w:sz w:val="24"/>
      <w:szCs w:val="24"/>
      <w:lang w:eastAsia="en-US"/>
    </w:rPr>
  </w:style>
  <w:style w:type="paragraph" w:styleId="9">
    <w:name w:val="heading 9"/>
    <w:basedOn w:val="a"/>
    <w:next w:val="a"/>
    <w:link w:val="90"/>
    <w:qFormat/>
    <w:rsid w:val="006B1181"/>
    <w:pPr>
      <w:keepNext/>
      <w:keepLines/>
      <w:widowControl/>
      <w:numPr>
        <w:ilvl w:val="8"/>
        <w:numId w:val="3"/>
      </w:numPr>
      <w:spacing w:before="240" w:after="64" w:line="320" w:lineRule="auto"/>
      <w:jc w:val="left"/>
      <w:outlineLvl w:val="8"/>
    </w:pPr>
    <w:rPr>
      <w:rFonts w:ascii="Arial" w:eastAsia="黑体" w:hAnsi="Arial" w:cs="Times New Roman"/>
      <w:kern w:val="0"/>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1030BF"/>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1030BF"/>
    <w:rPr>
      <w:sz w:val="18"/>
      <w:szCs w:val="18"/>
    </w:rPr>
  </w:style>
  <w:style w:type="paragraph" w:styleId="a6">
    <w:name w:val="footer"/>
    <w:basedOn w:val="a"/>
    <w:link w:val="a7"/>
    <w:uiPriority w:val="99"/>
    <w:unhideWhenUsed/>
    <w:rsid w:val="001030BF"/>
    <w:pPr>
      <w:tabs>
        <w:tab w:val="center" w:pos="4153"/>
        <w:tab w:val="right" w:pos="8306"/>
      </w:tabs>
      <w:snapToGrid w:val="0"/>
      <w:jc w:val="left"/>
    </w:pPr>
    <w:rPr>
      <w:sz w:val="18"/>
      <w:szCs w:val="18"/>
    </w:rPr>
  </w:style>
  <w:style w:type="character" w:customStyle="1" w:styleId="a7">
    <w:name w:val="页脚 字符"/>
    <w:basedOn w:val="a1"/>
    <w:link w:val="a6"/>
    <w:uiPriority w:val="99"/>
    <w:rsid w:val="001030BF"/>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rsid w:val="006B1181"/>
    <w:rPr>
      <w:rFonts w:ascii="Arial" w:eastAsia="宋体" w:hAnsi="Arial" w:cs="Arial"/>
      <w:b/>
      <w:bCs/>
      <w:kern w:val="32"/>
      <w:sz w:val="28"/>
      <w:szCs w:val="3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6B1181"/>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6B1181"/>
    <w:rPr>
      <w:rFonts w:ascii="Times New Roman" w:eastAsia="MS Mincho" w:hAnsi="Times New Roman" w:cs="Times New Roman"/>
      <w:b/>
      <w:bCs/>
      <w:kern w:val="0"/>
      <w:sz w:val="28"/>
      <w:szCs w:val="28"/>
      <w:lang w:eastAsia="en-US"/>
    </w:rPr>
  </w:style>
  <w:style w:type="character" w:customStyle="1" w:styleId="50">
    <w:name w:val="标题 5 字符"/>
    <w:basedOn w:val="a1"/>
    <w:link w:val="5"/>
    <w:rsid w:val="006B1181"/>
    <w:rPr>
      <w:rFonts w:ascii="Times New Roman" w:eastAsia="Times New Roman" w:hAnsi="Times New Roman" w:cs="Times New Roman"/>
      <w:b/>
      <w:bCs/>
      <w:kern w:val="0"/>
      <w:sz w:val="28"/>
      <w:szCs w:val="28"/>
      <w:lang w:eastAsia="en-US"/>
    </w:rPr>
  </w:style>
  <w:style w:type="character" w:customStyle="1" w:styleId="60">
    <w:name w:val="标题 6 字符"/>
    <w:basedOn w:val="a1"/>
    <w:link w:val="6"/>
    <w:rsid w:val="006B1181"/>
    <w:rPr>
      <w:rFonts w:ascii="Arial" w:eastAsia="黑体" w:hAnsi="Arial" w:cs="Times New Roman"/>
      <w:b/>
      <w:bCs/>
      <w:kern w:val="0"/>
      <w:sz w:val="24"/>
      <w:szCs w:val="24"/>
      <w:lang w:eastAsia="en-US"/>
    </w:rPr>
  </w:style>
  <w:style w:type="character" w:customStyle="1" w:styleId="70">
    <w:name w:val="标题 7 字符"/>
    <w:basedOn w:val="a1"/>
    <w:link w:val="7"/>
    <w:rsid w:val="006B1181"/>
    <w:rPr>
      <w:rFonts w:ascii="Times New Roman" w:eastAsia="Times New Roman" w:hAnsi="Times New Roman" w:cs="Times New Roman"/>
      <w:b/>
      <w:bCs/>
      <w:kern w:val="0"/>
      <w:sz w:val="24"/>
      <w:szCs w:val="24"/>
      <w:lang w:eastAsia="en-US"/>
    </w:rPr>
  </w:style>
  <w:style w:type="character" w:customStyle="1" w:styleId="80">
    <w:name w:val="标题 8 字符"/>
    <w:basedOn w:val="a1"/>
    <w:link w:val="8"/>
    <w:rsid w:val="006B1181"/>
    <w:rPr>
      <w:rFonts w:ascii="Arial" w:eastAsia="黑体" w:hAnsi="Arial" w:cs="Times New Roman"/>
      <w:kern w:val="0"/>
      <w:sz w:val="24"/>
      <w:szCs w:val="24"/>
      <w:lang w:eastAsia="en-US"/>
    </w:rPr>
  </w:style>
  <w:style w:type="character" w:customStyle="1" w:styleId="90">
    <w:name w:val="标题 9 字符"/>
    <w:basedOn w:val="a1"/>
    <w:link w:val="9"/>
    <w:rsid w:val="006B1181"/>
    <w:rPr>
      <w:rFonts w:ascii="Arial" w:eastAsia="黑体" w:hAnsi="Arial" w:cs="Times New Roman"/>
      <w:kern w:val="0"/>
      <w:szCs w:val="21"/>
      <w:lang w:eastAsia="en-US"/>
    </w:rPr>
  </w:style>
  <w:style w:type="table" w:styleId="a8">
    <w:name w:val="Table Grid"/>
    <w:basedOn w:val="a2"/>
    <w:rsid w:val="006B118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Body Text"/>
    <w:basedOn w:val="a"/>
    <w:link w:val="a9"/>
    <w:uiPriority w:val="99"/>
    <w:semiHidden/>
    <w:unhideWhenUsed/>
    <w:rsid w:val="006B1181"/>
    <w:pPr>
      <w:spacing w:after="120"/>
    </w:pPr>
  </w:style>
  <w:style w:type="character" w:customStyle="1" w:styleId="a9">
    <w:name w:val="正文文本 字符"/>
    <w:basedOn w:val="a1"/>
    <w:link w:val="a0"/>
    <w:uiPriority w:val="99"/>
    <w:semiHidden/>
    <w:rsid w:val="006B1181"/>
  </w:style>
  <w:style w:type="paragraph" w:customStyle="1" w:styleId="StyleHeading1NMPHeading1H1h11h12h13h14h15h16appheadin">
    <w:name w:val="Style Heading 1NMP Heading 1H1h11h12h13h14h15h16app headin..."/>
    <w:basedOn w:val="1"/>
    <w:rsid w:val="006B1181"/>
    <w:pPr>
      <w:numPr>
        <w:numId w:val="20"/>
      </w:numPr>
      <w:spacing w:before="240" w:after="60"/>
    </w:pPr>
    <w:rPr>
      <w:rFonts w:eastAsia="Batang"/>
      <w:lang w:val="en-GB" w:eastAsia="en-US"/>
    </w:rPr>
  </w:style>
  <w:style w:type="character" w:customStyle="1" w:styleId="20">
    <w:name w:val="标题 2 字符"/>
    <w:basedOn w:val="a1"/>
    <w:link w:val="2"/>
    <w:uiPriority w:val="9"/>
    <w:semiHidden/>
    <w:rsid w:val="003B48A8"/>
    <w:rPr>
      <w:rFonts w:asciiTheme="majorHAnsi" w:eastAsiaTheme="majorEastAsia" w:hAnsiTheme="majorHAnsi" w:cstheme="majorBidi"/>
      <w:b/>
      <w:bCs/>
      <w:sz w:val="32"/>
      <w:szCs w:val="32"/>
    </w:rPr>
  </w:style>
  <w:style w:type="paragraph" w:customStyle="1" w:styleId="B1">
    <w:name w:val="B1"/>
    <w:basedOn w:val="a"/>
    <w:link w:val="B1Char1"/>
    <w:qFormat/>
    <w:rsid w:val="00316283"/>
    <w:pPr>
      <w:widowControl/>
      <w:ind w:left="567" w:hanging="567"/>
    </w:pPr>
    <w:rPr>
      <w:rFonts w:ascii="Arial" w:hAnsi="Arial" w:cs="Times New Roman"/>
      <w:kern w:val="0"/>
      <w:sz w:val="20"/>
      <w:szCs w:val="20"/>
      <w:lang w:val="en-GB" w:eastAsia="en-US"/>
    </w:rPr>
  </w:style>
  <w:style w:type="paragraph" w:customStyle="1" w:styleId="done">
    <w:name w:val="done"/>
    <w:basedOn w:val="a"/>
    <w:qFormat/>
    <w:rsid w:val="00316283"/>
    <w:pPr>
      <w:keepNext/>
      <w:keepLines/>
      <w:numPr>
        <w:numId w:val="21"/>
      </w:numPr>
      <w:pBdr>
        <w:top w:val="single" w:sz="6" w:space="1" w:color="008000"/>
        <w:left w:val="single" w:sz="6" w:space="4" w:color="008000"/>
        <w:bottom w:val="single" w:sz="6" w:space="1" w:color="008000"/>
        <w:right w:val="single" w:sz="6" w:space="4" w:color="008000"/>
      </w:pBdr>
      <w:tabs>
        <w:tab w:val="left" w:pos="1843"/>
      </w:tabs>
      <w:spacing w:before="60" w:after="60"/>
      <w:ind w:left="340" w:hanging="340"/>
    </w:pPr>
    <w:rPr>
      <w:rFonts w:ascii="Arial" w:hAnsi="Arial" w:cs="Times New Roman"/>
      <w:b/>
      <w:color w:val="008000"/>
      <w:kern w:val="0"/>
      <w:sz w:val="20"/>
      <w:szCs w:val="20"/>
      <w:lang w:val="en-GB" w:eastAsia="en-US"/>
    </w:rPr>
  </w:style>
  <w:style w:type="character" w:customStyle="1" w:styleId="B1Char1">
    <w:name w:val="B1 Char1"/>
    <w:link w:val="B1"/>
    <w:qFormat/>
    <w:rsid w:val="00316283"/>
    <w:rPr>
      <w:rFonts w:ascii="Arial" w:hAnsi="Arial" w:cs="Times New Roman"/>
      <w:kern w:val="0"/>
      <w:sz w:val="20"/>
      <w:szCs w:val="20"/>
      <w:lang w:val="en-GB" w:eastAsia="en-US"/>
    </w:rPr>
  </w:style>
  <w:style w:type="numbering" w:customStyle="1" w:styleId="3GPPListofBullets1">
    <w:name w:val="3GPP List of Bullets1"/>
    <w:rsid w:val="00A5075E"/>
    <w:pPr>
      <w:numPr>
        <w:numId w:val="22"/>
      </w:numPr>
    </w:pPr>
  </w:style>
  <w:style w:type="paragraph" w:styleId="aa">
    <w:name w:val="List Paragraph"/>
    <w:basedOn w:val="a"/>
    <w:uiPriority w:val="34"/>
    <w:qFormat/>
    <w:rsid w:val="0045752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1372</Words>
  <Characters>7824</Characters>
  <Application>Microsoft Office Word</Application>
  <DocSecurity>0</DocSecurity>
  <Lines>65</Lines>
  <Paragraphs>18</Paragraphs>
  <ScaleCrop>false</ScaleCrop>
  <Company/>
  <LinksUpToDate>false</LinksUpToDate>
  <CharactersWithSpaces>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Teng Ma</dc:creator>
  <cp:keywords/>
  <dc:description/>
  <cp:lastModifiedBy>Teng Ma</cp:lastModifiedBy>
  <cp:revision>2</cp:revision>
  <dcterms:created xsi:type="dcterms:W3CDTF">2024-08-09T10:33:00Z</dcterms:created>
  <dcterms:modified xsi:type="dcterms:W3CDTF">2024-08-09T10:33:00Z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e92a512029ec11ef8000050500000405">
    <vt:lpwstr>CWMSO678/eizLk0pAbTdQng32oYSk5m5STNhuj5P80raeWEhRSnRXP5TmIEcJomcWrQYsHtZ67jxnniFQaKUQEXHQ==</vt:lpwstr>
  </property>
</Properties>
</file>