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5482ED71" w:rsidR="00B33C38" w:rsidRPr="001844AE" w:rsidRDefault="00B33C38" w:rsidP="00B33C38">
      <w:pPr>
        <w:widowControl w:val="0"/>
        <w:tabs>
          <w:tab w:val="right" w:pos="8280"/>
          <w:tab w:val="right" w:pos="9639"/>
        </w:tabs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</w:t>
      </w:r>
      <w:r w:rsidR="0069269B">
        <w:rPr>
          <w:rFonts w:ascii="Arial" w:eastAsia="SimSun" w:hAnsi="Arial" w:cs="Arial"/>
          <w:b/>
          <w:noProof/>
          <w:sz w:val="24"/>
          <w:lang w:val="en-US"/>
        </w:rPr>
        <w:t>1</w:t>
      </w:r>
      <w:r w:rsidR="00B54F9D">
        <w:rPr>
          <w:rFonts w:ascii="Arial" w:eastAsia="SimSun" w:hAnsi="Arial" w:cs="Arial"/>
          <w:b/>
          <w:noProof/>
          <w:sz w:val="24"/>
          <w:lang w:val="en-US"/>
        </w:rPr>
        <w:t>6</w:t>
      </w:r>
      <w:r w:rsidR="00A00DF1">
        <w:rPr>
          <w:rFonts w:ascii="Arial" w:eastAsia="SimSun" w:hAnsi="Arial" w:cs="Arial"/>
          <w:b/>
          <w:noProof/>
          <w:sz w:val="24"/>
          <w:lang w:val="en-US"/>
        </w:rPr>
        <w:t>b</w:t>
      </w:r>
      <w:r w:rsidR="00B54F9D">
        <w:rPr>
          <w:rFonts w:ascii="Arial" w:eastAsia="SimSun" w:hAnsi="Arial" w:cs="Arial"/>
          <w:b/>
          <w:noProof/>
          <w:sz w:val="24"/>
          <w:lang w:val="en-US"/>
        </w:rPr>
        <w:t>is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="00F15124" w:rsidRPr="00F15124">
        <w:rPr>
          <w:rFonts w:ascii="Arial" w:eastAsia="SimSun" w:hAnsi="Arial" w:cs="Arial"/>
          <w:b/>
          <w:sz w:val="24"/>
          <w:lang w:val="en-US"/>
        </w:rPr>
        <w:t>R1-</w:t>
      </w:r>
      <w:r w:rsidR="0032432B" w:rsidRPr="00F15124">
        <w:rPr>
          <w:rFonts w:ascii="Arial" w:eastAsia="SimSun" w:hAnsi="Arial" w:cs="Arial"/>
          <w:b/>
          <w:sz w:val="24"/>
          <w:lang w:val="en-US"/>
        </w:rPr>
        <w:t>2</w:t>
      </w:r>
      <w:r w:rsidR="00B54F9D">
        <w:rPr>
          <w:rFonts w:ascii="Arial" w:eastAsia="SimSun" w:hAnsi="Arial" w:cs="Arial"/>
          <w:b/>
          <w:sz w:val="24"/>
          <w:lang w:val="en-US"/>
        </w:rPr>
        <w:t>4</w:t>
      </w:r>
      <w:r w:rsidR="004D421E">
        <w:rPr>
          <w:rFonts w:ascii="Arial" w:eastAsia="SimSun" w:hAnsi="Arial" w:cs="Arial"/>
          <w:b/>
          <w:sz w:val="24"/>
          <w:lang w:val="en-US"/>
        </w:rPr>
        <w:t>03046</w:t>
      </w:r>
    </w:p>
    <w:p w14:paraId="798DBA36" w14:textId="19DE92D8" w:rsidR="00B33C38" w:rsidRPr="001844AE" w:rsidRDefault="00311700" w:rsidP="00B33C38">
      <w:pPr>
        <w:tabs>
          <w:tab w:val="left" w:pos="1985"/>
        </w:tabs>
        <w:ind w:left="2014" w:hangingChars="823" w:hanging="2014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lang w:eastAsia="zh-CN"/>
        </w:rPr>
        <w:t xml:space="preserve">Changsha, China, </w:t>
      </w:r>
      <w:r w:rsidR="00B54F9D">
        <w:rPr>
          <w:rFonts w:ascii="Arial" w:eastAsia="SimSun" w:hAnsi="Arial"/>
          <w:b/>
          <w:sz w:val="24"/>
          <w:lang w:eastAsia="zh-CN"/>
        </w:rPr>
        <w:t>April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 w:rsidR="00A00DF1">
        <w:rPr>
          <w:rFonts w:ascii="Arial" w:eastAsia="SimSun" w:hAnsi="Arial"/>
          <w:b/>
          <w:sz w:val="24"/>
          <w:lang w:eastAsia="zh-CN"/>
        </w:rPr>
        <w:t>1</w:t>
      </w:r>
      <w:r w:rsidR="00B54F9D">
        <w:rPr>
          <w:rFonts w:ascii="Arial" w:eastAsia="SimSun" w:hAnsi="Arial"/>
          <w:b/>
          <w:sz w:val="24"/>
          <w:lang w:eastAsia="zh-CN"/>
        </w:rPr>
        <w:t>5</w:t>
      </w:r>
      <w:r w:rsidR="00A00DF1" w:rsidRPr="00A00DF1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69269B">
        <w:rPr>
          <w:rFonts w:ascii="Arial" w:eastAsia="SimSun" w:hAnsi="Arial"/>
          <w:b/>
          <w:sz w:val="24"/>
          <w:lang w:eastAsia="zh-CN"/>
        </w:rPr>
        <w:t xml:space="preserve"> 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– </w:t>
      </w:r>
      <w:r w:rsidR="00A00DF1">
        <w:rPr>
          <w:rFonts w:ascii="Arial" w:eastAsia="SimSun" w:hAnsi="Arial"/>
          <w:b/>
          <w:sz w:val="24"/>
          <w:lang w:eastAsia="zh-CN"/>
        </w:rPr>
        <w:t>19</w:t>
      </w:r>
      <w:r w:rsidR="00B33C38"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B33C38" w:rsidRPr="001844AE">
        <w:rPr>
          <w:rFonts w:ascii="Arial" w:eastAsia="SimSun" w:hAnsi="Arial"/>
          <w:b/>
          <w:sz w:val="24"/>
          <w:lang w:eastAsia="zh-CN"/>
        </w:rPr>
        <w:t>, 202</w:t>
      </w:r>
      <w:r w:rsidR="00B54F9D">
        <w:rPr>
          <w:rFonts w:ascii="Arial" w:eastAsia="SimSun" w:hAnsi="Arial"/>
          <w:b/>
          <w:sz w:val="24"/>
          <w:lang w:eastAsia="zh-CN"/>
        </w:rPr>
        <w:t>4</w:t>
      </w:r>
    </w:p>
    <w:p w14:paraId="4D2D9FC7" w14:textId="77777777" w:rsidR="00B33C38" w:rsidRPr="00663CED" w:rsidRDefault="00B33C38" w:rsidP="00B33C38">
      <w:pPr>
        <w:tabs>
          <w:tab w:val="left" w:pos="1985"/>
        </w:tabs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20C02A8A" w:rsidR="00B33C38" w:rsidRPr="00663CED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</w:t>
      </w:r>
      <w:r w:rsidR="00CB67DE">
        <w:rPr>
          <w:rFonts w:ascii="Times New Roman" w:hAnsi="Times New Roman"/>
          <w:b/>
          <w:sz w:val="24"/>
        </w:rPr>
        <w:t>3</w:t>
      </w:r>
      <w:r w:rsidR="00F15124">
        <w:rPr>
          <w:rFonts w:ascii="Times New Roman" w:hAnsi="Times New Roman"/>
          <w:b/>
          <w:sz w:val="24"/>
        </w:rPr>
        <w:t>.</w:t>
      </w:r>
      <w:r w:rsidR="00B54F9D">
        <w:rPr>
          <w:rFonts w:ascii="Times New Roman" w:hAnsi="Times New Roman"/>
          <w:b/>
          <w:sz w:val="24"/>
        </w:rPr>
        <w:t>3</w:t>
      </w:r>
    </w:p>
    <w:p w14:paraId="39E45F47" w14:textId="0B5DB9F2" w:rsidR="00B33C38" w:rsidRPr="00663CED" w:rsidRDefault="00B33C38" w:rsidP="00B33C38">
      <w:pPr>
        <w:tabs>
          <w:tab w:val="left" w:pos="1985"/>
        </w:tabs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Pr="00663CED">
        <w:rPr>
          <w:rFonts w:ascii="Times New Roman" w:hAnsi="Times New Roman"/>
          <w:b/>
          <w:sz w:val="24"/>
        </w:rPr>
        <w:tab/>
        <w:t>Charter Communications</w:t>
      </w:r>
      <w:r w:rsidR="00025940">
        <w:rPr>
          <w:rFonts w:ascii="Times New Roman" w:hAnsi="Times New Roman"/>
          <w:b/>
          <w:sz w:val="24"/>
        </w:rPr>
        <w:t xml:space="preserve">, </w:t>
      </w:r>
      <w:proofErr w:type="spellStart"/>
      <w:r w:rsidR="00025940">
        <w:rPr>
          <w:rFonts w:ascii="Times New Roman" w:hAnsi="Times New Roman"/>
          <w:b/>
          <w:sz w:val="24"/>
        </w:rPr>
        <w:t>CableLabs</w:t>
      </w:r>
      <w:proofErr w:type="spellEnd"/>
    </w:p>
    <w:p w14:paraId="4521ACAB" w14:textId="38706597" w:rsidR="00F15124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B34C3D">
        <w:rPr>
          <w:rFonts w:ascii="Times New Roman" w:hAnsi="Times New Roman"/>
          <w:b/>
          <w:sz w:val="24"/>
        </w:rPr>
        <w:t>C</w:t>
      </w:r>
      <w:r w:rsidR="00E765ED">
        <w:rPr>
          <w:rFonts w:ascii="Times New Roman" w:hAnsi="Times New Roman"/>
          <w:b/>
          <w:sz w:val="24"/>
        </w:rPr>
        <w:t>onsiderations</w:t>
      </w:r>
      <w:r w:rsidR="00B34C3D">
        <w:rPr>
          <w:rFonts w:ascii="Times New Roman" w:hAnsi="Times New Roman"/>
          <w:b/>
          <w:sz w:val="24"/>
        </w:rPr>
        <w:t xml:space="preserve"> and Recommendations </w:t>
      </w:r>
      <w:r w:rsidR="00D63A7C">
        <w:rPr>
          <w:rFonts w:ascii="Times New Roman" w:hAnsi="Times New Roman"/>
          <w:b/>
          <w:sz w:val="24"/>
        </w:rPr>
        <w:t xml:space="preserve">for </w:t>
      </w:r>
      <w:r w:rsidR="00B54F9D">
        <w:rPr>
          <w:rFonts w:ascii="Times New Roman" w:hAnsi="Times New Roman"/>
          <w:b/>
          <w:sz w:val="24"/>
        </w:rPr>
        <w:t>CLI mitigation</w:t>
      </w:r>
      <w:r w:rsidR="00B34C3D">
        <w:rPr>
          <w:rFonts w:ascii="Times New Roman" w:hAnsi="Times New Roman"/>
          <w:b/>
          <w:sz w:val="24"/>
        </w:rPr>
        <w:t xml:space="preserve"> </w:t>
      </w:r>
      <w:r w:rsidR="00B54F9D">
        <w:rPr>
          <w:rFonts w:ascii="Times New Roman" w:hAnsi="Times New Roman"/>
          <w:b/>
          <w:sz w:val="24"/>
        </w:rPr>
        <w:t>for</w:t>
      </w:r>
      <w:r w:rsidR="00B34C3D">
        <w:rPr>
          <w:rFonts w:ascii="Times New Roman" w:hAnsi="Times New Roman"/>
          <w:b/>
          <w:sz w:val="24"/>
        </w:rPr>
        <w:t xml:space="preserve"> </w:t>
      </w:r>
      <w:proofErr w:type="spellStart"/>
      <w:r w:rsidR="00B54F9D">
        <w:rPr>
          <w:rFonts w:ascii="Times New Roman" w:hAnsi="Times New Roman"/>
          <w:b/>
          <w:sz w:val="24"/>
        </w:rPr>
        <w:t>Subband</w:t>
      </w:r>
      <w:proofErr w:type="spellEnd"/>
      <w:r w:rsidR="00B54F9D">
        <w:rPr>
          <w:rFonts w:ascii="Times New Roman" w:hAnsi="Times New Roman"/>
          <w:b/>
          <w:sz w:val="24"/>
        </w:rPr>
        <w:t xml:space="preserve"> Full</w:t>
      </w:r>
      <w:r w:rsidR="00D63A7C">
        <w:rPr>
          <w:rFonts w:ascii="Times New Roman" w:hAnsi="Times New Roman"/>
          <w:b/>
          <w:sz w:val="24"/>
        </w:rPr>
        <w:t xml:space="preserve"> Duplex</w:t>
      </w:r>
    </w:p>
    <w:p w14:paraId="604B05E6" w14:textId="0BD7B937" w:rsidR="00B33C38" w:rsidRPr="00663CED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  <w:r w:rsidR="0069269B">
        <w:rPr>
          <w:rFonts w:ascii="Times New Roman" w:hAnsi="Times New Roman"/>
          <w:b/>
          <w:sz w:val="24"/>
        </w:rPr>
        <w:t>/Decision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Default="00B33C38" w:rsidP="00B33C38">
      <w:pPr>
        <w:pStyle w:val="Heading1"/>
        <w:ind w:left="360"/>
        <w:rPr>
          <w:rFonts w:ascii="Times New Roman" w:hAnsi="Times New Roman" w:cs="Times New Roman"/>
        </w:rPr>
      </w:pPr>
      <w:r w:rsidRPr="00663CED">
        <w:rPr>
          <w:rFonts w:ascii="Times New Roman" w:hAnsi="Times New Roman" w:cs="Times New Roman"/>
        </w:rPr>
        <w:t>Introduction</w:t>
      </w:r>
    </w:p>
    <w:p w14:paraId="5D428803" w14:textId="4D0BC87E" w:rsidR="00B54F9D" w:rsidRDefault="00B54F9D" w:rsidP="00B54F9D">
      <w:r>
        <w:t>In the recent</w:t>
      </w:r>
      <w:r w:rsidR="00327078">
        <w:t>ly</w:t>
      </w:r>
      <w:r>
        <w:t xml:space="preserve"> concluded RAN#103 the WID was revised </w:t>
      </w:r>
      <w:r w:rsidR="00E31921">
        <w:t xml:space="preserve">[1] </w:t>
      </w:r>
      <w:r>
        <w:t>to broaden the CLI mitigation techniques to include adjacent channel CLI mitigation too.</w:t>
      </w:r>
    </w:p>
    <w:p w14:paraId="74B6365D" w14:textId="77777777" w:rsidR="00B54F9D" w:rsidRDefault="00B54F9D" w:rsidP="00B54F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4F9D" w14:paraId="0848CEF5" w14:textId="77777777" w:rsidTr="006B23B8">
        <w:tc>
          <w:tcPr>
            <w:tcW w:w="9350" w:type="dxa"/>
          </w:tcPr>
          <w:p w14:paraId="74A92ACA" w14:textId="77777777" w:rsidR="00E31921" w:rsidRPr="003E0D9F" w:rsidRDefault="00E31921" w:rsidP="00E3192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>Specify enhancements for CLI handling [RAN1, RAN2, RAN3]:</w:t>
            </w:r>
          </w:p>
          <w:p w14:paraId="18DB729C" w14:textId="77777777" w:rsidR="00E31921" w:rsidRPr="003E0D9F" w:rsidRDefault="00E31921" w:rsidP="00E31921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Support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>-to-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CLI handling scheme(s) (the detailed schemes are to be down-selected from those in TR38.858 by RAN1#117)</w:t>
            </w:r>
          </w:p>
          <w:p w14:paraId="35C87B73" w14:textId="77777777" w:rsidR="00E31921" w:rsidRPr="003E0D9F" w:rsidRDefault="00E31921" w:rsidP="00E31921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Support UE-to-UE CLI handling scheme(s) (the detailed schemes are to be down-selected from those in TR38.858 by RAN1#117) </w:t>
            </w:r>
          </w:p>
          <w:p w14:paraId="6734CE21" w14:textId="77777777" w:rsidR="00E31921" w:rsidRPr="003E0D9F" w:rsidRDefault="00E31921" w:rsidP="00E31921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Note: Without dedicated optimization for dynamic/flexible TDD. </w:t>
            </w:r>
          </w:p>
          <w:p w14:paraId="6FD4C2A5" w14:textId="77777777" w:rsidR="00E31921" w:rsidRPr="003E0D9F" w:rsidRDefault="00E31921" w:rsidP="00E3192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3E0D9F">
              <w:rPr>
                <w:rFonts w:eastAsia="Malgun Gothic"/>
                <w:lang w:val="en-US"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val="en-US" w:eastAsia="ko-KR"/>
              </w:rPr>
              <w:t>gNB</w:t>
            </w:r>
            <w:proofErr w:type="spellEnd"/>
            <w:r w:rsidRPr="003E0D9F">
              <w:rPr>
                <w:rFonts w:eastAsia="Malgun Gothic"/>
                <w:lang w:val="en-US" w:eastAsia="ko-KR"/>
              </w:rPr>
              <w:t xml:space="preserve"> [RAN4]</w:t>
            </w:r>
          </w:p>
          <w:p w14:paraId="503C1B0B" w14:textId="77777777" w:rsidR="00E31921" w:rsidRPr="00090C79" w:rsidRDefault="00E31921" w:rsidP="00E3192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applicable RRM core requirements for CLI handling mechanisms [RAN4]</w:t>
            </w:r>
          </w:p>
          <w:p w14:paraId="2CE64C70" w14:textId="77777777" w:rsidR="00E31921" w:rsidRPr="00090C79" w:rsidRDefault="00E31921" w:rsidP="00E3192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other RRM core requirements for SBFD operation, if identified [RAN4]</w:t>
            </w:r>
          </w:p>
          <w:p w14:paraId="7C69F77F" w14:textId="565D3C2D" w:rsidR="00B54F9D" w:rsidRPr="00E31921" w:rsidRDefault="00E31921" w:rsidP="00E31921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bCs/>
                <w:lang w:val="en-US"/>
              </w:rPr>
            </w:pPr>
            <w:r>
              <w:rPr>
                <w:rFonts w:eastAsia="Malgun Gothic"/>
                <w:lang w:val="en-US" w:eastAsia="ko-KR"/>
              </w:rPr>
              <w:t>N</w:t>
            </w:r>
            <w:r w:rsidRPr="003E0D9F">
              <w:rPr>
                <w:rFonts w:eastAsia="Malgun Gothic"/>
                <w:lang w:val="en-US" w:eastAsia="ko-KR"/>
              </w:rPr>
              <w:t xml:space="preserve">ote: </w:t>
            </w:r>
            <w:r>
              <w:rPr>
                <w:rFonts w:eastAsia="Malgun Gothic"/>
                <w:lang w:val="en-US" w:eastAsia="ko-KR"/>
              </w:rPr>
              <w:t xml:space="preserve">RAN3 will not specify enhancements to network </w:t>
            </w:r>
            <w:r w:rsidR="00A91A13">
              <w:rPr>
                <w:rFonts w:eastAsia="Malgun Gothic"/>
                <w:lang w:val="en-US" w:eastAsia="ko-KR"/>
              </w:rPr>
              <w:t>signaling</w:t>
            </w:r>
            <w:r>
              <w:rPr>
                <w:rFonts w:eastAsia="Malgun Gothic"/>
                <w:lang w:val="en-US" w:eastAsia="ko-KR"/>
              </w:rPr>
              <w:t xml:space="preserve"> to support inter-operator coordination for CLI handling </w:t>
            </w:r>
          </w:p>
        </w:tc>
      </w:tr>
    </w:tbl>
    <w:p w14:paraId="44C11310" w14:textId="77777777" w:rsidR="00B54F9D" w:rsidRDefault="00B54F9D" w:rsidP="00B54F9D"/>
    <w:p w14:paraId="06919A0D" w14:textId="71060CA6" w:rsidR="00B54F9D" w:rsidRPr="00B54F9D" w:rsidRDefault="00E31921" w:rsidP="00B54F9D">
      <w:r>
        <w:t xml:space="preserve">In RAN1#116 following agreements were reached for CLI mitigation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1E7915BB" w14:textId="77777777" w:rsidR="00E31921" w:rsidRPr="00691F11" w:rsidRDefault="00E31921" w:rsidP="00E31921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691F11">
              <w:rPr>
                <w:rFonts w:ascii="Times New Roman" w:hAnsi="Times New Roman"/>
                <w:b/>
                <w:bCs/>
                <w:szCs w:val="20"/>
              </w:rPr>
              <w:t>Conclusion</w:t>
            </w:r>
          </w:p>
          <w:p w14:paraId="2643619B" w14:textId="77777777" w:rsidR="00E31921" w:rsidRPr="00691F11" w:rsidRDefault="00E31921" w:rsidP="00E31921">
            <w:pPr>
              <w:rPr>
                <w:rFonts w:ascii="Times New Roman" w:hAnsi="Times New Roman"/>
                <w:szCs w:val="20"/>
              </w:rPr>
            </w:pPr>
            <w:r w:rsidRPr="00691F11">
              <w:rPr>
                <w:rFonts w:ascii="Times New Roman" w:hAnsi="Times New Roman"/>
                <w:szCs w:val="20"/>
              </w:rPr>
              <w:t xml:space="preserve">For the down-selection of </w:t>
            </w:r>
            <w:proofErr w:type="spellStart"/>
            <w:r w:rsidRPr="00691F11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</w:rPr>
              <w:t>-to-</w:t>
            </w:r>
            <w:proofErr w:type="spellStart"/>
            <w:r w:rsidRPr="00691F11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</w:rPr>
              <w:t xml:space="preserve"> co-channel CLI handling schemes and UE-to-UE co-channel CLI handling schemes, at least the following aspects should be considered:</w:t>
            </w:r>
          </w:p>
          <w:p w14:paraId="02043368" w14:textId="77777777" w:rsidR="00E31921" w:rsidRPr="00691F11" w:rsidRDefault="00E31921" w:rsidP="00E31921">
            <w:pPr>
              <w:widowControl w:val="0"/>
              <w:numPr>
                <w:ilvl w:val="0"/>
                <w:numId w:val="24"/>
              </w:numPr>
              <w:suppressAutoHyphens/>
              <w:overflowPunct/>
              <w:autoSpaceDE/>
              <w:autoSpaceDN/>
              <w:adjustRightInd/>
              <w:snapToGrid w:val="0"/>
              <w:spacing w:line="60" w:lineRule="atLeast"/>
              <w:jc w:val="both"/>
              <w:textAlignment w:val="auto"/>
              <w:rPr>
                <w:rFonts w:ascii="Times New Roman" w:hAnsi="Times New Roman"/>
                <w:szCs w:val="20"/>
                <w:lang w:eastAsia="x-none"/>
              </w:rPr>
            </w:pPr>
            <w:r w:rsidRPr="00691F11">
              <w:rPr>
                <w:rFonts w:ascii="Times New Roman" w:hAnsi="Times New Roman"/>
                <w:szCs w:val="20"/>
                <w:lang w:eastAsia="x-none"/>
              </w:rPr>
              <w:t xml:space="preserve">Applicable scenario, performance benefits </w:t>
            </w:r>
            <w:r w:rsidRPr="00691F11">
              <w:rPr>
                <w:rFonts w:ascii="Times New Roman" w:eastAsia="Times New Roman" w:hAnsi="Times New Roman"/>
                <w:szCs w:val="20"/>
                <w:lang w:eastAsia="x-none"/>
              </w:rPr>
              <w:t>based on analysis</w:t>
            </w:r>
            <w:r w:rsidRPr="00691F11">
              <w:rPr>
                <w:rFonts w:ascii="Times New Roman" w:hAnsi="Times New Roman"/>
                <w:szCs w:val="20"/>
                <w:lang w:eastAsia="x-none"/>
              </w:rPr>
              <w:t xml:space="preserve"> and/or demonstrated by evaluations for SBFD</w:t>
            </w:r>
          </w:p>
          <w:p w14:paraId="7634C3D1" w14:textId="77777777" w:rsidR="00E31921" w:rsidRPr="00691F11" w:rsidRDefault="00E31921" w:rsidP="00E31921">
            <w:pPr>
              <w:widowControl w:val="0"/>
              <w:numPr>
                <w:ilvl w:val="1"/>
                <w:numId w:val="24"/>
              </w:numPr>
              <w:suppressAutoHyphens/>
              <w:overflowPunct/>
              <w:autoSpaceDE/>
              <w:autoSpaceDN/>
              <w:adjustRightInd/>
              <w:snapToGrid w:val="0"/>
              <w:spacing w:line="60" w:lineRule="atLeast"/>
              <w:jc w:val="both"/>
              <w:textAlignment w:val="auto"/>
              <w:rPr>
                <w:rFonts w:ascii="Times New Roman" w:hAnsi="Times New Roman"/>
                <w:szCs w:val="20"/>
                <w:lang w:eastAsia="x-none"/>
              </w:rPr>
            </w:pPr>
            <w:r w:rsidRPr="00691F11">
              <w:rPr>
                <w:rFonts w:ascii="Times New Roman" w:hAnsi="Times New Roman"/>
                <w:szCs w:val="20"/>
                <w:lang w:eastAsia="x-none"/>
              </w:rPr>
              <w:t>Note: Companies are encouraged to provide more simulation results for SBFD to RAN1#116bis based on the simulation assumptions agreed during the SI.</w:t>
            </w:r>
          </w:p>
          <w:p w14:paraId="61491B1E" w14:textId="77777777" w:rsidR="00E31921" w:rsidRPr="00691F11" w:rsidRDefault="00E31921" w:rsidP="00E31921">
            <w:pPr>
              <w:widowControl w:val="0"/>
              <w:numPr>
                <w:ilvl w:val="0"/>
                <w:numId w:val="24"/>
              </w:numPr>
              <w:suppressAutoHyphens/>
              <w:overflowPunct/>
              <w:autoSpaceDE/>
              <w:autoSpaceDN/>
              <w:adjustRightInd/>
              <w:snapToGrid w:val="0"/>
              <w:spacing w:line="60" w:lineRule="atLeast"/>
              <w:jc w:val="both"/>
              <w:textAlignment w:val="auto"/>
              <w:rPr>
                <w:rFonts w:ascii="Times New Roman" w:hAnsi="Times New Roman"/>
                <w:szCs w:val="20"/>
                <w:lang w:eastAsia="x-none"/>
              </w:rPr>
            </w:pPr>
            <w:r w:rsidRPr="00691F11">
              <w:rPr>
                <w:rFonts w:ascii="Times New Roman" w:hAnsi="Times New Roman"/>
                <w:szCs w:val="20"/>
                <w:lang w:eastAsia="x-none"/>
              </w:rPr>
              <w:t>Specification impact in RAN1 and RAN3.</w:t>
            </w:r>
          </w:p>
          <w:p w14:paraId="4CA237C6" w14:textId="77777777" w:rsidR="00E31921" w:rsidRPr="00691F11" w:rsidRDefault="00E31921" w:rsidP="00E31921">
            <w:pPr>
              <w:widowControl w:val="0"/>
              <w:numPr>
                <w:ilvl w:val="0"/>
                <w:numId w:val="24"/>
              </w:numPr>
              <w:suppressAutoHyphens/>
              <w:overflowPunct/>
              <w:autoSpaceDE/>
              <w:autoSpaceDN/>
              <w:adjustRightInd/>
              <w:snapToGrid w:val="0"/>
              <w:spacing w:line="60" w:lineRule="atLeast"/>
              <w:jc w:val="both"/>
              <w:textAlignment w:val="auto"/>
              <w:rPr>
                <w:rFonts w:ascii="Times New Roman" w:hAnsi="Times New Roman"/>
                <w:szCs w:val="20"/>
                <w:lang w:eastAsia="x-none"/>
              </w:rPr>
            </w:pPr>
            <w:proofErr w:type="spellStart"/>
            <w:r w:rsidRPr="00691F11">
              <w:rPr>
                <w:rFonts w:ascii="Times New Roman" w:hAnsi="Times New Roman"/>
                <w:szCs w:val="20"/>
                <w:lang w:eastAsia="x-none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  <w:lang w:eastAsia="x-none"/>
              </w:rPr>
              <w:t>/UE implementation complexity.</w:t>
            </w:r>
          </w:p>
          <w:p w14:paraId="064273A9" w14:textId="77777777" w:rsidR="00E31921" w:rsidRPr="00691F11" w:rsidRDefault="00E31921" w:rsidP="00E31921">
            <w:pPr>
              <w:widowControl w:val="0"/>
              <w:numPr>
                <w:ilvl w:val="0"/>
                <w:numId w:val="24"/>
              </w:numPr>
              <w:suppressAutoHyphens/>
              <w:overflowPunct/>
              <w:autoSpaceDE/>
              <w:autoSpaceDN/>
              <w:adjustRightInd/>
              <w:snapToGrid w:val="0"/>
              <w:spacing w:line="60" w:lineRule="atLeast"/>
              <w:jc w:val="both"/>
              <w:textAlignment w:val="auto"/>
              <w:rPr>
                <w:rFonts w:ascii="Times New Roman" w:hAnsi="Times New Roman"/>
                <w:szCs w:val="20"/>
                <w:lang w:eastAsia="x-none"/>
              </w:rPr>
            </w:pPr>
            <w:r w:rsidRPr="00691F11">
              <w:rPr>
                <w:rFonts w:ascii="Times New Roman" w:hAnsi="Times New Roman"/>
                <w:szCs w:val="20"/>
                <w:lang w:eastAsia="x-none"/>
              </w:rPr>
              <w:t>Operational details of the scheme including feasibility and practicability.</w:t>
            </w:r>
          </w:p>
          <w:p w14:paraId="3E5BCDDF" w14:textId="77777777" w:rsidR="00E31921" w:rsidRPr="00691F11" w:rsidRDefault="00E31921" w:rsidP="00E31921">
            <w:pPr>
              <w:rPr>
                <w:rFonts w:ascii="Times New Roman" w:hAnsi="Times New Roman"/>
                <w:iCs/>
                <w:szCs w:val="20"/>
                <w:lang w:val="en-US"/>
              </w:rPr>
            </w:pPr>
          </w:p>
          <w:p w14:paraId="62F5B5AF" w14:textId="77777777" w:rsidR="00E31921" w:rsidRPr="00691F11" w:rsidRDefault="00E31921" w:rsidP="00E31921">
            <w:pPr>
              <w:rPr>
                <w:rFonts w:ascii="Times New Roman" w:eastAsia="SimSun" w:hAnsi="Times New Roman"/>
                <w:szCs w:val="20"/>
                <w:highlight w:val="green"/>
              </w:rPr>
            </w:pPr>
            <w:r>
              <w:rPr>
                <w:rFonts w:ascii="Times New Roman" w:eastAsia="SimSun" w:hAnsi="Times New Roman"/>
                <w:szCs w:val="20"/>
                <w:highlight w:val="green"/>
              </w:rPr>
              <w:t>A</w:t>
            </w:r>
            <w:r w:rsidRPr="00691F11">
              <w:rPr>
                <w:rFonts w:ascii="Times New Roman" w:eastAsia="SimSun" w:hAnsi="Times New Roman"/>
                <w:szCs w:val="20"/>
                <w:highlight w:val="green"/>
              </w:rPr>
              <w:t>greement</w:t>
            </w:r>
          </w:p>
          <w:p w14:paraId="0747D3F8" w14:textId="77777777" w:rsidR="00E31921" w:rsidRPr="00691F11" w:rsidRDefault="00E31921" w:rsidP="00E31921">
            <w:pPr>
              <w:rPr>
                <w:rFonts w:ascii="Times New Roman" w:eastAsia="SimSun" w:hAnsi="Times New Roman"/>
                <w:szCs w:val="20"/>
              </w:rPr>
            </w:pPr>
            <w:r w:rsidRPr="00691F11">
              <w:rPr>
                <w:rFonts w:ascii="Times New Roman" w:eastAsia="SimSun" w:hAnsi="Times New Roman"/>
                <w:szCs w:val="20"/>
              </w:rPr>
              <w:t xml:space="preserve">Consider the following candidate </w:t>
            </w:r>
            <w:proofErr w:type="spellStart"/>
            <w:r w:rsidRPr="00691F11"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</w:rPr>
              <w:t>-to-</w:t>
            </w:r>
            <w:proofErr w:type="spellStart"/>
            <w:r w:rsidRPr="00691F11"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</w:rPr>
              <w:t xml:space="preserve"> co-channel CLI handling schemes for further down-selection</w:t>
            </w:r>
          </w:p>
          <w:p w14:paraId="699B78F4" w14:textId="77777777" w:rsidR="00E31921" w:rsidRPr="00691F11" w:rsidRDefault="00E31921" w:rsidP="00E31921">
            <w:pPr>
              <w:widowControl w:val="0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proofErr w:type="spellStart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-to-</w:t>
            </w:r>
            <w:proofErr w:type="spellStart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 xml:space="preserve"> co-channel CLI and/or channel measurements</w:t>
            </w:r>
          </w:p>
          <w:p w14:paraId="0C7C1AC3" w14:textId="51DA7F63" w:rsidR="00E31921" w:rsidRPr="00691F11" w:rsidRDefault="00E31921" w:rsidP="00E31921">
            <w:pPr>
              <w:widowControl w:val="0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Spatial</w:t>
            </w:r>
            <w:r w:rsidR="00A91A13">
              <w:rPr>
                <w:rFonts w:ascii="Times New Roman" w:eastAsia="SimSun" w:hAnsi="Times New Roman"/>
                <w:szCs w:val="20"/>
                <w:lang w:eastAsia="x-none"/>
              </w:rPr>
              <w:t>-</w:t>
            </w:r>
            <w:r w:rsidR="00A91A13" w:rsidRPr="00691F11">
              <w:rPr>
                <w:rFonts w:ascii="Times New Roman" w:eastAsia="SimSun" w:hAnsi="Times New Roman"/>
                <w:szCs w:val="20"/>
                <w:lang w:eastAsia="x-none"/>
              </w:rPr>
              <w:t>domain-based</w:t>
            </w: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 xml:space="preserve"> schemes</w:t>
            </w: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ab/>
            </w:r>
          </w:p>
          <w:p w14:paraId="101B5075" w14:textId="4655C82A" w:rsidR="00E31921" w:rsidRPr="00691F11" w:rsidRDefault="00E31921" w:rsidP="00E31921">
            <w:pPr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 xml:space="preserve">Beam </w:t>
            </w:r>
            <w:r w:rsidR="00A91A13" w:rsidRPr="00691F11">
              <w:rPr>
                <w:rFonts w:ascii="Times New Roman" w:eastAsia="SimSun" w:hAnsi="Times New Roman"/>
                <w:szCs w:val="20"/>
                <w:lang w:eastAsia="x-none"/>
              </w:rPr>
              <w:t>nulling.</w:t>
            </w:r>
          </w:p>
          <w:p w14:paraId="02EA5307" w14:textId="63ECCCDF" w:rsidR="00E31921" w:rsidRPr="00691F11" w:rsidRDefault="00E31921" w:rsidP="00E31921">
            <w:pPr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 xml:space="preserve">Beam </w:t>
            </w:r>
            <w:r w:rsidR="00A91A13" w:rsidRPr="00691F11">
              <w:rPr>
                <w:rFonts w:ascii="Times New Roman" w:eastAsia="SimSun" w:hAnsi="Times New Roman"/>
                <w:szCs w:val="20"/>
                <w:lang w:eastAsia="x-none"/>
              </w:rPr>
              <w:t>pairing.</w:t>
            </w:r>
          </w:p>
          <w:p w14:paraId="727FE1B2" w14:textId="77777777" w:rsidR="00E31921" w:rsidRPr="00691F11" w:rsidRDefault="00E31921" w:rsidP="00E31921">
            <w:pPr>
              <w:widowControl w:val="0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Coordinated scheduling in time and/or frequency</w:t>
            </w:r>
          </w:p>
          <w:p w14:paraId="2F0265AD" w14:textId="77777777" w:rsidR="00E31921" w:rsidRPr="00691F11" w:rsidRDefault="00E31921" w:rsidP="00E31921">
            <w:pPr>
              <w:widowControl w:val="0"/>
              <w:numPr>
                <w:ilvl w:val="0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lastRenderedPageBreak/>
              <w:t xml:space="preserve">Power control based </w:t>
            </w:r>
            <w:proofErr w:type="gramStart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schemes</w:t>
            </w:r>
            <w:proofErr w:type="gramEnd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ab/>
            </w:r>
          </w:p>
          <w:p w14:paraId="0A035992" w14:textId="77777777" w:rsidR="00E31921" w:rsidRPr="00691F11" w:rsidRDefault="00E31921" w:rsidP="00E31921">
            <w:pPr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proofErr w:type="spellStart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 xml:space="preserve"> Tx power control</w:t>
            </w:r>
          </w:p>
          <w:p w14:paraId="3D8FE099" w14:textId="77777777" w:rsidR="00E31921" w:rsidRPr="00691F11" w:rsidRDefault="00E31921" w:rsidP="00E31921">
            <w:pPr>
              <w:widowControl w:val="0"/>
              <w:numPr>
                <w:ilvl w:val="1"/>
                <w:numId w:val="25"/>
              </w:num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691F11">
              <w:rPr>
                <w:rFonts w:ascii="Times New Roman" w:eastAsia="SimSun" w:hAnsi="Times New Roman"/>
                <w:szCs w:val="20"/>
                <w:lang w:eastAsia="x-none"/>
              </w:rPr>
              <w:t>UE Tx power control</w:t>
            </w:r>
          </w:p>
          <w:p w14:paraId="53A82E04" w14:textId="77777777" w:rsidR="00E31921" w:rsidRPr="00691F11" w:rsidRDefault="00E31921" w:rsidP="00E31921">
            <w:pPr>
              <w:rPr>
                <w:rFonts w:ascii="Times New Roman" w:eastAsia="SimSun" w:hAnsi="Times New Roman"/>
                <w:szCs w:val="20"/>
              </w:rPr>
            </w:pPr>
            <w:r w:rsidRPr="00691F11">
              <w:rPr>
                <w:rFonts w:ascii="Times New Roman" w:eastAsia="SimSun" w:hAnsi="Times New Roman"/>
                <w:szCs w:val="20"/>
              </w:rPr>
              <w:t xml:space="preserve">Note: </w:t>
            </w:r>
            <w:proofErr w:type="spellStart"/>
            <w:r w:rsidRPr="00691F11"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</w:rPr>
              <w:t>-to-</w:t>
            </w:r>
            <w:proofErr w:type="spellStart"/>
            <w:r w:rsidRPr="00691F11"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eastAsia="SimSun" w:hAnsi="Times New Roman"/>
                <w:szCs w:val="20"/>
              </w:rPr>
              <w:t xml:space="preserve"> co-channel CLI and/or channel measurements can be the enablers for some of the above CLI handling schemes.</w:t>
            </w:r>
          </w:p>
          <w:p w14:paraId="75FA2086" w14:textId="77777777" w:rsidR="00E31921" w:rsidRPr="00691F11" w:rsidRDefault="00E31921" w:rsidP="00E31921">
            <w:pPr>
              <w:rPr>
                <w:rFonts w:ascii="Times New Roman" w:hAnsi="Times New Roman"/>
                <w:szCs w:val="20"/>
              </w:rPr>
            </w:pPr>
          </w:p>
          <w:p w14:paraId="17BEA30D" w14:textId="77777777" w:rsidR="00E31921" w:rsidRPr="00691F11" w:rsidRDefault="00E31921" w:rsidP="00E31921">
            <w:pPr>
              <w:rPr>
                <w:rFonts w:ascii="Times New Roman" w:eastAsia="SimSun" w:hAnsi="Times New Roman"/>
                <w:szCs w:val="20"/>
                <w:highlight w:val="green"/>
              </w:rPr>
            </w:pPr>
            <w:r>
              <w:rPr>
                <w:rFonts w:ascii="Times New Roman" w:eastAsia="SimSun" w:hAnsi="Times New Roman"/>
                <w:szCs w:val="20"/>
                <w:highlight w:val="green"/>
              </w:rPr>
              <w:t>A</w:t>
            </w:r>
            <w:r w:rsidRPr="00691F11">
              <w:rPr>
                <w:rFonts w:ascii="Times New Roman" w:eastAsia="SimSun" w:hAnsi="Times New Roman"/>
                <w:szCs w:val="20"/>
                <w:highlight w:val="green"/>
              </w:rPr>
              <w:t>greement</w:t>
            </w:r>
          </w:p>
          <w:p w14:paraId="0781F2A2" w14:textId="77777777" w:rsidR="00E31921" w:rsidRPr="00691F11" w:rsidRDefault="00E31921" w:rsidP="00E31921">
            <w:pPr>
              <w:rPr>
                <w:rFonts w:ascii="Times New Roman" w:eastAsia="SimSun" w:hAnsi="Times New Roman"/>
                <w:szCs w:val="20"/>
              </w:rPr>
            </w:pPr>
            <w:r w:rsidRPr="00691F11">
              <w:rPr>
                <w:rFonts w:ascii="Times New Roman" w:eastAsia="SimSun" w:hAnsi="Times New Roman"/>
                <w:szCs w:val="20"/>
              </w:rPr>
              <w:t>Consider the following candidate UE-to-UE co-channel CLI handling schemes for further down-selection</w:t>
            </w:r>
          </w:p>
          <w:p w14:paraId="1F45DA37" w14:textId="77777777" w:rsidR="00E31921" w:rsidRPr="00691F11" w:rsidRDefault="00E31921" w:rsidP="00E31921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691F11">
              <w:t>UE-to-UE co-channel CLI measurement and reporting</w:t>
            </w:r>
          </w:p>
          <w:p w14:paraId="55D12DA5" w14:textId="77777777" w:rsidR="00E31921" w:rsidRPr="00691F11" w:rsidRDefault="00E31921" w:rsidP="00E31921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691F11">
              <w:t>Coordinated scheduling in time and/or frequency</w:t>
            </w:r>
          </w:p>
          <w:p w14:paraId="54D0FF96" w14:textId="77777777" w:rsidR="00E31921" w:rsidRPr="00691F11" w:rsidRDefault="00E31921" w:rsidP="00E31921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691F11">
              <w:t xml:space="preserve">Spatial </w:t>
            </w:r>
            <w:proofErr w:type="gramStart"/>
            <w:r w:rsidRPr="00691F11">
              <w:t>domain based</w:t>
            </w:r>
            <w:proofErr w:type="gramEnd"/>
            <w:r w:rsidRPr="00691F11">
              <w:t xml:space="preserve"> schemes</w:t>
            </w:r>
          </w:p>
          <w:p w14:paraId="70EA05DD" w14:textId="77777777" w:rsidR="00E31921" w:rsidRPr="00691F11" w:rsidRDefault="00E31921" w:rsidP="00E31921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691F11">
              <w:t xml:space="preserve">Power control based </w:t>
            </w:r>
            <w:proofErr w:type="gramStart"/>
            <w:r w:rsidRPr="00691F11">
              <w:t>schemes</w:t>
            </w:r>
            <w:proofErr w:type="gramEnd"/>
          </w:p>
          <w:p w14:paraId="5CEFF076" w14:textId="77777777" w:rsidR="00E31921" w:rsidRPr="00691F11" w:rsidRDefault="00E31921" w:rsidP="00E31921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691F11">
              <w:t>Note: UE-to-UE co-channel CLI measurement and reporting can be the enablers for some of the above CLI handling schemes.</w:t>
            </w:r>
          </w:p>
          <w:p w14:paraId="7BE8BE66" w14:textId="77777777" w:rsidR="00E31921" w:rsidRPr="00691F11" w:rsidRDefault="00E31921" w:rsidP="00E31921">
            <w:pPr>
              <w:rPr>
                <w:rFonts w:ascii="Times New Roman" w:hAnsi="Times New Roman"/>
                <w:szCs w:val="20"/>
                <w:highlight w:val="green"/>
              </w:rPr>
            </w:pPr>
            <w:r w:rsidRPr="00691F11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14:paraId="2ADD3F99" w14:textId="77777777" w:rsidR="00E31921" w:rsidRPr="00691F11" w:rsidRDefault="00E31921" w:rsidP="00E31921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691F11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</w:rPr>
              <w:t xml:space="preserve"> Tx power </w:t>
            </w:r>
            <w:proofErr w:type="gramStart"/>
            <w:r w:rsidRPr="00691F11">
              <w:rPr>
                <w:rFonts w:ascii="Times New Roman" w:hAnsi="Times New Roman"/>
                <w:szCs w:val="20"/>
              </w:rPr>
              <w:t>control based</w:t>
            </w:r>
            <w:proofErr w:type="gramEnd"/>
            <w:r w:rsidRPr="00691F11">
              <w:rPr>
                <w:rFonts w:ascii="Times New Roman" w:hAnsi="Times New Roman"/>
                <w:szCs w:val="20"/>
              </w:rPr>
              <w:t xml:space="preserve"> schemes are not considered in the down-selection of </w:t>
            </w:r>
            <w:proofErr w:type="spellStart"/>
            <w:r w:rsidRPr="00691F11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</w:rPr>
              <w:t>-to-</w:t>
            </w:r>
            <w:proofErr w:type="spellStart"/>
            <w:r w:rsidRPr="00691F11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691F11">
              <w:rPr>
                <w:rFonts w:ascii="Times New Roman" w:hAnsi="Times New Roman"/>
                <w:szCs w:val="20"/>
              </w:rPr>
              <w:t xml:space="preserve"> co-channel CLI handling schemes.</w:t>
            </w:r>
          </w:p>
          <w:p w14:paraId="04DDA3AE" w14:textId="77777777" w:rsidR="00E31921" w:rsidRPr="00691F11" w:rsidRDefault="00E31921" w:rsidP="00E31921">
            <w:pPr>
              <w:rPr>
                <w:rFonts w:ascii="Times New Roman" w:hAnsi="Times New Roman"/>
                <w:iCs/>
                <w:szCs w:val="20"/>
              </w:rPr>
            </w:pPr>
          </w:p>
          <w:p w14:paraId="11DC3236" w14:textId="77777777" w:rsidR="00E31921" w:rsidRPr="00FF14EC" w:rsidRDefault="00E31921" w:rsidP="00E31921">
            <w:pPr>
              <w:rPr>
                <w:rFonts w:ascii="Times New Roman" w:hAnsi="Times New Roman"/>
                <w:bCs/>
                <w:highlight w:val="green"/>
              </w:rPr>
            </w:pPr>
            <w:r w:rsidRPr="00FF14EC">
              <w:rPr>
                <w:rFonts w:ascii="Times New Roman" w:hAnsi="Times New Roman"/>
                <w:bCs/>
                <w:highlight w:val="green"/>
              </w:rPr>
              <w:t>Agreement</w:t>
            </w:r>
          </w:p>
          <w:p w14:paraId="477EF40B" w14:textId="77777777" w:rsidR="00E31921" w:rsidRPr="00FF14EC" w:rsidRDefault="00E31921" w:rsidP="00E31921">
            <w:pPr>
              <w:tabs>
                <w:tab w:val="left" w:pos="0"/>
              </w:tabs>
              <w:contextualSpacing/>
              <w:rPr>
                <w:rFonts w:ascii="Times New Roman" w:hAnsi="Times New Roman"/>
              </w:rPr>
            </w:pPr>
            <w:r w:rsidRPr="00FF14EC">
              <w:rPr>
                <w:rFonts w:ascii="Times New Roman" w:eastAsia="SimSun" w:hAnsi="Times New Roman"/>
              </w:rPr>
              <w:t xml:space="preserve">For SBFD aware UEs, CLI measurements is performed within the active DL BWP and the </w:t>
            </w:r>
            <w:r w:rsidRPr="00FF14EC">
              <w:rPr>
                <w:rFonts w:ascii="Times New Roman" w:hAnsi="Times New Roman"/>
              </w:rPr>
              <w:t>following can be considered</w:t>
            </w:r>
          </w:p>
          <w:p w14:paraId="6C652D33" w14:textId="77777777" w:rsidR="00E31921" w:rsidRPr="00FF14EC" w:rsidRDefault="00E31921" w:rsidP="00E31921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hAnsi="Times New Roman"/>
                <w:lang w:eastAsia="x-none"/>
              </w:rPr>
            </w:pPr>
            <w:r w:rsidRPr="00FF14EC">
              <w:rPr>
                <w:rFonts w:ascii="Times New Roman" w:hAnsi="Times New Roman"/>
                <w:lang w:eastAsia="x-none"/>
              </w:rPr>
              <w:t xml:space="preserve">Method#1: UE measures RSSI within DL </w:t>
            </w:r>
            <w:proofErr w:type="spellStart"/>
            <w:r w:rsidRPr="00FF14EC">
              <w:rPr>
                <w:rFonts w:ascii="Times New Roman" w:hAnsi="Times New Roman"/>
                <w:lang w:eastAsia="x-none"/>
              </w:rPr>
              <w:t>subband</w:t>
            </w:r>
            <w:proofErr w:type="spellEnd"/>
          </w:p>
          <w:p w14:paraId="0083EA41" w14:textId="77777777" w:rsidR="00E31921" w:rsidRPr="00FF14EC" w:rsidRDefault="00E31921" w:rsidP="00E31921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hAnsi="Times New Roman"/>
                <w:lang w:eastAsia="x-none"/>
              </w:rPr>
            </w:pPr>
            <w:r w:rsidRPr="00FF14EC">
              <w:rPr>
                <w:rFonts w:ascii="Times New Roman" w:hAnsi="Times New Roman"/>
                <w:lang w:eastAsia="x-none"/>
              </w:rPr>
              <w:t xml:space="preserve">Method#2: UE measures RSRP of aggressor UE within UL </w:t>
            </w:r>
            <w:proofErr w:type="spellStart"/>
            <w:r w:rsidRPr="00FF14EC">
              <w:rPr>
                <w:rFonts w:ascii="Times New Roman" w:hAnsi="Times New Roman"/>
                <w:lang w:eastAsia="x-none"/>
              </w:rPr>
              <w:t>subband</w:t>
            </w:r>
            <w:proofErr w:type="spellEnd"/>
          </w:p>
          <w:p w14:paraId="5FBE624E" w14:textId="77777777" w:rsidR="00E31921" w:rsidRPr="00FF14EC" w:rsidRDefault="00E31921" w:rsidP="00E31921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hAnsi="Times New Roman"/>
                <w:lang w:eastAsia="x-none"/>
              </w:rPr>
            </w:pPr>
            <w:r w:rsidRPr="00FF14EC">
              <w:rPr>
                <w:rFonts w:ascii="Times New Roman" w:hAnsi="Times New Roman"/>
                <w:lang w:eastAsia="x-none"/>
              </w:rPr>
              <w:t xml:space="preserve">Method#3: UE measures RSSI within UL </w:t>
            </w:r>
            <w:proofErr w:type="spellStart"/>
            <w:r w:rsidRPr="00FF14EC">
              <w:rPr>
                <w:rFonts w:ascii="Times New Roman" w:hAnsi="Times New Roman"/>
                <w:lang w:eastAsia="x-none"/>
              </w:rPr>
              <w:t>subband</w:t>
            </w:r>
            <w:proofErr w:type="spellEnd"/>
          </w:p>
          <w:p w14:paraId="25CE2800" w14:textId="77777777" w:rsidR="00E31921" w:rsidRPr="00FF14EC" w:rsidRDefault="00E31921" w:rsidP="00E31921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hAnsi="Times New Roman"/>
                <w:lang w:eastAsia="x-none"/>
              </w:rPr>
            </w:pPr>
            <w:r w:rsidRPr="00FF14EC">
              <w:rPr>
                <w:rFonts w:ascii="Times New Roman" w:hAnsi="Times New Roman"/>
                <w:lang w:eastAsia="x-none"/>
              </w:rPr>
              <w:t xml:space="preserve">Method#4: UE measures RSSI within guard </w:t>
            </w:r>
            <w:proofErr w:type="gramStart"/>
            <w:r w:rsidRPr="00FF14EC">
              <w:rPr>
                <w:rFonts w:ascii="Times New Roman" w:hAnsi="Times New Roman"/>
                <w:lang w:eastAsia="x-none"/>
              </w:rPr>
              <w:t>band, if</w:t>
            </w:r>
            <w:proofErr w:type="gramEnd"/>
            <w:r w:rsidRPr="00FF14EC">
              <w:rPr>
                <w:rFonts w:ascii="Times New Roman" w:hAnsi="Times New Roman"/>
                <w:lang w:eastAsia="x-none"/>
              </w:rPr>
              <w:t xml:space="preserve"> guard band exists</w:t>
            </w:r>
          </w:p>
          <w:p w14:paraId="70E148E3" w14:textId="77777777" w:rsidR="00E31921" w:rsidRPr="00FF14EC" w:rsidRDefault="00E31921" w:rsidP="00E31921">
            <w:pPr>
              <w:rPr>
                <w:rFonts w:ascii="Times New Roman" w:hAnsi="Times New Roman"/>
              </w:rPr>
            </w:pPr>
            <w:r w:rsidRPr="00FF14EC">
              <w:rPr>
                <w:rFonts w:ascii="Times New Roman" w:hAnsi="Times New Roman"/>
              </w:rPr>
              <w:t xml:space="preserve">Note: If DL </w:t>
            </w:r>
            <w:proofErr w:type="spellStart"/>
            <w:r w:rsidRPr="00FF14EC">
              <w:rPr>
                <w:rFonts w:ascii="Times New Roman" w:hAnsi="Times New Roman"/>
              </w:rPr>
              <w:t>subband</w:t>
            </w:r>
            <w:proofErr w:type="spellEnd"/>
            <w:r w:rsidRPr="00FF14EC">
              <w:rPr>
                <w:rFonts w:ascii="Times New Roman" w:hAnsi="Times New Roman"/>
              </w:rPr>
              <w:t xml:space="preserve">, UL </w:t>
            </w:r>
            <w:proofErr w:type="spellStart"/>
            <w:r w:rsidRPr="00FF14EC">
              <w:rPr>
                <w:rFonts w:ascii="Times New Roman" w:hAnsi="Times New Roman"/>
              </w:rPr>
              <w:t>subband</w:t>
            </w:r>
            <w:proofErr w:type="spellEnd"/>
            <w:r w:rsidRPr="00FF14EC">
              <w:rPr>
                <w:rFonts w:ascii="Times New Roman" w:hAnsi="Times New Roman"/>
              </w:rPr>
              <w:t xml:space="preserve"> or guard band is outside the active DL BWP, the above methods does not apply.</w:t>
            </w:r>
          </w:p>
          <w:p w14:paraId="1C6D3AA1" w14:textId="0E547FA4" w:rsidR="007648F5" w:rsidRDefault="00E31921" w:rsidP="00E31921">
            <w:pPr>
              <w:rPr>
                <w:rFonts w:ascii="Times New Roman" w:hAnsi="Times New Roman"/>
              </w:rPr>
            </w:pPr>
            <w:r w:rsidRPr="00FF14EC">
              <w:rPr>
                <w:rFonts w:ascii="Times New Roman" w:hAnsi="Times New Roman"/>
              </w:rPr>
              <w:t>Note: Method#4 does not imply that guard band is explicitly configured.</w:t>
            </w:r>
          </w:p>
          <w:p w14:paraId="66074CAF" w14:textId="77777777" w:rsidR="00E31921" w:rsidRPr="00E31921" w:rsidRDefault="00E31921" w:rsidP="00E31921">
            <w:pPr>
              <w:rPr>
                <w:rFonts w:ascii="Times New Roman" w:hAnsi="Times New Roman"/>
              </w:rPr>
            </w:pPr>
          </w:p>
          <w:p w14:paraId="256EF135" w14:textId="77777777" w:rsidR="00E31921" w:rsidRPr="00FF14EC" w:rsidRDefault="00E31921" w:rsidP="00E31921">
            <w:pPr>
              <w:rPr>
                <w:rFonts w:ascii="Times New Roman" w:hAnsi="Times New Roman"/>
                <w:b/>
                <w:bCs/>
                <w:iCs/>
                <w:szCs w:val="20"/>
              </w:rPr>
            </w:pPr>
            <w:r w:rsidRPr="00FF14EC">
              <w:rPr>
                <w:rFonts w:ascii="Times New Roman" w:hAnsi="Times New Roman"/>
                <w:b/>
                <w:bCs/>
                <w:iCs/>
                <w:szCs w:val="20"/>
              </w:rPr>
              <w:t>For future meetings</w:t>
            </w:r>
          </w:p>
          <w:p w14:paraId="2C283301" w14:textId="4EF760F2" w:rsidR="00E31921" w:rsidRPr="00FF14EC" w:rsidRDefault="00E31921" w:rsidP="00E31921">
            <w:pPr>
              <w:rPr>
                <w:rFonts w:ascii="Times New Roman" w:hAnsi="Times New Roman"/>
                <w:szCs w:val="20"/>
              </w:rPr>
            </w:pPr>
            <w:r w:rsidRPr="00FF14EC">
              <w:rPr>
                <w:rFonts w:ascii="Times New Roman" w:hAnsi="Times New Roman"/>
                <w:szCs w:val="20"/>
              </w:rPr>
              <w:t>Companies are to refer to Proposal 2-2a (</w:t>
            </w:r>
            <w:proofErr w:type="spellStart"/>
            <w:r w:rsidRPr="00FF14EC">
              <w:rPr>
                <w:rFonts w:ascii="Times New Roman" w:hAnsi="Times New Roman"/>
                <w:szCs w:val="20"/>
              </w:rPr>
              <w:t>gNB-gNB</w:t>
            </w:r>
            <w:proofErr w:type="spellEnd"/>
            <w:r w:rsidRPr="00FF14EC">
              <w:rPr>
                <w:rFonts w:ascii="Times New Roman" w:hAnsi="Times New Roman"/>
                <w:szCs w:val="20"/>
              </w:rPr>
              <w:t xml:space="preserve"> CLI handling) and Proposal 3-2a (UE to UE CLI handling) in </w:t>
            </w:r>
            <w:hyperlink r:id="rId8" w:history="1">
              <w:r>
                <w:rPr>
                  <w:rStyle w:val="Hyperlink"/>
                  <w:rFonts w:ascii="Times New Roman" w:hAnsi="Times New Roman"/>
                  <w:szCs w:val="20"/>
                </w:rPr>
                <w:t>R1-2401635</w:t>
              </w:r>
            </w:hyperlink>
            <w:r w:rsidRPr="00FF14EC">
              <w:rPr>
                <w:rFonts w:ascii="Times New Roman" w:hAnsi="Times New Roman"/>
                <w:szCs w:val="20"/>
              </w:rPr>
              <w:t xml:space="preserve"> for future meetings. Companies are encouraged to provide additional details on potential spec impact and operational details of their preferred CLI handling scheme for further down-selection in RAN1#116bis.</w:t>
            </w:r>
          </w:p>
          <w:p w14:paraId="25E43CC1" w14:textId="029D1664" w:rsidR="00E31921" w:rsidRPr="007648F5" w:rsidRDefault="00E31921" w:rsidP="007648F5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</w:tbl>
    <w:p w14:paraId="7331A27C" w14:textId="77777777" w:rsidR="00C01C89" w:rsidRDefault="00C01C89"/>
    <w:p w14:paraId="61E01076" w14:textId="2BE15FA9" w:rsidR="00DC2BE2" w:rsidRDefault="00F74575">
      <w:pPr>
        <w:rPr>
          <w:rFonts w:eastAsia="SimSun"/>
          <w:lang w:eastAsia="zh-CN"/>
        </w:rPr>
      </w:pPr>
      <w:r>
        <w:t xml:space="preserve">In this contribution, we provide our views </w:t>
      </w:r>
      <w:r w:rsidR="00E31921">
        <w:rPr>
          <w:rFonts w:eastAsia="SimSun"/>
          <w:lang w:eastAsia="zh-CN"/>
        </w:rPr>
        <w:t xml:space="preserve">regarding </w:t>
      </w:r>
      <w:proofErr w:type="spellStart"/>
      <w:r w:rsidR="00E31921">
        <w:rPr>
          <w:rFonts w:eastAsia="SimSun"/>
          <w:lang w:eastAsia="zh-CN"/>
        </w:rPr>
        <w:t>gNB</w:t>
      </w:r>
      <w:proofErr w:type="spellEnd"/>
      <w:r w:rsidR="00E31921">
        <w:rPr>
          <w:rFonts w:eastAsia="SimSun"/>
          <w:lang w:eastAsia="zh-CN"/>
        </w:rPr>
        <w:t>-to-</w:t>
      </w:r>
      <w:proofErr w:type="spellStart"/>
      <w:r w:rsidR="00E31921">
        <w:rPr>
          <w:rFonts w:eastAsia="SimSun"/>
          <w:lang w:eastAsia="zh-CN"/>
        </w:rPr>
        <w:t>gNB</w:t>
      </w:r>
      <w:proofErr w:type="spellEnd"/>
      <w:r w:rsidR="00E31921">
        <w:rPr>
          <w:rFonts w:eastAsia="SimSun"/>
          <w:lang w:eastAsia="zh-CN"/>
        </w:rPr>
        <w:t xml:space="preserve"> and UE-to-UE CLI mitigation techniques in context of mitigating adjacent channel CLI in the two adjacent networks.</w:t>
      </w:r>
    </w:p>
    <w:p w14:paraId="01B999B3" w14:textId="756D64F4" w:rsidR="00CD2111" w:rsidRDefault="0071368D" w:rsidP="00CD211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Background</w:t>
      </w:r>
    </w:p>
    <w:p w14:paraId="0C3E3F39" w14:textId="088F0B44" w:rsidR="00770D86" w:rsidRDefault="00770D86" w:rsidP="008E79D4">
      <w:r>
        <w:t xml:space="preserve">In a typical deployment </w:t>
      </w:r>
      <w:r w:rsidR="005E442A">
        <w:t>scenario</w:t>
      </w:r>
      <w:r w:rsidR="00800D8E">
        <w:t xml:space="preserve"> with SBFD operation</w:t>
      </w:r>
      <w:r w:rsidR="005E442A">
        <w:t>,</w:t>
      </w:r>
      <w:r>
        <w:t xml:space="preserve"> there are </w:t>
      </w:r>
      <w:r w:rsidR="005E442A">
        <w:t>two</w:t>
      </w:r>
      <w:r>
        <w:t xml:space="preserve"> scenarios</w:t>
      </w:r>
      <w:r w:rsidR="00A91A13">
        <w:t>:</w:t>
      </w:r>
    </w:p>
    <w:p w14:paraId="6EBEFAB5" w14:textId="6EEA4900" w:rsidR="00770D86" w:rsidRDefault="00770D86" w:rsidP="00770D86">
      <w:pPr>
        <w:pStyle w:val="ListParagraph"/>
        <w:numPr>
          <w:ilvl w:val="0"/>
          <w:numId w:val="32"/>
        </w:numPr>
      </w:pPr>
      <w:r>
        <w:t xml:space="preserve">Deployment of </w:t>
      </w:r>
      <w:r w:rsidR="00A91A13">
        <w:t xml:space="preserve">a </w:t>
      </w:r>
      <w:r>
        <w:t xml:space="preserve">network in a carrier frequency by a single operator.  In this deployment all </w:t>
      </w:r>
      <w:proofErr w:type="spellStart"/>
      <w:r>
        <w:t>gNBs</w:t>
      </w:r>
      <w:proofErr w:type="spellEnd"/>
      <w:r>
        <w:t xml:space="preserve"> will start with synchronized or coordinated TDD configuration</w:t>
      </w:r>
      <w:r w:rsidR="00474A35">
        <w:t>s</w:t>
      </w:r>
      <w:r>
        <w:t xml:space="preserve">.  </w:t>
      </w:r>
      <w:r w:rsidR="001C115A">
        <w:t>If</w:t>
      </w:r>
      <w:r>
        <w:t xml:space="preserve"> some of the </w:t>
      </w:r>
      <w:proofErr w:type="spellStart"/>
      <w:r>
        <w:t>gNBs</w:t>
      </w:r>
      <w:proofErr w:type="spellEnd"/>
      <w:r>
        <w:t xml:space="preserve"> enable SBFD in </w:t>
      </w:r>
      <w:r w:rsidR="00A91A13">
        <w:t xml:space="preserve">the </w:t>
      </w:r>
      <w:r>
        <w:t xml:space="preserve">network while other </w:t>
      </w:r>
      <w:r w:rsidR="00A91A13">
        <w:t>neighbouring</w:t>
      </w:r>
      <w:r>
        <w:t xml:space="preserve"> </w:t>
      </w:r>
      <w:proofErr w:type="spellStart"/>
      <w:r>
        <w:t>gNBs</w:t>
      </w:r>
      <w:proofErr w:type="spellEnd"/>
      <w:r>
        <w:t xml:space="preserve"> continue using legacy TDD then following CLI</w:t>
      </w:r>
      <w:r w:rsidR="00A91A13">
        <w:t xml:space="preserve"> type</w:t>
      </w:r>
      <w:r>
        <w:t>s</w:t>
      </w:r>
      <w:r w:rsidR="001C115A">
        <w:t xml:space="preserve"> </w:t>
      </w:r>
      <w:r w:rsidR="00A91A13">
        <w:t>can occur:</w:t>
      </w:r>
    </w:p>
    <w:p w14:paraId="58D2DCEB" w14:textId="77777777" w:rsidR="00926B82" w:rsidRDefault="00770D86" w:rsidP="00770D86">
      <w:pPr>
        <w:pStyle w:val="ListParagraph"/>
        <w:numPr>
          <w:ilvl w:val="1"/>
          <w:numId w:val="32"/>
        </w:numPr>
      </w:pPr>
      <w:r>
        <w:t xml:space="preserve">Co-channel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</w:t>
      </w:r>
    </w:p>
    <w:p w14:paraId="1B55BB65" w14:textId="3692845B" w:rsidR="00770D86" w:rsidRDefault="00A91A13" w:rsidP="00926B82">
      <w:pPr>
        <w:pStyle w:val="ListParagraph"/>
        <w:numPr>
          <w:ilvl w:val="2"/>
          <w:numId w:val="32"/>
        </w:numPr>
      </w:pPr>
      <w:r>
        <w:t xml:space="preserve">Experienced </w:t>
      </w:r>
      <w:r w:rsidR="00770D86">
        <w:t xml:space="preserve">by the </w:t>
      </w:r>
      <w:proofErr w:type="spellStart"/>
      <w:r w:rsidR="00770D86">
        <w:t>gNBs</w:t>
      </w:r>
      <w:proofErr w:type="spellEnd"/>
      <w:r w:rsidR="00770D86">
        <w:t xml:space="preserve"> </w:t>
      </w:r>
      <w:r>
        <w:t xml:space="preserve">that </w:t>
      </w:r>
      <w:r w:rsidR="00926B82">
        <w:t>enabl</w:t>
      </w:r>
      <w:r w:rsidR="00B8582F">
        <w:t>ed</w:t>
      </w:r>
      <w:r w:rsidR="00926B82">
        <w:t xml:space="preserve"> SBFD </w:t>
      </w:r>
      <w:r>
        <w:t xml:space="preserve">over </w:t>
      </w:r>
      <w:r w:rsidR="00926B82">
        <w:t>DL legacy TDD slots</w:t>
      </w:r>
      <w:r w:rsidR="00B8582F">
        <w:t xml:space="preserve">.  CLI </w:t>
      </w:r>
      <w:r>
        <w:t xml:space="preserve">manifests </w:t>
      </w:r>
      <w:r w:rsidR="00017BFC">
        <w:t xml:space="preserve">in UL </w:t>
      </w:r>
      <w:proofErr w:type="spellStart"/>
      <w:r w:rsidR="00017BFC">
        <w:t>subbands</w:t>
      </w:r>
      <w:proofErr w:type="spellEnd"/>
      <w:r w:rsidR="003D58F2">
        <w:t xml:space="preserve"> of SBFD symbol(s)/slot(s)</w:t>
      </w:r>
      <w:r w:rsidR="00B8582F">
        <w:t xml:space="preserve"> due to </w:t>
      </w:r>
      <w:r>
        <w:t>neighbouring</w:t>
      </w:r>
      <w:r w:rsidR="00B8582F">
        <w:t xml:space="preserve"> </w:t>
      </w:r>
      <w:proofErr w:type="spellStart"/>
      <w:r w:rsidR="00B8582F">
        <w:t>gNB</w:t>
      </w:r>
      <w:proofErr w:type="spellEnd"/>
      <w:r w:rsidR="00EB4B2A">
        <w:t>(s) that</w:t>
      </w:r>
      <w:r w:rsidR="00B8582F">
        <w:t xml:space="preserve"> </w:t>
      </w:r>
      <w:r w:rsidR="00EB4B2A">
        <w:t xml:space="preserve">use </w:t>
      </w:r>
      <w:r w:rsidR="00B8582F">
        <w:t>legacy TDD</w:t>
      </w:r>
      <w:r>
        <w:t xml:space="preserve"> in DL direction.</w:t>
      </w:r>
    </w:p>
    <w:p w14:paraId="7BD5EFFF" w14:textId="45D9982D" w:rsidR="00926B82" w:rsidRDefault="00A91A13" w:rsidP="00926B82">
      <w:pPr>
        <w:pStyle w:val="ListParagraph"/>
        <w:numPr>
          <w:ilvl w:val="2"/>
          <w:numId w:val="32"/>
        </w:numPr>
      </w:pPr>
      <w:r>
        <w:t xml:space="preserve">Experienced </w:t>
      </w:r>
      <w:r w:rsidR="00926B82">
        <w:t xml:space="preserve">by </w:t>
      </w:r>
      <w:proofErr w:type="spellStart"/>
      <w:r w:rsidR="00926B82">
        <w:t>gNBs</w:t>
      </w:r>
      <w:proofErr w:type="spellEnd"/>
      <w:r w:rsidR="00926B82">
        <w:t xml:space="preserve"> using legacy TDD </w:t>
      </w:r>
      <w:r w:rsidR="00800D8E">
        <w:t>after</w:t>
      </w:r>
      <w:r w:rsidR="00926B82">
        <w:t xml:space="preserve"> </w:t>
      </w:r>
      <w:r w:rsidR="00800D8E">
        <w:t xml:space="preserve">converting </w:t>
      </w:r>
      <w:r w:rsidR="00926B82">
        <w:t>flexible symbol</w:t>
      </w:r>
      <w:r w:rsidR="00017BFC">
        <w:t>(s)/</w:t>
      </w:r>
      <w:r w:rsidR="00926B82">
        <w:t>slot</w:t>
      </w:r>
      <w:r w:rsidR="00017BFC">
        <w:t>(s)</w:t>
      </w:r>
      <w:r w:rsidR="00926B82">
        <w:t xml:space="preserve"> </w:t>
      </w:r>
      <w:r w:rsidR="00800D8E">
        <w:t xml:space="preserve">to </w:t>
      </w:r>
      <w:r w:rsidR="00926B82">
        <w:t xml:space="preserve">UL while </w:t>
      </w:r>
      <w:r w:rsidR="00800D8E">
        <w:t>their neighbouring</w:t>
      </w:r>
      <w:r w:rsidR="00926B82">
        <w:t xml:space="preserve"> </w:t>
      </w:r>
      <w:proofErr w:type="spellStart"/>
      <w:r w:rsidR="00926B82">
        <w:t>gNB</w:t>
      </w:r>
      <w:proofErr w:type="spellEnd"/>
      <w:r w:rsidR="00800D8E">
        <w:t>(s)</w:t>
      </w:r>
      <w:r w:rsidR="00926B82">
        <w:t xml:space="preserve"> </w:t>
      </w:r>
      <w:r w:rsidR="00800D8E">
        <w:t xml:space="preserve">have converted </w:t>
      </w:r>
      <w:r w:rsidR="00926B82">
        <w:t>the same flexible symbol</w:t>
      </w:r>
      <w:r w:rsidR="00017BFC">
        <w:t>(s)/slot(s)</w:t>
      </w:r>
      <w:r w:rsidR="00926B82">
        <w:t xml:space="preserve"> </w:t>
      </w:r>
      <w:r w:rsidR="00800D8E">
        <w:t xml:space="preserve">to </w:t>
      </w:r>
      <w:r w:rsidR="00474A35">
        <w:t>SBFD.</w:t>
      </w:r>
    </w:p>
    <w:p w14:paraId="066D1E2C" w14:textId="77777777" w:rsidR="00625A90" w:rsidRDefault="00770D86" w:rsidP="00770D86">
      <w:pPr>
        <w:pStyle w:val="ListParagraph"/>
        <w:numPr>
          <w:ilvl w:val="1"/>
          <w:numId w:val="32"/>
        </w:numPr>
      </w:pPr>
      <w:r>
        <w:lastRenderedPageBreak/>
        <w:t>Co-Channel UE-to-UE CLI</w:t>
      </w:r>
    </w:p>
    <w:p w14:paraId="4584C24E" w14:textId="7FC229E2" w:rsidR="00770D86" w:rsidRDefault="00800D8E" w:rsidP="00625A90">
      <w:pPr>
        <w:pStyle w:val="ListParagraph"/>
        <w:numPr>
          <w:ilvl w:val="2"/>
          <w:numId w:val="32"/>
        </w:numPr>
      </w:pPr>
      <w:r>
        <w:t xml:space="preserve">Experienced </w:t>
      </w:r>
      <w:r w:rsidR="00926B82">
        <w:t xml:space="preserve">by </w:t>
      </w:r>
      <w:r w:rsidR="00770D86">
        <w:t>cell</w:t>
      </w:r>
      <w:r>
        <w:t>-</w:t>
      </w:r>
      <w:r w:rsidR="00770D86">
        <w:t xml:space="preserve">edge UEs of the </w:t>
      </w:r>
      <w:proofErr w:type="spellStart"/>
      <w:r w:rsidR="00770D86">
        <w:t>gNBs</w:t>
      </w:r>
      <w:proofErr w:type="spellEnd"/>
      <w:r w:rsidR="007D78E8">
        <w:t xml:space="preserve"> that</w:t>
      </w:r>
      <w:r w:rsidR="00770D86">
        <w:t xml:space="preserve"> </w:t>
      </w:r>
      <w:r w:rsidR="007D78E8">
        <w:t xml:space="preserve">use </w:t>
      </w:r>
      <w:r w:rsidR="00770D86">
        <w:t>legacy TDD</w:t>
      </w:r>
      <w:r w:rsidR="00625A90">
        <w:t xml:space="preserve"> </w:t>
      </w:r>
      <w:r w:rsidR="00DE6D65">
        <w:t xml:space="preserve">in DL slots, </w:t>
      </w:r>
      <w:r w:rsidR="00625A90">
        <w:t xml:space="preserve">while </w:t>
      </w:r>
      <w:r w:rsidR="007D78E8">
        <w:t xml:space="preserve">their </w:t>
      </w:r>
      <w:r>
        <w:t>neighbouring</w:t>
      </w:r>
      <w:r w:rsidR="00795563">
        <w:t xml:space="preserve"> </w:t>
      </w:r>
      <w:proofErr w:type="spellStart"/>
      <w:r w:rsidR="00795563">
        <w:t>gNB</w:t>
      </w:r>
      <w:proofErr w:type="spellEnd"/>
      <w:r w:rsidR="007D78E8">
        <w:t>(s)</w:t>
      </w:r>
      <w:r w:rsidR="00795563">
        <w:t xml:space="preserve"> enable SBFD </w:t>
      </w:r>
      <w:r w:rsidR="007D78E8">
        <w:t xml:space="preserve">over </w:t>
      </w:r>
      <w:r w:rsidR="00DE6D65">
        <w:t>the same DL slot (CLI is caused by the UL transmission of the</w:t>
      </w:r>
      <w:r w:rsidR="007D78E8">
        <w:t xml:space="preserve"> (SBFD-aware)</w:t>
      </w:r>
      <w:r w:rsidR="00DE6D65">
        <w:t xml:space="preserve"> UEs of </w:t>
      </w:r>
      <w:r w:rsidR="00B36E35">
        <w:t xml:space="preserve">the </w:t>
      </w:r>
      <w:r w:rsidR="00DE6D65">
        <w:t>SBFD network)</w:t>
      </w:r>
      <w:r w:rsidR="00474A35">
        <w:t>.</w:t>
      </w:r>
    </w:p>
    <w:p w14:paraId="610BB5DA" w14:textId="04308B95" w:rsidR="00FD15BB" w:rsidRDefault="007D78E8" w:rsidP="00625A90">
      <w:pPr>
        <w:pStyle w:val="ListParagraph"/>
        <w:numPr>
          <w:ilvl w:val="2"/>
          <w:numId w:val="32"/>
        </w:numPr>
      </w:pPr>
      <w:r>
        <w:t xml:space="preserve">Experienced </w:t>
      </w:r>
      <w:r w:rsidR="00474A35">
        <w:t>by cell</w:t>
      </w:r>
      <w:r>
        <w:t>-</w:t>
      </w:r>
      <w:r w:rsidR="00474A35">
        <w:t xml:space="preserve">edge UEs of the </w:t>
      </w:r>
      <w:proofErr w:type="spellStart"/>
      <w:r w:rsidR="00474A35">
        <w:t>gNBs</w:t>
      </w:r>
      <w:proofErr w:type="spellEnd"/>
      <w:r w:rsidR="00474A35">
        <w:t xml:space="preserve"> </w:t>
      </w:r>
      <w:r>
        <w:t xml:space="preserve">that have </w:t>
      </w:r>
      <w:r w:rsidR="00474A35">
        <w:t>enabled SBFD on flexible symbol(s)/slot(s) while the</w:t>
      </w:r>
      <w:r>
        <w:t>ir</w:t>
      </w:r>
      <w:r w:rsidR="00474A35">
        <w:t xml:space="preserve"> </w:t>
      </w:r>
      <w:r>
        <w:t>neighbouring</w:t>
      </w:r>
      <w:r w:rsidR="00474A35">
        <w:t xml:space="preserve"> </w:t>
      </w:r>
      <w:proofErr w:type="spellStart"/>
      <w:r w:rsidR="00474A35">
        <w:t>gNB</w:t>
      </w:r>
      <w:r>
        <w:t>s</w:t>
      </w:r>
      <w:proofErr w:type="spellEnd"/>
      <w:r w:rsidR="00474A35">
        <w:t xml:space="preserve"> </w:t>
      </w:r>
      <w:r>
        <w:t xml:space="preserve">that use </w:t>
      </w:r>
      <w:r w:rsidR="00DE6D65">
        <w:t xml:space="preserve">legacy TDD </w:t>
      </w:r>
      <w:r>
        <w:t xml:space="preserve">have </w:t>
      </w:r>
      <w:r w:rsidR="00474A35">
        <w:t xml:space="preserve">enabled UL on the </w:t>
      </w:r>
      <w:r w:rsidR="00DE6D65">
        <w:t>same</w:t>
      </w:r>
      <w:r w:rsidR="00474A35">
        <w:t xml:space="preserve"> flexible symbol(s)/slot(s)</w:t>
      </w:r>
      <w:r w:rsidR="00DE6D65">
        <w:t xml:space="preserve"> (CLI is caused by the UL transmission of the UEs of the legacy TDD network</w:t>
      </w:r>
      <w:r w:rsidR="00AC5B85">
        <w:t xml:space="preserve"> </w:t>
      </w:r>
      <w:r w:rsidR="00B36E35">
        <w:t>into</w:t>
      </w:r>
      <w:r w:rsidR="00AC5B85">
        <w:t xml:space="preserve"> DL </w:t>
      </w:r>
      <w:proofErr w:type="spellStart"/>
      <w:r w:rsidR="00AC5B85">
        <w:t>subbands</w:t>
      </w:r>
      <w:proofErr w:type="spellEnd"/>
      <w:r w:rsidR="00AC5B85">
        <w:t xml:space="preserve"> of SBFD-aware UEs</w:t>
      </w:r>
      <w:r w:rsidR="00DE6D65">
        <w:t>)</w:t>
      </w:r>
      <w:r w:rsidR="00474A35">
        <w:t>.</w:t>
      </w:r>
    </w:p>
    <w:p w14:paraId="5198B30F" w14:textId="190DAE8F" w:rsidR="00770D86" w:rsidRDefault="00770D86" w:rsidP="00770D86">
      <w:pPr>
        <w:pStyle w:val="ListParagraph"/>
        <w:numPr>
          <w:ilvl w:val="0"/>
          <w:numId w:val="32"/>
        </w:numPr>
      </w:pPr>
      <w:r>
        <w:t xml:space="preserve">Deployment of two </w:t>
      </w:r>
      <w:r w:rsidR="00EB4B2A">
        <w:t xml:space="preserve">neighbour </w:t>
      </w:r>
      <w:r>
        <w:t>networks in adjacent</w:t>
      </w:r>
      <w:r w:rsidR="00D45935">
        <w:t>-channel</w:t>
      </w:r>
      <w:r>
        <w:t xml:space="preserve"> carrier </w:t>
      </w:r>
      <w:r w:rsidR="00D45935">
        <w:t xml:space="preserve">frequencies—either </w:t>
      </w:r>
      <w:r>
        <w:t xml:space="preserve">by </w:t>
      </w:r>
      <w:r w:rsidR="00D45935">
        <w:t xml:space="preserve">a </w:t>
      </w:r>
      <w:r>
        <w:t>single operato</w:t>
      </w:r>
      <w:r w:rsidR="00474A35">
        <w:t>r</w:t>
      </w:r>
      <w:r w:rsidR="003D58F2">
        <w:t xml:space="preserve"> or by two different operators</w:t>
      </w:r>
      <w:r>
        <w:t xml:space="preserve">.  In this deployment </w:t>
      </w:r>
      <w:r w:rsidR="00795563">
        <w:t xml:space="preserve">all </w:t>
      </w:r>
      <w:proofErr w:type="spellStart"/>
      <w:r w:rsidR="00795563">
        <w:t>gNBs</w:t>
      </w:r>
      <w:proofErr w:type="spellEnd"/>
      <w:r w:rsidR="00795563">
        <w:t xml:space="preserve"> </w:t>
      </w:r>
      <w:r w:rsidR="00DE6D65">
        <w:t>may</w:t>
      </w:r>
      <w:r w:rsidR="00474A35">
        <w:t xml:space="preserve"> start with synchronized or </w:t>
      </w:r>
      <w:r w:rsidR="00DE6D65">
        <w:t xml:space="preserve">with </w:t>
      </w:r>
      <w:r w:rsidR="00474A35">
        <w:t>coordinated TDD configurations</w:t>
      </w:r>
      <w:r w:rsidR="001C115A">
        <w:t xml:space="preserve">.  If </w:t>
      </w:r>
      <w:r w:rsidR="00D45935">
        <w:t>one</w:t>
      </w:r>
      <w:r w:rsidR="001C115A">
        <w:t xml:space="preserve"> network enable</w:t>
      </w:r>
      <w:r w:rsidR="00EB4B2A">
        <w:t>s</w:t>
      </w:r>
      <w:r w:rsidR="001C115A">
        <w:t xml:space="preserve"> SBFD</w:t>
      </w:r>
      <w:r w:rsidR="00EB4B2A">
        <w:t xml:space="preserve"> operation</w:t>
      </w:r>
      <w:r w:rsidR="001C115A">
        <w:t xml:space="preserve"> while</w:t>
      </w:r>
      <w:r w:rsidR="00EB4B2A">
        <w:t xml:space="preserve"> its</w:t>
      </w:r>
      <w:r w:rsidR="001C115A">
        <w:t xml:space="preserve"> </w:t>
      </w:r>
      <w:r w:rsidR="00D45935">
        <w:t>neighbouring</w:t>
      </w:r>
      <w:r w:rsidR="001C115A">
        <w:t xml:space="preserve"> network continue</w:t>
      </w:r>
      <w:r w:rsidR="00EB4B2A">
        <w:t>s</w:t>
      </w:r>
      <w:r w:rsidR="001C115A">
        <w:t xml:space="preserve"> using legacy TDD then </w:t>
      </w:r>
      <w:r w:rsidR="00EB4B2A">
        <w:t xml:space="preserve">the </w:t>
      </w:r>
      <w:r w:rsidR="001C115A">
        <w:t>following CLI</w:t>
      </w:r>
      <w:r w:rsidR="00EB4B2A">
        <w:t xml:space="preserve"> type</w:t>
      </w:r>
      <w:r w:rsidR="001C115A">
        <w:t xml:space="preserve">s </w:t>
      </w:r>
      <w:r w:rsidR="00EB4B2A">
        <w:t>can occur:</w:t>
      </w:r>
    </w:p>
    <w:p w14:paraId="7F96719B" w14:textId="7CB27F21" w:rsidR="00017BFC" w:rsidRDefault="00017BFC" w:rsidP="00017BFC">
      <w:pPr>
        <w:pStyle w:val="ListParagraph"/>
        <w:numPr>
          <w:ilvl w:val="1"/>
          <w:numId w:val="32"/>
        </w:numPr>
      </w:pPr>
      <w:r>
        <w:t xml:space="preserve">Adjacent-channel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</w:t>
      </w:r>
    </w:p>
    <w:p w14:paraId="530D5D7D" w14:textId="5A1073A5" w:rsidR="00DE6D65" w:rsidRDefault="00EB4B2A" w:rsidP="00DE6D65">
      <w:pPr>
        <w:pStyle w:val="ListParagraph"/>
        <w:numPr>
          <w:ilvl w:val="2"/>
          <w:numId w:val="32"/>
        </w:numPr>
      </w:pPr>
      <w:r>
        <w:t xml:space="preserve">Experienced </w:t>
      </w:r>
      <w:r w:rsidR="00DE6D65">
        <w:t xml:space="preserve">by the </w:t>
      </w:r>
      <w:proofErr w:type="spellStart"/>
      <w:r w:rsidR="00DE6D65">
        <w:t>gNBs</w:t>
      </w:r>
      <w:proofErr w:type="spellEnd"/>
      <w:r w:rsidR="00DE6D65">
        <w:t xml:space="preserve"> </w:t>
      </w:r>
      <w:r>
        <w:t xml:space="preserve">that </w:t>
      </w:r>
      <w:r w:rsidR="00DE6D65">
        <w:t xml:space="preserve">enabled SBFD </w:t>
      </w:r>
      <w:r>
        <w:t xml:space="preserve">over </w:t>
      </w:r>
      <w:r w:rsidR="00DE6D65">
        <w:t xml:space="preserve">DL legacy TDD slots.  CLI </w:t>
      </w:r>
      <w:r>
        <w:t xml:space="preserve">manifests </w:t>
      </w:r>
      <w:r w:rsidR="00DE6D65">
        <w:t xml:space="preserve">in UL </w:t>
      </w:r>
      <w:proofErr w:type="spellStart"/>
      <w:r w:rsidR="00DE6D65">
        <w:t>subbands</w:t>
      </w:r>
      <w:proofErr w:type="spellEnd"/>
      <w:r w:rsidR="00DE6D65">
        <w:t xml:space="preserve"> of SBFD symbol(s)/slot(s) due to </w:t>
      </w:r>
      <w:r>
        <w:t>neighbouring</w:t>
      </w:r>
      <w:r w:rsidR="00DE6D65">
        <w:t xml:space="preserve"> </w:t>
      </w:r>
      <w:proofErr w:type="spellStart"/>
      <w:r w:rsidR="00DE6D65">
        <w:t>gNB</w:t>
      </w:r>
      <w:proofErr w:type="spellEnd"/>
      <w:r>
        <w:t>(s) that</w:t>
      </w:r>
      <w:r w:rsidR="00DE6D65">
        <w:t xml:space="preserve"> </w:t>
      </w:r>
      <w:r>
        <w:t xml:space="preserve">use </w:t>
      </w:r>
      <w:r w:rsidR="00DE6D65">
        <w:t>legacy TDD</w:t>
      </w:r>
      <w:r>
        <w:t xml:space="preserve"> in DL direction.</w:t>
      </w:r>
    </w:p>
    <w:p w14:paraId="14B409AB" w14:textId="6A44BAE5" w:rsidR="00DE6D65" w:rsidRDefault="00EB4B2A" w:rsidP="00DE6D65">
      <w:pPr>
        <w:pStyle w:val="ListParagraph"/>
        <w:numPr>
          <w:ilvl w:val="2"/>
          <w:numId w:val="32"/>
        </w:numPr>
      </w:pPr>
      <w:r>
        <w:t xml:space="preserve">Experienced </w:t>
      </w:r>
      <w:r w:rsidR="00DE6D65">
        <w:t xml:space="preserve">by </w:t>
      </w:r>
      <w:proofErr w:type="spellStart"/>
      <w:r w:rsidR="00DE6D65">
        <w:t>gNB</w:t>
      </w:r>
      <w:proofErr w:type="spellEnd"/>
      <w:r>
        <w:t>(</w:t>
      </w:r>
      <w:r w:rsidR="00DE6D65">
        <w:t>s</w:t>
      </w:r>
      <w:r>
        <w:t>)</w:t>
      </w:r>
      <w:r w:rsidR="00DE6D65">
        <w:t xml:space="preserve"> using legacy TDD </w:t>
      </w:r>
      <w:r>
        <w:t>after converting</w:t>
      </w:r>
      <w:r w:rsidR="00DE6D65">
        <w:t xml:space="preserve"> flexible symbol(s)/slot(s) </w:t>
      </w:r>
      <w:r>
        <w:t xml:space="preserve">to </w:t>
      </w:r>
      <w:r w:rsidR="00DE6D65">
        <w:t xml:space="preserve">UL while </w:t>
      </w:r>
      <w:r>
        <w:t>their neighbouring</w:t>
      </w:r>
      <w:r w:rsidR="00DE6D65">
        <w:t xml:space="preserve"> </w:t>
      </w:r>
      <w:proofErr w:type="spellStart"/>
      <w:r w:rsidR="00DE6D65">
        <w:t>gNB</w:t>
      </w:r>
      <w:proofErr w:type="spellEnd"/>
      <w:r w:rsidR="00DE6D65">
        <w:t xml:space="preserve"> </w:t>
      </w:r>
      <w:r>
        <w:t xml:space="preserve">have converted </w:t>
      </w:r>
      <w:r w:rsidR="00DE6D65">
        <w:t xml:space="preserve">the same flexible symbol(s)/slot(s) </w:t>
      </w:r>
      <w:r>
        <w:t xml:space="preserve">to </w:t>
      </w:r>
      <w:r w:rsidR="00DE6D65">
        <w:t>SBFD.</w:t>
      </w:r>
    </w:p>
    <w:p w14:paraId="4E0FFB28" w14:textId="3B2725B2" w:rsidR="00017BFC" w:rsidRDefault="00017BFC" w:rsidP="00017BFC">
      <w:pPr>
        <w:pStyle w:val="ListParagraph"/>
        <w:numPr>
          <w:ilvl w:val="1"/>
          <w:numId w:val="32"/>
        </w:numPr>
      </w:pPr>
      <w:r>
        <w:t>Adjacent-channel UE-to-UE CLI</w:t>
      </w:r>
    </w:p>
    <w:p w14:paraId="654FF5B6" w14:textId="6BEEADA1" w:rsidR="00DE6D65" w:rsidRDefault="00EB4B2A" w:rsidP="00DE6D65">
      <w:pPr>
        <w:pStyle w:val="ListParagraph"/>
        <w:numPr>
          <w:ilvl w:val="2"/>
          <w:numId w:val="32"/>
        </w:numPr>
      </w:pPr>
      <w:r>
        <w:t xml:space="preserve">Experienced </w:t>
      </w:r>
      <w:r w:rsidR="00DE6D65">
        <w:t>by cell</w:t>
      </w:r>
      <w:r>
        <w:t>-</w:t>
      </w:r>
      <w:r w:rsidR="00DE6D65">
        <w:t xml:space="preserve">edge UEs of the </w:t>
      </w:r>
      <w:proofErr w:type="spellStart"/>
      <w:r w:rsidR="00DE6D65">
        <w:t>gNBs</w:t>
      </w:r>
      <w:proofErr w:type="spellEnd"/>
      <w:r w:rsidR="00DE6D65">
        <w:t xml:space="preserve"> </w:t>
      </w:r>
      <w:r>
        <w:t xml:space="preserve">that use </w:t>
      </w:r>
      <w:r w:rsidR="00DE6D65">
        <w:t xml:space="preserve">legacy TDD in DL slots, while </w:t>
      </w:r>
      <w:r>
        <w:t>their neighbouring</w:t>
      </w:r>
      <w:r w:rsidR="00DE6D65">
        <w:t xml:space="preserve"> </w:t>
      </w:r>
      <w:proofErr w:type="spellStart"/>
      <w:r w:rsidR="00DE6D65">
        <w:t>gNB</w:t>
      </w:r>
      <w:proofErr w:type="spellEnd"/>
      <w:r>
        <w:t>(s)</w:t>
      </w:r>
      <w:r w:rsidR="00DE6D65">
        <w:t xml:space="preserve"> enable SBFD </w:t>
      </w:r>
      <w:r w:rsidR="00B36E35">
        <w:t xml:space="preserve">over </w:t>
      </w:r>
      <w:r w:rsidR="00DE6D65">
        <w:t xml:space="preserve">the same DL slot (CLI is caused by the UL transmission of the </w:t>
      </w:r>
      <w:r w:rsidR="00B36E35">
        <w:t xml:space="preserve">(SBFD-aware) </w:t>
      </w:r>
      <w:r w:rsidR="00DE6D65">
        <w:t xml:space="preserve">UEs of </w:t>
      </w:r>
      <w:r w:rsidR="00B36E35">
        <w:t xml:space="preserve">the </w:t>
      </w:r>
      <w:r w:rsidR="00DE6D65">
        <w:t>SBFD network).</w:t>
      </w:r>
    </w:p>
    <w:p w14:paraId="286E89A6" w14:textId="6449831A" w:rsidR="00DE6D65" w:rsidRDefault="00B36E35" w:rsidP="00DE6D65">
      <w:pPr>
        <w:pStyle w:val="ListParagraph"/>
        <w:numPr>
          <w:ilvl w:val="2"/>
          <w:numId w:val="32"/>
        </w:numPr>
      </w:pPr>
      <w:r>
        <w:t xml:space="preserve">Experienced </w:t>
      </w:r>
      <w:r w:rsidR="00DE6D65">
        <w:t>by the cell</w:t>
      </w:r>
      <w:r>
        <w:t>-</w:t>
      </w:r>
      <w:r w:rsidR="00DE6D65">
        <w:t xml:space="preserve">edge UEs of the </w:t>
      </w:r>
      <w:proofErr w:type="spellStart"/>
      <w:r w:rsidR="00DE6D65">
        <w:t>gNBs</w:t>
      </w:r>
      <w:proofErr w:type="spellEnd"/>
      <w:r w:rsidR="00DE6D65">
        <w:t xml:space="preserve"> </w:t>
      </w:r>
      <w:r>
        <w:t xml:space="preserve">that have </w:t>
      </w:r>
      <w:r w:rsidR="00DE6D65">
        <w:t>enabled SBFD on flexible symbol(s)/slot(s) while the</w:t>
      </w:r>
      <w:r>
        <w:t>ir</w:t>
      </w:r>
      <w:r w:rsidR="00DE6D65">
        <w:t xml:space="preserve"> </w:t>
      </w:r>
      <w:r>
        <w:t>neighbouring</w:t>
      </w:r>
      <w:r w:rsidR="00DE6D65">
        <w:t xml:space="preserve"> </w:t>
      </w:r>
      <w:proofErr w:type="spellStart"/>
      <w:r w:rsidR="00DE6D65">
        <w:t>gNB</w:t>
      </w:r>
      <w:r>
        <w:t>s</w:t>
      </w:r>
      <w:proofErr w:type="spellEnd"/>
      <w:r>
        <w:t xml:space="preserve"> that</w:t>
      </w:r>
      <w:r w:rsidR="00DE6D65">
        <w:t xml:space="preserve"> </w:t>
      </w:r>
      <w:r>
        <w:t xml:space="preserve">use </w:t>
      </w:r>
      <w:r w:rsidR="00DE6D65">
        <w:t xml:space="preserve">legacy TDD </w:t>
      </w:r>
      <w:r>
        <w:t xml:space="preserve">have </w:t>
      </w:r>
      <w:r w:rsidR="00DE6D65">
        <w:t>enabled UL on the same flexible symbol(s)/slot(s) (CLI is caused by the UL transmission of the UEs of the legacy TDD network</w:t>
      </w:r>
      <w:r>
        <w:t xml:space="preserve"> into DL </w:t>
      </w:r>
      <w:proofErr w:type="spellStart"/>
      <w:r>
        <w:t>subbands</w:t>
      </w:r>
      <w:proofErr w:type="spellEnd"/>
      <w:r>
        <w:t xml:space="preserve"> of SBFD-aware UEs</w:t>
      </w:r>
      <w:r w:rsidR="00DE6D65">
        <w:t>).</w:t>
      </w:r>
    </w:p>
    <w:p w14:paraId="65B90B1D" w14:textId="77777777" w:rsidR="00017BFC" w:rsidRDefault="00017BFC" w:rsidP="00017BFC">
      <w:pPr>
        <w:pStyle w:val="ListParagraph"/>
      </w:pPr>
    </w:p>
    <w:p w14:paraId="333B7CCB" w14:textId="3F6A70E3" w:rsidR="003D58F2" w:rsidRDefault="003D58F2" w:rsidP="003D58F2">
      <w:r>
        <w:t xml:space="preserve">In Rel-18, RAN1/RAN4 studied the effect of </w:t>
      </w:r>
      <w:r w:rsidR="001541DC">
        <w:t xml:space="preserve">both </w:t>
      </w:r>
      <w:r>
        <w:t xml:space="preserve">co-channel </w:t>
      </w:r>
      <w:r w:rsidR="001541DC">
        <w:t>and</w:t>
      </w:r>
      <w:r>
        <w:t xml:space="preserve"> adjacent channel </w:t>
      </w:r>
      <w:r w:rsidR="001541DC">
        <w:t xml:space="preserve">interference types </w:t>
      </w:r>
      <w:r>
        <w:t>on network performance and the</w:t>
      </w:r>
      <w:r w:rsidR="00DE6D65">
        <w:t xml:space="preserve"> results/conclusions were</w:t>
      </w:r>
      <w:r>
        <w:t xml:space="preserve"> summarized in TR 38.858 [2].  </w:t>
      </w:r>
      <w:r w:rsidR="006730BD">
        <w:t>RAN1/RAN4 conclusion was that adjacent channel CLI seriously degrades the performance of the SBFD network</w:t>
      </w:r>
      <w:r w:rsidR="00EC424D">
        <w:t>s as</w:t>
      </w:r>
      <w:r w:rsidR="006730BD">
        <w:t xml:space="preserve"> well as legacy TDD networks. </w:t>
      </w:r>
      <w:r w:rsidR="001541DC">
        <w:t>The</w:t>
      </w:r>
      <w:r w:rsidR="006730BD">
        <w:t xml:space="preserve"> RAN4 conclusion </w:t>
      </w:r>
      <w:r w:rsidR="00EC424D">
        <w:t xml:space="preserve">regarding adjacent channel CLI </w:t>
      </w:r>
      <w:r w:rsidR="006730BD">
        <w:t xml:space="preserve">was </w:t>
      </w:r>
      <w:r w:rsidR="001541DC">
        <w:t xml:space="preserve">summarized </w:t>
      </w:r>
      <w:r w:rsidR="00EC424D">
        <w:t xml:space="preserve">in TR 38.858 section 11.3.5 [2] as </w:t>
      </w:r>
      <w:proofErr w:type="gramStart"/>
      <w:r w:rsidR="00EC424D">
        <w:t xml:space="preserve">‘ </w:t>
      </w:r>
      <w:r w:rsidR="00EC424D" w:rsidRPr="00D67E25">
        <w:rPr>
          <w:i/>
          <w:iCs/>
        </w:rPr>
        <w:t>…</w:t>
      </w:r>
      <w:proofErr w:type="gramEnd"/>
      <w:r w:rsidR="00EC424D" w:rsidRPr="00D67E25">
        <w:rPr>
          <w:i/>
          <w:iCs/>
        </w:rPr>
        <w:t xml:space="preserve"> interference mitigation techniques will need to be considered’</w:t>
      </w:r>
      <w:r w:rsidR="00EC424D">
        <w:t>.</w:t>
      </w:r>
    </w:p>
    <w:p w14:paraId="286A19C7" w14:textId="77777777" w:rsidR="00EC424D" w:rsidRDefault="00EC424D" w:rsidP="003D58F2">
      <w:pPr>
        <w:rPr>
          <w:b/>
          <w:bCs/>
        </w:rPr>
      </w:pPr>
    </w:p>
    <w:p w14:paraId="54EE785C" w14:textId="658AC39F" w:rsidR="00EC424D" w:rsidRDefault="00EC424D" w:rsidP="003D58F2">
      <w:pPr>
        <w:rPr>
          <w:b/>
          <w:bCs/>
        </w:rPr>
      </w:pPr>
      <w:r>
        <w:rPr>
          <w:b/>
          <w:bCs/>
        </w:rPr>
        <w:t xml:space="preserve">Observation 1: RAN1 and RAN4 concluded in Rel-18 studies that adjacent channel CLI </w:t>
      </w:r>
      <w:r w:rsidR="00347605">
        <w:rPr>
          <w:b/>
          <w:bCs/>
        </w:rPr>
        <w:t xml:space="preserve">can </w:t>
      </w:r>
      <w:r>
        <w:rPr>
          <w:b/>
          <w:bCs/>
        </w:rPr>
        <w:t>significantly impact the performance of SBFD as well as legacy TDD networks</w:t>
      </w:r>
      <w:r w:rsidR="00000BA9">
        <w:rPr>
          <w:b/>
          <w:bCs/>
        </w:rPr>
        <w:t>.</w:t>
      </w:r>
    </w:p>
    <w:p w14:paraId="25E07E7B" w14:textId="77777777" w:rsidR="00000BA9" w:rsidRDefault="00000BA9" w:rsidP="003D58F2">
      <w:pPr>
        <w:rPr>
          <w:b/>
          <w:bCs/>
        </w:rPr>
      </w:pPr>
    </w:p>
    <w:p w14:paraId="1793E4A2" w14:textId="1C3F3B89" w:rsidR="00EC424D" w:rsidRDefault="00EC424D" w:rsidP="003D58F2">
      <w:pPr>
        <w:rPr>
          <w:b/>
          <w:bCs/>
        </w:rPr>
      </w:pPr>
      <w:r>
        <w:rPr>
          <w:b/>
          <w:bCs/>
        </w:rPr>
        <w:t>Observation 2: RAN4 concluded regarding in TR 38.858</w:t>
      </w:r>
      <w:r w:rsidR="00347605">
        <w:rPr>
          <w:b/>
          <w:bCs/>
        </w:rPr>
        <w:t xml:space="preserve"> [2</w:t>
      </w:r>
      <w:r w:rsidR="00C27B92">
        <w:rPr>
          <w:b/>
          <w:bCs/>
        </w:rPr>
        <w:t>] section</w:t>
      </w:r>
      <w:r>
        <w:rPr>
          <w:b/>
          <w:bCs/>
        </w:rPr>
        <w:t xml:space="preserve"> 11.3.5 </w:t>
      </w:r>
      <w:r w:rsidR="00347605">
        <w:rPr>
          <w:b/>
          <w:bCs/>
        </w:rPr>
        <w:t xml:space="preserve">on adjacent channel </w:t>
      </w:r>
      <w:r w:rsidR="00C27B92">
        <w:rPr>
          <w:b/>
          <w:bCs/>
        </w:rPr>
        <w:t>CLI that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‘ …</w:t>
      </w:r>
      <w:proofErr w:type="gramEnd"/>
      <w:r>
        <w:rPr>
          <w:b/>
          <w:bCs/>
        </w:rPr>
        <w:t xml:space="preserve"> </w:t>
      </w:r>
      <w:r w:rsidRPr="00043F37">
        <w:rPr>
          <w:b/>
          <w:bCs/>
          <w:i/>
          <w:iCs/>
        </w:rPr>
        <w:t>interference mitigation techniques will need to be considered</w:t>
      </w:r>
      <w:r>
        <w:rPr>
          <w:b/>
          <w:bCs/>
        </w:rPr>
        <w:t>.’</w:t>
      </w:r>
    </w:p>
    <w:p w14:paraId="6A242658" w14:textId="77777777" w:rsidR="003D58F2" w:rsidRDefault="003D58F2" w:rsidP="003D58F2"/>
    <w:p w14:paraId="5DCE8204" w14:textId="6D8F980B" w:rsidR="00EC424D" w:rsidRDefault="00EC424D" w:rsidP="003D58F2">
      <w:r>
        <w:t>In the recently concluded RAN#103 meeting it was agreed to r</w:t>
      </w:r>
      <w:r w:rsidR="00AE4A26">
        <w:t>evise</w:t>
      </w:r>
      <w:r>
        <w:t xml:space="preserve"> the</w:t>
      </w:r>
      <w:r w:rsidR="00AE4A26">
        <w:t xml:space="preserve"> WID </w:t>
      </w:r>
      <w:r>
        <w:t>to add clarification that</w:t>
      </w:r>
      <w:r w:rsidR="00AE4A26">
        <w:t xml:space="preserve"> </w:t>
      </w:r>
      <w:r>
        <w:t xml:space="preserve">during Rel-19 normative work, </w:t>
      </w:r>
      <w:r w:rsidR="00AE4A26">
        <w:t xml:space="preserve">CLI mitigation techniques </w:t>
      </w:r>
      <w:r w:rsidR="00B307D0">
        <w:t xml:space="preserve">are not limited to </w:t>
      </w:r>
      <w:r w:rsidR="00AE4A26">
        <w:t xml:space="preserve">co-channel </w:t>
      </w:r>
      <w:r w:rsidR="00B307D0">
        <w:t>CLI but do include</w:t>
      </w:r>
      <w:r w:rsidR="00AE4A26">
        <w:t xml:space="preserve"> adjacent channel CLI.  </w:t>
      </w:r>
      <w:r>
        <w:t>Based on the revised WID, RAN1 should also consider the adjacent channel CLI mitigation techniques in Rel-19 normative work.</w:t>
      </w:r>
    </w:p>
    <w:p w14:paraId="7688AB26" w14:textId="77777777" w:rsidR="00EC424D" w:rsidRDefault="00EC424D" w:rsidP="003D58F2"/>
    <w:p w14:paraId="2B0B3584" w14:textId="02F5F489" w:rsidR="00AE4A26" w:rsidRPr="0071368D" w:rsidRDefault="00EC424D" w:rsidP="008E79D4">
      <w:pPr>
        <w:rPr>
          <w:b/>
          <w:bCs/>
        </w:rPr>
      </w:pPr>
      <w:r>
        <w:rPr>
          <w:b/>
          <w:bCs/>
        </w:rPr>
        <w:t xml:space="preserve">Proposal 1: RAN1 </w:t>
      </w:r>
      <w:r w:rsidR="00B307D0">
        <w:rPr>
          <w:b/>
          <w:bCs/>
        </w:rPr>
        <w:t xml:space="preserve">is to </w:t>
      </w:r>
      <w:r>
        <w:rPr>
          <w:b/>
          <w:bCs/>
        </w:rPr>
        <w:t xml:space="preserve">consider adjacent channel CLI </w:t>
      </w:r>
      <w:r w:rsidR="00B307D0">
        <w:rPr>
          <w:b/>
          <w:bCs/>
        </w:rPr>
        <w:t>in addition to</w:t>
      </w:r>
      <w:r>
        <w:rPr>
          <w:b/>
          <w:bCs/>
        </w:rPr>
        <w:t xml:space="preserve"> co-channel CLI </w:t>
      </w:r>
      <w:proofErr w:type="gramStart"/>
      <w:r w:rsidR="00C27B92">
        <w:rPr>
          <w:b/>
          <w:bCs/>
        </w:rPr>
        <w:t>in regard to</w:t>
      </w:r>
      <w:proofErr w:type="gramEnd"/>
      <w:r w:rsidR="00B307D0">
        <w:rPr>
          <w:b/>
          <w:bCs/>
        </w:rPr>
        <w:t xml:space="preserve"> </w:t>
      </w:r>
      <w:r>
        <w:rPr>
          <w:b/>
          <w:bCs/>
        </w:rPr>
        <w:t>mitigation techniques in Rel-19</w:t>
      </w:r>
    </w:p>
    <w:p w14:paraId="4A8DCC6B" w14:textId="4FC7C6FA" w:rsidR="00C7240E" w:rsidRDefault="008706F5" w:rsidP="006E7A3F">
      <w:pPr>
        <w:pStyle w:val="Heading1"/>
        <w:ind w:left="360"/>
      </w:pPr>
      <w:r>
        <w:t>CLI mitigation</w:t>
      </w:r>
    </w:p>
    <w:p w14:paraId="655DC826" w14:textId="4BEDF8D9" w:rsidR="0071368D" w:rsidRDefault="006F6453" w:rsidP="0071368D">
      <w:r>
        <w:t xml:space="preserve">In </w:t>
      </w:r>
      <w:r w:rsidR="0071368D">
        <w:t>Rel-18</w:t>
      </w:r>
      <w:r>
        <w:t>, RAN1</w:t>
      </w:r>
      <w:r w:rsidR="0071368D">
        <w:t xml:space="preserve"> studies </w:t>
      </w:r>
      <w:r w:rsidR="006E7A3F">
        <w:t>focused on</w:t>
      </w:r>
      <w:r w:rsidR="0071368D">
        <w:t xml:space="preserve"> co-channel mitigation techniques and </w:t>
      </w:r>
      <w:r w:rsidR="00500016">
        <w:t xml:space="preserve">these techniques </w:t>
      </w:r>
      <w:r w:rsidR="0071368D">
        <w:t xml:space="preserve">are summarized in TR 38.858 [2].  </w:t>
      </w:r>
      <w:r w:rsidR="006E7A3F">
        <w:t xml:space="preserve">In the </w:t>
      </w:r>
      <w:r w:rsidR="0071368D">
        <w:t>revised WID</w:t>
      </w:r>
      <w:r w:rsidR="006E7A3F">
        <w:t xml:space="preserve"> [1]</w:t>
      </w:r>
      <w:r w:rsidR="0071368D">
        <w:t xml:space="preserve"> it is indicated to start the normative work by down selecting from the mitigation techniques</w:t>
      </w:r>
      <w:r w:rsidR="006E7A3F">
        <w:t xml:space="preserve"> summarized in Rel-18</w:t>
      </w:r>
      <w:r w:rsidR="00D67E25">
        <w:t xml:space="preserve"> TR 38.858 [2]</w:t>
      </w:r>
      <w:r w:rsidR="0071368D">
        <w:t>.</w:t>
      </w:r>
      <w:r w:rsidR="006E7A3F">
        <w:t xml:space="preserve">  </w:t>
      </w:r>
      <w:r w:rsidR="00D67E25">
        <w:t>To</w:t>
      </w:r>
      <w:r w:rsidR="006E7A3F">
        <w:t xml:space="preserve"> </w:t>
      </w:r>
      <w:r w:rsidR="006E7A3F" w:rsidRPr="00025940">
        <w:t xml:space="preserve">reduce the scope creep </w:t>
      </w:r>
      <w:r w:rsidR="006E7A3F">
        <w:t xml:space="preserve">with the addition of adjacent channel </w:t>
      </w:r>
      <w:r w:rsidR="006E7A3F">
        <w:lastRenderedPageBreak/>
        <w:t>CLI mitigation, we propose RAN1 to evaluate, if the co-channel CLI mitigation techniques can also be used for adjacent channel CLI mitigation.</w:t>
      </w:r>
    </w:p>
    <w:p w14:paraId="23854B7D" w14:textId="77777777" w:rsidR="008706F5" w:rsidRDefault="008706F5" w:rsidP="008706F5"/>
    <w:p w14:paraId="50A0DFDC" w14:textId="70BF0D8C" w:rsidR="006E7A3F" w:rsidRDefault="006E7A3F" w:rsidP="008706F5">
      <w:pPr>
        <w:rPr>
          <w:b/>
          <w:bCs/>
        </w:rPr>
      </w:pPr>
      <w:r>
        <w:rPr>
          <w:b/>
          <w:bCs/>
        </w:rPr>
        <w:t xml:space="preserve">Proposal 2: RAN1 </w:t>
      </w:r>
      <w:r w:rsidR="00584039">
        <w:rPr>
          <w:b/>
          <w:bCs/>
        </w:rPr>
        <w:t xml:space="preserve">is to </w:t>
      </w:r>
      <w:r>
        <w:rPr>
          <w:b/>
          <w:bCs/>
        </w:rPr>
        <w:t xml:space="preserve">evaluate </w:t>
      </w:r>
      <w:r w:rsidR="00584039">
        <w:rPr>
          <w:b/>
          <w:bCs/>
        </w:rPr>
        <w:t xml:space="preserve">whether any applicable </w:t>
      </w:r>
      <w:r>
        <w:rPr>
          <w:b/>
          <w:bCs/>
        </w:rPr>
        <w:t xml:space="preserve">co-channel CLI mitigation techniques can be </w:t>
      </w:r>
      <w:r w:rsidR="00584039">
        <w:rPr>
          <w:b/>
          <w:bCs/>
        </w:rPr>
        <w:t xml:space="preserve">extended or adapted </w:t>
      </w:r>
      <w:r>
        <w:rPr>
          <w:b/>
          <w:bCs/>
        </w:rPr>
        <w:t>for</w:t>
      </w:r>
      <w:r w:rsidR="002431E5">
        <w:rPr>
          <w:b/>
          <w:bCs/>
        </w:rPr>
        <w:t xml:space="preserve"> mitigating</w:t>
      </w:r>
      <w:r>
        <w:rPr>
          <w:b/>
          <w:bCs/>
        </w:rPr>
        <w:t xml:space="preserve"> adjacent channel CLI.</w:t>
      </w:r>
    </w:p>
    <w:p w14:paraId="1F5B5E95" w14:textId="77777777" w:rsidR="006E7A3F" w:rsidRPr="006F6453" w:rsidRDefault="006E7A3F" w:rsidP="008706F5"/>
    <w:p w14:paraId="21404314" w14:textId="472F7C64" w:rsidR="0018689E" w:rsidRDefault="00524BC3" w:rsidP="0018689E">
      <w:r>
        <w:t xml:space="preserve">In the recently concluded RAN1#116 </w:t>
      </w:r>
      <w:r w:rsidR="0018689E">
        <w:t xml:space="preserve">meeting </w:t>
      </w:r>
      <w:r w:rsidR="007F166E">
        <w:t xml:space="preserve">the </w:t>
      </w:r>
      <w:r w:rsidR="0018689E">
        <w:t>following mitigation techniques</w:t>
      </w:r>
      <w:r w:rsidR="007F166E">
        <w:t xml:space="preserve"> referring </w:t>
      </w:r>
      <w:r w:rsidR="002431E5">
        <w:t>explicitly</w:t>
      </w:r>
      <w:r w:rsidR="007F166E">
        <w:t xml:space="preserve"> to co-channel CLI</w:t>
      </w:r>
      <w:r w:rsidR="0018689E">
        <w:t xml:space="preserve"> have been down selected</w:t>
      </w:r>
    </w:p>
    <w:p w14:paraId="2506806B" w14:textId="65A3BDAD" w:rsidR="0018689E" w:rsidRPr="0018689E" w:rsidRDefault="0018689E" w:rsidP="0018689E">
      <w:pPr>
        <w:pStyle w:val="ListParagraph"/>
        <w:numPr>
          <w:ilvl w:val="0"/>
          <w:numId w:val="33"/>
        </w:numPr>
      </w:pPr>
      <w:proofErr w:type="spellStart"/>
      <w:r w:rsidRPr="0018689E">
        <w:rPr>
          <w:rFonts w:ascii="Times New Roman" w:eastAsia="SimSun" w:hAnsi="Times New Roman"/>
          <w:szCs w:val="20"/>
          <w:lang w:eastAsia="x-none"/>
        </w:rPr>
        <w:t>gNB</w:t>
      </w:r>
      <w:proofErr w:type="spellEnd"/>
      <w:r w:rsidRPr="0018689E">
        <w:rPr>
          <w:rFonts w:ascii="Times New Roman" w:eastAsia="SimSun" w:hAnsi="Times New Roman"/>
          <w:szCs w:val="20"/>
          <w:lang w:eastAsia="x-none"/>
        </w:rPr>
        <w:t>-to-</w:t>
      </w:r>
      <w:proofErr w:type="spellStart"/>
      <w:r w:rsidRPr="0018689E">
        <w:rPr>
          <w:rFonts w:ascii="Times New Roman" w:eastAsia="SimSun" w:hAnsi="Times New Roman"/>
          <w:szCs w:val="20"/>
          <w:lang w:eastAsia="x-none"/>
        </w:rPr>
        <w:t>gNB</w:t>
      </w:r>
      <w:proofErr w:type="spellEnd"/>
      <w:r w:rsidRPr="0018689E">
        <w:rPr>
          <w:rFonts w:ascii="Times New Roman" w:eastAsia="SimSun" w:hAnsi="Times New Roman"/>
          <w:szCs w:val="20"/>
          <w:lang w:eastAsia="x-none"/>
        </w:rPr>
        <w:t xml:space="preserve"> co-channel CLI mitigation techniques</w:t>
      </w:r>
    </w:p>
    <w:p w14:paraId="53BC56FA" w14:textId="2FECA86F" w:rsidR="0018689E" w:rsidRPr="0018689E" w:rsidRDefault="0018689E" w:rsidP="0018689E">
      <w:pPr>
        <w:pStyle w:val="ListParagraph"/>
        <w:numPr>
          <w:ilvl w:val="1"/>
          <w:numId w:val="33"/>
        </w:numPr>
      </w:pPr>
      <w:proofErr w:type="spellStart"/>
      <w:r w:rsidRPr="0018689E">
        <w:rPr>
          <w:rFonts w:ascii="Times New Roman" w:eastAsia="SimSun" w:hAnsi="Times New Roman"/>
          <w:szCs w:val="20"/>
          <w:lang w:eastAsia="x-none"/>
        </w:rPr>
        <w:t>gNB</w:t>
      </w:r>
      <w:proofErr w:type="spellEnd"/>
      <w:r w:rsidRPr="0018689E">
        <w:rPr>
          <w:rFonts w:ascii="Times New Roman" w:eastAsia="SimSun" w:hAnsi="Times New Roman"/>
          <w:szCs w:val="20"/>
          <w:lang w:eastAsia="x-none"/>
        </w:rPr>
        <w:t>-to-</w:t>
      </w:r>
      <w:proofErr w:type="spellStart"/>
      <w:r w:rsidRPr="0018689E">
        <w:rPr>
          <w:rFonts w:ascii="Times New Roman" w:eastAsia="SimSun" w:hAnsi="Times New Roman"/>
          <w:szCs w:val="20"/>
          <w:lang w:eastAsia="x-none"/>
        </w:rPr>
        <w:t>gNB</w:t>
      </w:r>
      <w:proofErr w:type="spellEnd"/>
      <w:r w:rsidRPr="0018689E">
        <w:rPr>
          <w:rFonts w:ascii="Times New Roman" w:eastAsia="SimSun" w:hAnsi="Times New Roman"/>
          <w:szCs w:val="20"/>
          <w:lang w:eastAsia="x-none"/>
        </w:rPr>
        <w:t xml:space="preserve"> co-channel CLI and/or channel measurements</w:t>
      </w:r>
    </w:p>
    <w:p w14:paraId="7B618956" w14:textId="77777777" w:rsidR="0018689E" w:rsidRPr="0018689E" w:rsidRDefault="0018689E" w:rsidP="0018689E">
      <w:pPr>
        <w:widowControl w:val="0"/>
        <w:numPr>
          <w:ilvl w:val="1"/>
          <w:numId w:val="25"/>
        </w:num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 New Roman" w:eastAsia="SimSun" w:hAnsi="Times New Roman"/>
          <w:szCs w:val="20"/>
          <w:lang w:eastAsia="x-none"/>
        </w:rPr>
      </w:pPr>
      <w:r w:rsidRPr="0018689E">
        <w:rPr>
          <w:rFonts w:ascii="Times New Roman" w:eastAsia="SimSun" w:hAnsi="Times New Roman"/>
          <w:szCs w:val="20"/>
          <w:lang w:eastAsia="x-none"/>
        </w:rPr>
        <w:t xml:space="preserve">Spatial </w:t>
      </w:r>
      <w:proofErr w:type="gramStart"/>
      <w:r w:rsidRPr="0018689E">
        <w:rPr>
          <w:rFonts w:ascii="Times New Roman" w:eastAsia="SimSun" w:hAnsi="Times New Roman"/>
          <w:szCs w:val="20"/>
          <w:lang w:eastAsia="x-none"/>
        </w:rPr>
        <w:t>domain based</w:t>
      </w:r>
      <w:proofErr w:type="gramEnd"/>
      <w:r w:rsidRPr="0018689E">
        <w:rPr>
          <w:rFonts w:ascii="Times New Roman" w:eastAsia="SimSun" w:hAnsi="Times New Roman"/>
          <w:szCs w:val="20"/>
          <w:lang w:eastAsia="x-none"/>
        </w:rPr>
        <w:t xml:space="preserve"> schemes</w:t>
      </w:r>
      <w:r w:rsidRPr="0018689E">
        <w:rPr>
          <w:rFonts w:ascii="Times New Roman" w:eastAsia="SimSun" w:hAnsi="Times New Roman"/>
          <w:szCs w:val="20"/>
          <w:lang w:eastAsia="x-none"/>
        </w:rPr>
        <w:tab/>
      </w:r>
    </w:p>
    <w:p w14:paraId="67DEA43F" w14:textId="77777777" w:rsidR="0018689E" w:rsidRPr="0018689E" w:rsidRDefault="0018689E" w:rsidP="0018689E">
      <w:pPr>
        <w:widowControl w:val="0"/>
        <w:numPr>
          <w:ilvl w:val="1"/>
          <w:numId w:val="25"/>
        </w:numPr>
        <w:suppressAutoHyphens/>
        <w:overflowPunct/>
        <w:autoSpaceDE/>
        <w:autoSpaceDN/>
        <w:adjustRightInd/>
        <w:snapToGrid w:val="0"/>
        <w:ind w:left="1800"/>
        <w:jc w:val="both"/>
        <w:textAlignment w:val="auto"/>
        <w:rPr>
          <w:rFonts w:ascii="Times New Roman" w:eastAsia="SimSun" w:hAnsi="Times New Roman"/>
          <w:szCs w:val="20"/>
          <w:lang w:eastAsia="x-none"/>
        </w:rPr>
      </w:pPr>
      <w:r w:rsidRPr="0018689E">
        <w:rPr>
          <w:rFonts w:ascii="Times New Roman" w:eastAsia="SimSun" w:hAnsi="Times New Roman"/>
          <w:szCs w:val="20"/>
          <w:lang w:eastAsia="x-none"/>
        </w:rPr>
        <w:t>Beam nulling</w:t>
      </w:r>
    </w:p>
    <w:p w14:paraId="634FF667" w14:textId="77777777" w:rsidR="0018689E" w:rsidRPr="0018689E" w:rsidRDefault="0018689E" w:rsidP="0018689E">
      <w:pPr>
        <w:widowControl w:val="0"/>
        <w:numPr>
          <w:ilvl w:val="1"/>
          <w:numId w:val="25"/>
        </w:numPr>
        <w:suppressAutoHyphens/>
        <w:overflowPunct/>
        <w:autoSpaceDE/>
        <w:autoSpaceDN/>
        <w:adjustRightInd/>
        <w:snapToGrid w:val="0"/>
        <w:ind w:left="1800"/>
        <w:jc w:val="both"/>
        <w:textAlignment w:val="auto"/>
        <w:rPr>
          <w:rFonts w:ascii="Times New Roman" w:eastAsia="SimSun" w:hAnsi="Times New Roman"/>
          <w:szCs w:val="20"/>
          <w:lang w:eastAsia="x-none"/>
        </w:rPr>
      </w:pPr>
      <w:r w:rsidRPr="0018689E">
        <w:rPr>
          <w:rFonts w:ascii="Times New Roman" w:eastAsia="SimSun" w:hAnsi="Times New Roman"/>
          <w:szCs w:val="20"/>
          <w:lang w:eastAsia="x-none"/>
        </w:rPr>
        <w:t>Beam pairing</w:t>
      </w:r>
    </w:p>
    <w:p w14:paraId="4BF6BCF8" w14:textId="7F38772F" w:rsidR="0018689E" w:rsidRPr="0018689E" w:rsidRDefault="0018689E" w:rsidP="008706F5">
      <w:pPr>
        <w:widowControl w:val="0"/>
        <w:numPr>
          <w:ilvl w:val="1"/>
          <w:numId w:val="25"/>
        </w:num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 New Roman" w:eastAsia="SimSun" w:hAnsi="Times New Roman"/>
          <w:szCs w:val="20"/>
          <w:lang w:eastAsia="x-none"/>
        </w:rPr>
      </w:pPr>
      <w:r w:rsidRPr="0018689E">
        <w:rPr>
          <w:rFonts w:ascii="Times New Roman" w:eastAsia="SimSun" w:hAnsi="Times New Roman"/>
          <w:szCs w:val="20"/>
          <w:lang w:eastAsia="x-none"/>
        </w:rPr>
        <w:t>Coordinated scheduling in time and/or frequency</w:t>
      </w:r>
    </w:p>
    <w:p w14:paraId="442CA641" w14:textId="4D392E98" w:rsidR="0018689E" w:rsidRPr="0018689E" w:rsidRDefault="0018689E" w:rsidP="0018689E">
      <w:pPr>
        <w:widowControl w:val="0"/>
        <w:numPr>
          <w:ilvl w:val="0"/>
          <w:numId w:val="25"/>
        </w:numPr>
        <w:suppressAutoHyphens/>
        <w:overflowPunct/>
        <w:autoSpaceDE/>
        <w:autoSpaceDN/>
        <w:adjustRightInd/>
        <w:snapToGrid w:val="0"/>
        <w:jc w:val="both"/>
        <w:textAlignment w:val="auto"/>
        <w:rPr>
          <w:rFonts w:ascii="Times New Roman" w:eastAsia="SimSun" w:hAnsi="Times New Roman"/>
          <w:szCs w:val="20"/>
          <w:lang w:eastAsia="x-none"/>
        </w:rPr>
      </w:pPr>
      <w:r w:rsidRPr="0018689E">
        <w:rPr>
          <w:rFonts w:ascii="Times New Roman" w:eastAsia="SimSun" w:hAnsi="Times New Roman"/>
          <w:szCs w:val="20"/>
          <w:lang w:eastAsia="x-none"/>
        </w:rPr>
        <w:t>UE-to-UE co-channel CLI mitigation techniques</w:t>
      </w:r>
    </w:p>
    <w:p w14:paraId="70E7EC11" w14:textId="77777777" w:rsidR="0018689E" w:rsidRPr="0018689E" w:rsidRDefault="0018689E" w:rsidP="0018689E">
      <w:pPr>
        <w:pStyle w:val="ListParagraph"/>
        <w:numPr>
          <w:ilvl w:val="1"/>
          <w:numId w:val="25"/>
        </w:numPr>
        <w:spacing w:after="180"/>
      </w:pPr>
      <w:r w:rsidRPr="0018689E">
        <w:t>UE-to-UE co-channel CLI measurement and reporting</w:t>
      </w:r>
    </w:p>
    <w:p w14:paraId="0C584250" w14:textId="77777777" w:rsidR="0018689E" w:rsidRPr="0018689E" w:rsidRDefault="0018689E" w:rsidP="0018689E">
      <w:pPr>
        <w:pStyle w:val="ListParagraph"/>
        <w:numPr>
          <w:ilvl w:val="1"/>
          <w:numId w:val="25"/>
        </w:numPr>
        <w:spacing w:after="180"/>
      </w:pPr>
      <w:r w:rsidRPr="0018689E">
        <w:t>Coordinated scheduling in time and/or frequency</w:t>
      </w:r>
    </w:p>
    <w:p w14:paraId="30F4AD63" w14:textId="77777777" w:rsidR="0018689E" w:rsidRPr="0018689E" w:rsidRDefault="0018689E" w:rsidP="0018689E">
      <w:pPr>
        <w:pStyle w:val="ListParagraph"/>
        <w:numPr>
          <w:ilvl w:val="1"/>
          <w:numId w:val="25"/>
        </w:numPr>
        <w:spacing w:after="180"/>
      </w:pPr>
      <w:r w:rsidRPr="0018689E">
        <w:t xml:space="preserve">Spatial </w:t>
      </w:r>
      <w:proofErr w:type="gramStart"/>
      <w:r w:rsidRPr="0018689E">
        <w:t>domain based</w:t>
      </w:r>
      <w:proofErr w:type="gramEnd"/>
      <w:r w:rsidRPr="0018689E">
        <w:t xml:space="preserve"> schemes</w:t>
      </w:r>
    </w:p>
    <w:p w14:paraId="35AC7CE4" w14:textId="77777777" w:rsidR="0018689E" w:rsidRDefault="0018689E" w:rsidP="0018689E">
      <w:pPr>
        <w:pStyle w:val="ListParagraph"/>
        <w:numPr>
          <w:ilvl w:val="1"/>
          <w:numId w:val="25"/>
        </w:numPr>
        <w:spacing w:after="180"/>
      </w:pPr>
      <w:r w:rsidRPr="0018689E">
        <w:t xml:space="preserve">Power control based </w:t>
      </w:r>
      <w:proofErr w:type="gramStart"/>
      <w:r w:rsidRPr="0018689E">
        <w:t>schemes</w:t>
      </w:r>
      <w:proofErr w:type="gramEnd"/>
    </w:p>
    <w:p w14:paraId="627BE67E" w14:textId="65BCD5EF" w:rsidR="00000BA9" w:rsidRDefault="00F4127B" w:rsidP="008706F5">
      <w:r>
        <w:t xml:space="preserve">In all the above techniques, </w:t>
      </w:r>
      <w:r w:rsidR="00000BA9">
        <w:t xml:space="preserve">there is a coordination between the victim and aggressor </w:t>
      </w:r>
      <w:proofErr w:type="spellStart"/>
      <w:r w:rsidR="00000BA9">
        <w:t>gNBs</w:t>
      </w:r>
      <w:proofErr w:type="spellEnd"/>
      <w:r w:rsidR="00000BA9">
        <w:t xml:space="preserve"> in terms of </w:t>
      </w:r>
      <w:r w:rsidR="00255B8E">
        <w:t xml:space="preserve">scheduling </w:t>
      </w:r>
      <w:r w:rsidR="00000BA9">
        <w:t>CLI measurements</w:t>
      </w:r>
      <w:r w:rsidR="002C5D1C">
        <w:t>/</w:t>
      </w:r>
      <w:r w:rsidR="00000BA9">
        <w:t>reports</w:t>
      </w:r>
      <w:r w:rsidR="00D67E25">
        <w:t xml:space="preserve"> and</w:t>
      </w:r>
      <w:r w:rsidR="00F777E4">
        <w:t>/or</w:t>
      </w:r>
      <w:r w:rsidR="00D67E25">
        <w:t xml:space="preserve"> scheduling</w:t>
      </w:r>
      <w:r w:rsidR="00F777E4">
        <w:t>/</w:t>
      </w:r>
      <w:r w:rsidR="00D67E25">
        <w:t xml:space="preserve">power </w:t>
      </w:r>
      <w:r w:rsidR="002C5D1C">
        <w:t xml:space="preserve">control </w:t>
      </w:r>
      <w:r w:rsidR="00D67E25">
        <w:t>information</w:t>
      </w:r>
      <w:r w:rsidR="00000BA9">
        <w:t xml:space="preserve">.  Currently the discussion </w:t>
      </w:r>
      <w:r w:rsidR="00255B8E">
        <w:t>contemplates the use of some</w:t>
      </w:r>
      <w:r w:rsidR="002431E5">
        <w:t xml:space="preserve"> </w:t>
      </w:r>
      <w:r w:rsidR="00000BA9">
        <w:t>interface</w:t>
      </w:r>
      <w:r w:rsidR="00255B8E">
        <w:t xml:space="preserve">, e.g., </w:t>
      </w:r>
      <w:proofErr w:type="spellStart"/>
      <w:r w:rsidR="002431E5">
        <w:t>Xn</w:t>
      </w:r>
      <w:proofErr w:type="spellEnd"/>
      <w:r w:rsidR="00255B8E">
        <w:t>,</w:t>
      </w:r>
      <w:r w:rsidR="002431E5">
        <w:t xml:space="preserve"> </w:t>
      </w:r>
      <w:proofErr w:type="gramStart"/>
      <w:r w:rsidR="002431E5">
        <w:t>so as</w:t>
      </w:r>
      <w:r w:rsidR="00000BA9">
        <w:t xml:space="preserve"> to</w:t>
      </w:r>
      <w:proofErr w:type="gramEnd"/>
      <w:r w:rsidR="00000BA9">
        <w:t xml:space="preserve"> facilitate coordination between </w:t>
      </w:r>
      <w:r w:rsidR="00255B8E">
        <w:t xml:space="preserve">a network’s </w:t>
      </w:r>
      <w:r w:rsidR="002431E5">
        <w:t>neighbouring</w:t>
      </w:r>
      <w:r w:rsidR="00000BA9">
        <w:t xml:space="preserve"> </w:t>
      </w:r>
      <w:proofErr w:type="spellStart"/>
      <w:r w:rsidR="00000BA9">
        <w:t>gNBs</w:t>
      </w:r>
      <w:proofErr w:type="spellEnd"/>
      <w:r w:rsidR="00000BA9">
        <w:t xml:space="preserve">.  </w:t>
      </w:r>
      <w:r w:rsidR="00255B8E">
        <w:t>In the natural extension to</w:t>
      </w:r>
      <w:r w:rsidR="00000BA9">
        <w:t xml:space="preserve"> a case where two networks in adjacent</w:t>
      </w:r>
      <w:r w:rsidR="002431E5">
        <w:t xml:space="preserve">-channel TDD </w:t>
      </w:r>
      <w:r w:rsidR="00000BA9">
        <w:t>carrier</w:t>
      </w:r>
      <w:r w:rsidR="002431E5">
        <w:t>s</w:t>
      </w:r>
      <w:r w:rsidR="00000BA9">
        <w:t xml:space="preserve"> are deployed by the same operator the </w:t>
      </w:r>
      <w:r w:rsidR="00F06D3E">
        <w:t xml:space="preserve">same co-channel mitigation techniques may </w:t>
      </w:r>
      <w:r w:rsidR="00255B8E">
        <w:t>extend</w:t>
      </w:r>
      <w:r w:rsidR="00F06D3E">
        <w:t xml:space="preserve"> to mitigat</w:t>
      </w:r>
      <w:r w:rsidR="0048186B">
        <w:t>ing</w:t>
      </w:r>
      <w:r w:rsidR="00F06D3E">
        <w:t xml:space="preserve"> adjacent channel CLI </w:t>
      </w:r>
      <w:r w:rsidR="0048186B">
        <w:t>by similarly leveraging</w:t>
      </w:r>
      <w:r w:rsidR="00000BA9">
        <w:t xml:space="preserve"> interfaces</w:t>
      </w:r>
      <w:r w:rsidR="00F06D3E">
        <w:t>,</w:t>
      </w:r>
      <w:r w:rsidR="00000BA9">
        <w:t xml:space="preserve"> e.g., </w:t>
      </w:r>
      <w:proofErr w:type="spellStart"/>
      <w:r w:rsidR="00000BA9">
        <w:t>Xn</w:t>
      </w:r>
      <w:proofErr w:type="spellEnd"/>
      <w:r w:rsidR="00000BA9">
        <w:t xml:space="preserve"> interface</w:t>
      </w:r>
      <w:r w:rsidR="00F06D3E">
        <w:t xml:space="preserve">, between </w:t>
      </w:r>
      <w:r w:rsidR="00F06D3E" w:rsidRPr="00F777E4">
        <w:t xml:space="preserve">the </w:t>
      </w:r>
      <w:r w:rsidR="002431E5" w:rsidRPr="00F777E4">
        <w:t>neighbouring</w:t>
      </w:r>
      <w:r w:rsidR="00F777E4" w:rsidRPr="00F777E4">
        <w:t xml:space="preserve"> </w:t>
      </w:r>
      <w:proofErr w:type="spellStart"/>
      <w:r w:rsidR="00F06D3E" w:rsidRPr="00F777E4">
        <w:t>gNBs</w:t>
      </w:r>
      <w:proofErr w:type="spellEnd"/>
      <w:r w:rsidR="00F06D3E" w:rsidRPr="00F777E4">
        <w:t xml:space="preserve"> </w:t>
      </w:r>
      <w:r w:rsidR="00F777E4" w:rsidRPr="00F777E4">
        <w:t>deployed</w:t>
      </w:r>
      <w:r w:rsidR="00D67E25" w:rsidRPr="00F777E4">
        <w:t xml:space="preserve"> in adjacent</w:t>
      </w:r>
      <w:r w:rsidR="0048186B">
        <w:t>-</w:t>
      </w:r>
      <w:r w:rsidR="002431E5">
        <w:t>channel TDD carriers</w:t>
      </w:r>
      <w:r w:rsidR="00D67E25" w:rsidRPr="00F777E4">
        <w:t xml:space="preserve"> </w:t>
      </w:r>
      <w:r w:rsidR="00F777E4" w:rsidRPr="00F777E4">
        <w:t>by</w:t>
      </w:r>
      <w:r w:rsidR="00D67E25" w:rsidRPr="00F777E4">
        <w:t xml:space="preserve"> the same operator</w:t>
      </w:r>
      <w:r w:rsidR="00F06D3E" w:rsidRPr="00F777E4">
        <w:t>.</w:t>
      </w:r>
    </w:p>
    <w:p w14:paraId="17A90B90" w14:textId="77777777" w:rsidR="00000BA9" w:rsidRDefault="00000BA9" w:rsidP="008706F5"/>
    <w:p w14:paraId="2745D3EA" w14:textId="563A3E70" w:rsidR="00000BA9" w:rsidRDefault="00000BA9" w:rsidP="008706F5">
      <w:pPr>
        <w:rPr>
          <w:b/>
          <w:bCs/>
        </w:rPr>
      </w:pPr>
      <w:r>
        <w:rPr>
          <w:b/>
          <w:bCs/>
        </w:rPr>
        <w:t>Observation 3: I</w:t>
      </w:r>
      <w:r w:rsidR="00F06D3E">
        <w:rPr>
          <w:b/>
          <w:bCs/>
        </w:rPr>
        <w:t>f</w:t>
      </w:r>
      <w:r>
        <w:rPr>
          <w:b/>
          <w:bCs/>
        </w:rPr>
        <w:t xml:space="preserve"> two networks </w:t>
      </w:r>
      <w:r w:rsidR="00D217F7">
        <w:rPr>
          <w:b/>
          <w:bCs/>
        </w:rPr>
        <w:t xml:space="preserve">are </w:t>
      </w:r>
      <w:r w:rsidR="00F06D3E">
        <w:rPr>
          <w:b/>
          <w:bCs/>
        </w:rPr>
        <w:t>deployed</w:t>
      </w:r>
      <w:r>
        <w:rPr>
          <w:b/>
          <w:bCs/>
        </w:rPr>
        <w:t xml:space="preserve"> in </w:t>
      </w:r>
      <w:r w:rsidR="0003655F">
        <w:rPr>
          <w:b/>
          <w:bCs/>
        </w:rPr>
        <w:t xml:space="preserve">two </w:t>
      </w:r>
      <w:r>
        <w:rPr>
          <w:b/>
          <w:bCs/>
        </w:rPr>
        <w:t>adjacent</w:t>
      </w:r>
      <w:r w:rsidR="0003655F">
        <w:rPr>
          <w:b/>
          <w:bCs/>
        </w:rPr>
        <w:t>-channel</w:t>
      </w:r>
      <w:r>
        <w:rPr>
          <w:b/>
          <w:bCs/>
        </w:rPr>
        <w:t xml:space="preserve"> carrier by the same operator</w:t>
      </w:r>
      <w:r w:rsidR="00F06D3E">
        <w:rPr>
          <w:b/>
          <w:bCs/>
        </w:rPr>
        <w:t xml:space="preserve"> then </w:t>
      </w:r>
      <w:r w:rsidR="0048186B">
        <w:rPr>
          <w:b/>
          <w:bCs/>
        </w:rPr>
        <w:t>similar</w:t>
      </w:r>
      <w:r w:rsidR="00F06D3E">
        <w:rPr>
          <w:b/>
          <w:bCs/>
        </w:rPr>
        <w:t xml:space="preserve"> interfaces</w:t>
      </w:r>
      <w:r w:rsidR="0048186B">
        <w:rPr>
          <w:b/>
          <w:bCs/>
        </w:rPr>
        <w:t xml:space="preserve"> under the control of one operator</w:t>
      </w:r>
      <w:r w:rsidR="00F06D3E">
        <w:rPr>
          <w:b/>
          <w:bCs/>
        </w:rPr>
        <w:t xml:space="preserve">, e.g., </w:t>
      </w:r>
      <w:proofErr w:type="spellStart"/>
      <w:r>
        <w:rPr>
          <w:b/>
          <w:bCs/>
        </w:rPr>
        <w:t>Xn</w:t>
      </w:r>
      <w:proofErr w:type="spellEnd"/>
      <w:r w:rsidR="00F06D3E">
        <w:rPr>
          <w:b/>
          <w:bCs/>
        </w:rPr>
        <w:t xml:space="preserve">, </w:t>
      </w:r>
      <w:r w:rsidR="0003655F">
        <w:rPr>
          <w:b/>
          <w:bCs/>
        </w:rPr>
        <w:t xml:space="preserve">could </w:t>
      </w:r>
      <w:r w:rsidR="00F06D3E">
        <w:rPr>
          <w:b/>
          <w:bCs/>
        </w:rPr>
        <w:t xml:space="preserve">be </w:t>
      </w:r>
      <w:r w:rsidR="0048186B">
        <w:rPr>
          <w:b/>
          <w:bCs/>
        </w:rPr>
        <w:t xml:space="preserve">further leveraged </w:t>
      </w:r>
      <w:r w:rsidR="0003655F">
        <w:rPr>
          <w:b/>
          <w:bCs/>
        </w:rPr>
        <w:t xml:space="preserve">for coordination </w:t>
      </w:r>
      <w:proofErr w:type="gramStart"/>
      <w:r w:rsidR="0003655F">
        <w:rPr>
          <w:b/>
          <w:bCs/>
        </w:rPr>
        <w:t xml:space="preserve">in order </w:t>
      </w:r>
      <w:r>
        <w:rPr>
          <w:b/>
          <w:bCs/>
        </w:rPr>
        <w:t>to</w:t>
      </w:r>
      <w:proofErr w:type="gramEnd"/>
      <w:r>
        <w:rPr>
          <w:b/>
          <w:bCs/>
        </w:rPr>
        <w:t xml:space="preserve"> mitigate </w:t>
      </w:r>
      <w:r w:rsidR="0003655F">
        <w:rPr>
          <w:b/>
          <w:bCs/>
        </w:rPr>
        <w:t>both types of</w:t>
      </w:r>
      <w:r>
        <w:rPr>
          <w:b/>
          <w:bCs/>
        </w:rPr>
        <w:t xml:space="preserve"> CLI </w:t>
      </w:r>
      <w:r w:rsidR="0048186B">
        <w:rPr>
          <w:b/>
          <w:bCs/>
        </w:rPr>
        <w:t xml:space="preserve">(adjacent- </w:t>
      </w:r>
      <w:r w:rsidR="003A454C">
        <w:rPr>
          <w:b/>
          <w:bCs/>
        </w:rPr>
        <w:t>and co</w:t>
      </w:r>
      <w:r w:rsidR="0048186B">
        <w:rPr>
          <w:b/>
          <w:bCs/>
        </w:rPr>
        <w:t>-channel) using</w:t>
      </w:r>
      <w:r w:rsidR="0003655F">
        <w:rPr>
          <w:b/>
          <w:bCs/>
        </w:rPr>
        <w:t xml:space="preserve"> similar</w:t>
      </w:r>
      <w:r w:rsidR="0048186B">
        <w:rPr>
          <w:b/>
          <w:bCs/>
        </w:rPr>
        <w:t>ly</w:t>
      </w:r>
      <w:r w:rsidR="007F166E">
        <w:rPr>
          <w:b/>
          <w:bCs/>
        </w:rPr>
        <w:t xml:space="preserve"> applicable</w:t>
      </w:r>
      <w:r w:rsidR="0003655F">
        <w:rPr>
          <w:b/>
          <w:bCs/>
        </w:rPr>
        <w:t xml:space="preserve"> mitigation technique(s)</w:t>
      </w:r>
      <w:r w:rsidR="00F06D3E">
        <w:rPr>
          <w:b/>
          <w:bCs/>
        </w:rPr>
        <w:t>.</w:t>
      </w:r>
    </w:p>
    <w:p w14:paraId="2A5287D3" w14:textId="11B13383" w:rsidR="00000BA9" w:rsidRDefault="00000BA9" w:rsidP="008706F5"/>
    <w:p w14:paraId="1929E243" w14:textId="63FB4D77" w:rsidR="004B436D" w:rsidRDefault="004B436D" w:rsidP="008706F5">
      <w:pPr>
        <w:rPr>
          <w:b/>
          <w:bCs/>
        </w:rPr>
      </w:pPr>
      <w:r w:rsidRPr="004B436D">
        <w:rPr>
          <w:b/>
          <w:bCs/>
        </w:rPr>
        <w:t xml:space="preserve">Proposal </w:t>
      </w:r>
      <w:r w:rsidR="00C27B92">
        <w:rPr>
          <w:b/>
          <w:bCs/>
        </w:rPr>
        <w:t>3</w:t>
      </w:r>
      <w:r w:rsidRPr="004B436D">
        <w:rPr>
          <w:b/>
          <w:bCs/>
        </w:rPr>
        <w:t xml:space="preserve">: </w:t>
      </w:r>
      <w:r>
        <w:rPr>
          <w:b/>
          <w:bCs/>
        </w:rPr>
        <w:t>RAN1 CLI mitigation techniques requiring coordination</w:t>
      </w:r>
      <w:r w:rsidR="007F166E">
        <w:rPr>
          <w:b/>
          <w:bCs/>
        </w:rPr>
        <w:t xml:space="preserve"> among</w:t>
      </w:r>
      <w:r>
        <w:rPr>
          <w:b/>
          <w:bCs/>
        </w:rPr>
        <w:t xml:space="preserve"> </w:t>
      </w:r>
      <w:r w:rsidR="007F166E">
        <w:rPr>
          <w:b/>
          <w:bCs/>
        </w:rPr>
        <w:t>two networks in adjacent-</w:t>
      </w:r>
      <w:r w:rsidR="006505F3">
        <w:rPr>
          <w:b/>
          <w:bCs/>
        </w:rPr>
        <w:t>channel carriers</w:t>
      </w:r>
      <w:r w:rsidR="007F166E">
        <w:rPr>
          <w:b/>
          <w:bCs/>
        </w:rPr>
        <w:t xml:space="preserve"> deployed by the same operator </w:t>
      </w:r>
      <w:r>
        <w:rPr>
          <w:b/>
          <w:bCs/>
        </w:rPr>
        <w:t xml:space="preserve">should be evaluated </w:t>
      </w:r>
      <w:r w:rsidR="0048186B">
        <w:rPr>
          <w:b/>
          <w:bCs/>
        </w:rPr>
        <w:t xml:space="preserve">and leveraged/extended </w:t>
      </w:r>
      <w:r>
        <w:rPr>
          <w:b/>
          <w:bCs/>
        </w:rPr>
        <w:t>for adjacent channel CLI mitigation.</w:t>
      </w:r>
    </w:p>
    <w:p w14:paraId="47488B8B" w14:textId="77777777" w:rsidR="004B436D" w:rsidRDefault="004B436D" w:rsidP="008706F5">
      <w:pPr>
        <w:rPr>
          <w:b/>
          <w:bCs/>
        </w:rPr>
      </w:pPr>
    </w:p>
    <w:p w14:paraId="5A5F7A30" w14:textId="64A60076" w:rsidR="00360389" w:rsidRPr="00360389" w:rsidRDefault="00360389" w:rsidP="00360389">
      <w:pPr>
        <w:pStyle w:val="Heading2"/>
        <w:keepLines w:val="0"/>
        <w:numPr>
          <w:ilvl w:val="1"/>
          <w:numId w:val="1"/>
        </w:numPr>
        <w:tabs>
          <w:tab w:val="num" w:pos="576"/>
        </w:tabs>
        <w:overflowPunct/>
        <w:snapToGrid w:val="0"/>
        <w:spacing w:before="120" w:after="120"/>
        <w:ind w:left="576" w:hanging="576"/>
        <w:jc w:val="both"/>
        <w:textAlignment w:val="auto"/>
        <w:rPr>
          <w:rFonts w:ascii="Tahoma" w:eastAsia="SimSun" w:hAnsi="Tahoma" w:cs="Tahoma"/>
          <w:color w:val="auto"/>
          <w:sz w:val="28"/>
          <w:szCs w:val="28"/>
          <w:lang w:val="en-US"/>
        </w:rPr>
      </w:pPr>
      <w:r w:rsidRPr="00360389">
        <w:rPr>
          <w:rFonts w:ascii="Tahoma" w:eastAsia="SimSun" w:hAnsi="Tahoma" w:cs="Tahoma"/>
          <w:color w:val="auto"/>
          <w:sz w:val="28"/>
          <w:szCs w:val="28"/>
          <w:lang w:val="en-US"/>
        </w:rPr>
        <w:t>CLI mitig</w:t>
      </w:r>
      <w:r w:rsidR="00B66EEF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ation due to changing context of </w:t>
      </w:r>
      <w:r w:rsidRPr="00360389">
        <w:rPr>
          <w:rFonts w:ascii="Tahoma" w:eastAsia="SimSun" w:hAnsi="Tahoma" w:cs="Tahoma"/>
          <w:color w:val="auto"/>
          <w:sz w:val="28"/>
          <w:szCs w:val="28"/>
          <w:lang w:val="en-US"/>
        </w:rPr>
        <w:t>flexible</w:t>
      </w:r>
      <w:r w:rsidR="00F777E4">
        <w:rPr>
          <w:rFonts w:ascii="Tahoma" w:eastAsia="SimSun" w:hAnsi="Tahoma" w:cs="Tahoma"/>
          <w:color w:val="auto"/>
          <w:sz w:val="28"/>
          <w:szCs w:val="28"/>
          <w:lang w:val="en-US"/>
        </w:rPr>
        <w:t xml:space="preserve"> symbols</w:t>
      </w:r>
    </w:p>
    <w:p w14:paraId="2F6554DC" w14:textId="249E2609" w:rsidR="006505F3" w:rsidRDefault="004D421E" w:rsidP="008706F5">
      <w:r>
        <w:t xml:space="preserve">Rel-19 WID [2] allows the flexible symbols to be converted to SBFD.  Our view is that </w:t>
      </w:r>
      <w:r w:rsidR="005E6E88">
        <w:t xml:space="preserve">some manners of </w:t>
      </w:r>
      <w:r w:rsidR="00C27B92">
        <w:t>converting flexible</w:t>
      </w:r>
      <w:r>
        <w:t xml:space="preserve"> symbol</w:t>
      </w:r>
      <w:r w:rsidR="005E6E88">
        <w:t xml:space="preserve"> can</w:t>
      </w:r>
      <w:r>
        <w:t xml:space="preserve"> </w:t>
      </w:r>
      <w:r w:rsidR="00597357">
        <w:t>cause</w:t>
      </w:r>
      <w:r>
        <w:t xml:space="preserve"> </w:t>
      </w:r>
      <w:r w:rsidR="006505F3">
        <w:t xml:space="preserve">significant </w:t>
      </w:r>
      <w:r>
        <w:t xml:space="preserve">CLI </w:t>
      </w:r>
      <w:r w:rsidR="005E6E88" w:rsidRPr="00C27B92">
        <w:rPr>
          <w:i/>
          <w:iCs/>
        </w:rPr>
        <w:t>inter</w:t>
      </w:r>
      <w:r w:rsidR="005E6E88">
        <w:t xml:space="preserve">-network </w:t>
      </w:r>
      <w:r w:rsidR="001F548E">
        <w:t>(e.g.</w:t>
      </w:r>
      <w:r w:rsidR="006505F3">
        <w:t>,</w:t>
      </w:r>
      <w:r w:rsidR="001F548E">
        <w:t xml:space="preserve"> two</w:t>
      </w:r>
      <w:r w:rsidR="006505F3">
        <w:t xml:space="preserve"> </w:t>
      </w:r>
      <w:r w:rsidR="001F548E" w:rsidRPr="00C27B92">
        <w:rPr>
          <w:i/>
          <w:iCs/>
        </w:rPr>
        <w:t>adjacent</w:t>
      </w:r>
      <w:r w:rsidR="001F548E">
        <w:t xml:space="preserve">-channel TDD carriers) </w:t>
      </w:r>
      <w:r w:rsidR="005E6E88">
        <w:t xml:space="preserve">as well </w:t>
      </w:r>
      <w:r w:rsidR="001F548E">
        <w:t xml:space="preserve">as </w:t>
      </w:r>
      <w:r w:rsidR="001F548E" w:rsidRPr="00C27B92">
        <w:rPr>
          <w:i/>
          <w:iCs/>
        </w:rPr>
        <w:t>intra</w:t>
      </w:r>
      <w:r w:rsidR="005E6E88">
        <w:t>-</w:t>
      </w:r>
      <w:r>
        <w:t>network</w:t>
      </w:r>
      <w:r w:rsidR="00597357">
        <w:t>.</w:t>
      </w:r>
    </w:p>
    <w:p w14:paraId="7E814E4C" w14:textId="77777777" w:rsidR="006505F3" w:rsidRDefault="006505F3" w:rsidP="008706F5"/>
    <w:p w14:paraId="54C389B9" w14:textId="70AAB628" w:rsidR="00700F5E" w:rsidRDefault="00597357" w:rsidP="008706F5">
      <w:r>
        <w:t xml:space="preserve">To illustrate, consider </w:t>
      </w:r>
      <w:r w:rsidR="00D55D7B">
        <w:t xml:space="preserve">the </w:t>
      </w:r>
      <w:r w:rsidR="00D55D7B" w:rsidRPr="00C27B92">
        <w:rPr>
          <w:i/>
          <w:iCs/>
        </w:rPr>
        <w:t>latter</w:t>
      </w:r>
      <w:r w:rsidR="00D55D7B">
        <w:t xml:space="preserve"> </w:t>
      </w:r>
      <w:r>
        <w:t xml:space="preserve">case when a network of single operator </w:t>
      </w:r>
      <w:r w:rsidR="003B1964">
        <w:t>starts</w:t>
      </w:r>
      <w:r w:rsidR="00E10CB4">
        <w:t xml:space="preserve"> all the </w:t>
      </w:r>
      <w:proofErr w:type="spellStart"/>
      <w:r w:rsidR="00E10CB4">
        <w:t>gNBs</w:t>
      </w:r>
      <w:proofErr w:type="spellEnd"/>
      <w:r w:rsidR="00E10CB4">
        <w:t xml:space="preserve"> with synchronized </w:t>
      </w:r>
      <w:r w:rsidR="001F548E">
        <w:t xml:space="preserve">and/or </w:t>
      </w:r>
      <w:r w:rsidR="00E10CB4">
        <w:t xml:space="preserve">coordinated TDD configurations </w:t>
      </w:r>
      <w:r w:rsidR="001F548E">
        <w:t>and</w:t>
      </w:r>
      <w:r w:rsidR="00DB0E37">
        <w:t>,</w:t>
      </w:r>
      <w:r w:rsidR="001F548E">
        <w:t xml:space="preserve"> </w:t>
      </w:r>
      <w:r w:rsidR="00DB0E37">
        <w:t xml:space="preserve">further, </w:t>
      </w:r>
      <w:r w:rsidR="00E10CB4">
        <w:t>certain symbol(s)/slot(s) in the TDD configuration are designated as ‘Flexible’</w:t>
      </w:r>
      <w:r w:rsidR="003B1964">
        <w:t xml:space="preserve">, </w:t>
      </w:r>
      <w:r w:rsidR="00DB0E37">
        <w:t>so that</w:t>
      </w:r>
      <w:r w:rsidR="00E10CB4">
        <w:t xml:space="preserve"> the network </w:t>
      </w:r>
      <w:r w:rsidR="00DB0E37">
        <w:t>may leverage</w:t>
      </w:r>
      <w:r w:rsidR="00E10CB4">
        <w:t xml:space="preserve"> these symbol(s)/slot(s) according to the traffic</w:t>
      </w:r>
      <w:r w:rsidR="00DB0E37">
        <w:t>/</w:t>
      </w:r>
      <w:r w:rsidR="00C27B92">
        <w:t>scheduler needs</w:t>
      </w:r>
      <w:r w:rsidR="00E10CB4">
        <w:t xml:space="preserve">.  </w:t>
      </w:r>
      <w:r w:rsidR="004D421E">
        <w:t xml:space="preserve"> </w:t>
      </w:r>
      <w:r w:rsidR="00742C47">
        <w:t>Later,</w:t>
      </w:r>
      <w:r w:rsidR="00E10CB4">
        <w:t xml:space="preserve"> gNB1 may change </w:t>
      </w:r>
      <w:r w:rsidR="00742C47">
        <w:t xml:space="preserve">one (or more) </w:t>
      </w:r>
      <w:r w:rsidR="00E10CB4">
        <w:t xml:space="preserve">‘Flexible’ symbol(s)/slot(s) </w:t>
      </w:r>
      <w:r w:rsidR="00742C47">
        <w:t>with</w:t>
      </w:r>
      <w:r w:rsidR="00E10CB4">
        <w:t xml:space="preserve">in its TDD configuration </w:t>
      </w:r>
      <w:r w:rsidR="00742C47">
        <w:t>in</w:t>
      </w:r>
      <w:r w:rsidR="00E10CB4">
        <w:t>to ‘U’ to accommodate</w:t>
      </w:r>
      <w:r w:rsidR="00D55D7B">
        <w:t>, e.g.,</w:t>
      </w:r>
      <w:r w:rsidR="00E10CB4">
        <w:t xml:space="preserve"> </w:t>
      </w:r>
      <w:r w:rsidR="00742C47">
        <w:t xml:space="preserve">a </w:t>
      </w:r>
      <w:r w:rsidR="00E10CB4">
        <w:t xml:space="preserve">group of </w:t>
      </w:r>
      <w:r w:rsidR="00742C47">
        <w:t xml:space="preserve">(legacy) </w:t>
      </w:r>
      <w:r w:rsidR="00E10CB4">
        <w:t>UEs that need more UL opportunities</w:t>
      </w:r>
      <w:r w:rsidR="00742C47">
        <w:t>—</w:t>
      </w:r>
      <w:r w:rsidR="00E10CB4">
        <w:t xml:space="preserve">while its </w:t>
      </w:r>
      <w:r w:rsidR="00DB0E37">
        <w:t>neighbouring</w:t>
      </w:r>
      <w:r w:rsidR="00E10CB4">
        <w:t xml:space="preserve"> gNB2 will change the </w:t>
      </w:r>
      <w:r w:rsidR="006505F3">
        <w:t>homologous</w:t>
      </w:r>
      <w:r w:rsidR="00742C47">
        <w:t xml:space="preserve"> </w:t>
      </w:r>
      <w:r w:rsidR="00E10CB4">
        <w:t xml:space="preserve">‘Flexible’ </w:t>
      </w:r>
      <w:r w:rsidR="00742C47">
        <w:t>symbol</w:t>
      </w:r>
      <w:r w:rsidR="00E10CB4">
        <w:t>(s)/slot(s)</w:t>
      </w:r>
      <w:r w:rsidR="00742C47">
        <w:t>, i.e., at same time location(s),</w:t>
      </w:r>
      <w:r w:rsidR="00E10CB4">
        <w:t xml:space="preserve"> </w:t>
      </w:r>
      <w:r w:rsidR="00742C47">
        <w:t>in</w:t>
      </w:r>
      <w:r w:rsidR="00E10CB4">
        <w:t xml:space="preserve">to ‘SBFD (X)’ symbol(s)/slot(s). </w:t>
      </w:r>
    </w:p>
    <w:p w14:paraId="2435D72E" w14:textId="77777777" w:rsidR="00E10CB4" w:rsidRDefault="00E10CB4" w:rsidP="008706F5"/>
    <w:p w14:paraId="2037C189" w14:textId="1B865F51" w:rsidR="00E10CB4" w:rsidRDefault="00E10CB4" w:rsidP="008706F5">
      <w:r>
        <w:t xml:space="preserve">                       </w:t>
      </w:r>
      <w:r w:rsidR="00700F5E">
        <w:tab/>
      </w:r>
      <w:r w:rsidR="00700F5E">
        <w:tab/>
        <w:t xml:space="preserve">  </w:t>
      </w:r>
      <w:r w:rsidR="00742C47">
        <w:t>Instance 1</w:t>
      </w:r>
      <w:r w:rsidR="00700F5E">
        <w:tab/>
      </w:r>
      <w:r w:rsidR="00DB0E37">
        <w:t xml:space="preserve">    </w:t>
      </w:r>
      <w:r w:rsidR="00DB0E37">
        <w:tab/>
      </w:r>
      <w:r w:rsidR="00700F5E">
        <w:tab/>
      </w:r>
      <w:r w:rsidR="00742C47">
        <w:t>Instance 2</w:t>
      </w:r>
    </w:p>
    <w:p w14:paraId="3DA08E10" w14:textId="5593F977" w:rsidR="00E10CB4" w:rsidRDefault="00E10CB4" w:rsidP="008706F5">
      <w:r>
        <w:t>gNB1 TDD Configuration:  DDD</w:t>
      </w:r>
      <w:r w:rsidRPr="00C27B92">
        <w:rPr>
          <w:b/>
          <w:bCs/>
          <w:color w:val="00B050"/>
        </w:rPr>
        <w:t>F</w:t>
      </w:r>
      <w:r w:rsidR="00700F5E">
        <w:t>U</w:t>
      </w:r>
      <w:r w:rsidR="00700F5E">
        <w:tab/>
      </w:r>
      <w:r w:rsidR="00DB0E37">
        <w:rPr>
          <w:rFonts w:ascii="Wingdings 3" w:hAnsi="Wingdings 3"/>
        </w:rPr>
        <w:t>a</w:t>
      </w:r>
      <w:r w:rsidR="00700F5E">
        <w:tab/>
      </w:r>
      <w:r w:rsidR="00700F5E">
        <w:tab/>
        <w:t>DDD</w:t>
      </w:r>
      <w:r w:rsidR="00700F5E" w:rsidRPr="00C27B92">
        <w:rPr>
          <w:b/>
          <w:bCs/>
          <w:color w:val="FF0000"/>
        </w:rPr>
        <w:t>U</w:t>
      </w:r>
      <w:r w:rsidR="00700F5E">
        <w:t>U</w:t>
      </w:r>
    </w:p>
    <w:p w14:paraId="69B8619C" w14:textId="28D640D8" w:rsidR="00E10CB4" w:rsidRDefault="00E10CB4" w:rsidP="008706F5">
      <w:r>
        <w:t>gNB2 TDD Configuration:  DDD</w:t>
      </w:r>
      <w:r w:rsidRPr="00C27B92">
        <w:rPr>
          <w:b/>
          <w:bCs/>
          <w:color w:val="00B050"/>
        </w:rPr>
        <w:t>F</w:t>
      </w:r>
      <w:r>
        <w:t>U</w:t>
      </w:r>
      <w:r w:rsidR="00700F5E">
        <w:tab/>
      </w:r>
      <w:r w:rsidR="006505F3">
        <w:rPr>
          <w:rFonts w:ascii="Wingdings 3" w:hAnsi="Wingdings 3"/>
        </w:rPr>
        <w:t>a</w:t>
      </w:r>
      <w:r w:rsidR="006505F3" w:rsidDel="00DB0E37">
        <w:t xml:space="preserve"> </w:t>
      </w:r>
      <w:r w:rsidR="00700F5E">
        <w:tab/>
      </w:r>
      <w:r w:rsidR="00700F5E">
        <w:tab/>
        <w:t>DDD</w:t>
      </w:r>
      <w:r w:rsidR="00700F5E" w:rsidRPr="00C27B92">
        <w:rPr>
          <w:b/>
          <w:bCs/>
          <w:color w:val="FF0000"/>
        </w:rPr>
        <w:t>X</w:t>
      </w:r>
      <w:r w:rsidR="00700F5E">
        <w:t>U</w:t>
      </w:r>
    </w:p>
    <w:p w14:paraId="36F7F2EA" w14:textId="77777777" w:rsidR="00E10CB4" w:rsidRDefault="00E10CB4" w:rsidP="008706F5"/>
    <w:p w14:paraId="54C23D9E" w14:textId="5A88492F" w:rsidR="00E10CB4" w:rsidRDefault="003B1964" w:rsidP="008706F5">
      <w:r>
        <w:lastRenderedPageBreak/>
        <w:t xml:space="preserve">In the above example </w:t>
      </w:r>
      <w:r w:rsidR="00742C47">
        <w:t xml:space="preserve">the time resource(s) in position </w:t>
      </w:r>
      <w:r>
        <w:t xml:space="preserve">4 </w:t>
      </w:r>
      <w:r w:rsidR="00742C47">
        <w:t xml:space="preserve">(within a period) </w:t>
      </w:r>
      <w:r>
        <w:t xml:space="preserve">at </w:t>
      </w:r>
      <w:r w:rsidR="00742C47">
        <w:t>instance 2</w:t>
      </w:r>
      <w:r>
        <w:t xml:space="preserve"> will </w:t>
      </w:r>
      <w:r w:rsidR="00742C47">
        <w:t xml:space="preserve">enable </w:t>
      </w:r>
      <w:proofErr w:type="spellStart"/>
      <w:r w:rsidR="00700F5E">
        <w:t>gNB</w:t>
      </w:r>
      <w:proofErr w:type="spellEnd"/>
      <w:r w:rsidR="00700F5E">
        <w:t>-to-</w:t>
      </w:r>
      <w:proofErr w:type="spellStart"/>
      <w:r w:rsidR="00700F5E">
        <w:t>gNB</w:t>
      </w:r>
      <w:proofErr w:type="spellEnd"/>
      <w:r w:rsidR="00700F5E">
        <w:t xml:space="preserve"> CLI </w:t>
      </w:r>
      <w:r>
        <w:t xml:space="preserve">between </w:t>
      </w:r>
      <w:r w:rsidR="00A754B1">
        <w:t>gNB1 and gNB2.  S</w:t>
      </w:r>
      <w:r w:rsidR="00700F5E">
        <w:t>uch a situation should be avoided</w:t>
      </w:r>
      <w:r w:rsidR="00A754B1">
        <w:t xml:space="preserve"> </w:t>
      </w:r>
      <w:r w:rsidR="005717E2">
        <w:t xml:space="preserve">whenever possible </w:t>
      </w:r>
      <w:proofErr w:type="gramStart"/>
      <w:r w:rsidR="005717E2">
        <w:t xml:space="preserve">so as </w:t>
      </w:r>
      <w:r w:rsidR="00A754B1">
        <w:t>to</w:t>
      </w:r>
      <w:proofErr w:type="gramEnd"/>
      <w:r w:rsidR="00A754B1">
        <w:t xml:space="preserve"> limit the </w:t>
      </w:r>
      <w:r w:rsidR="005717E2">
        <w:t xml:space="preserve">occurrence </w:t>
      </w:r>
      <w:r w:rsidR="00A754B1">
        <w:t>of CLI in the network.</w:t>
      </w:r>
    </w:p>
    <w:p w14:paraId="1E763EDC" w14:textId="77777777" w:rsidR="00104424" w:rsidRDefault="00104424" w:rsidP="008706F5"/>
    <w:p w14:paraId="78889F9D" w14:textId="6CDB9542" w:rsidR="005717E2" w:rsidRDefault="005717E2" w:rsidP="008706F5">
      <w:r>
        <w:t xml:space="preserve">While the above discussion concerns </w:t>
      </w:r>
      <w:r w:rsidR="00104424">
        <w:t>one</w:t>
      </w:r>
      <w:r>
        <w:t xml:space="preserve"> network</w:t>
      </w:r>
      <w:r w:rsidR="00F3556B">
        <w:t xml:space="preserve"> (and, thereby, co-channel interference)</w:t>
      </w:r>
      <w:r>
        <w:t xml:space="preserve">, a similar reasoning can be carried out </w:t>
      </w:r>
      <w:proofErr w:type="spellStart"/>
      <w:r>
        <w:t>w.r.t.</w:t>
      </w:r>
      <w:proofErr w:type="spellEnd"/>
      <w:r w:rsidR="00104424">
        <w:t xml:space="preserve"> </w:t>
      </w:r>
      <w:r w:rsidR="00104424" w:rsidRPr="00C27B92">
        <w:rPr>
          <w:i/>
          <w:iCs/>
        </w:rPr>
        <w:t>adjacent</w:t>
      </w:r>
      <w:r w:rsidR="00104424">
        <w:t xml:space="preserve"> channel interference</w:t>
      </w:r>
      <w:r w:rsidR="00F3556B">
        <w:rPr>
          <w:rStyle w:val="FootnoteReference"/>
        </w:rPr>
        <w:footnoteReference w:id="1"/>
      </w:r>
      <w:r w:rsidR="00104424">
        <w:t xml:space="preserve"> </w:t>
      </w:r>
      <w:r w:rsidR="00F3556B">
        <w:t xml:space="preserve">between two networks (possibly same operator) using two adjacent-channel </w:t>
      </w:r>
      <w:r w:rsidR="00104424">
        <w:t>TDD</w:t>
      </w:r>
      <w:r w:rsidR="00F3556B">
        <w:t xml:space="preserve"> carriers</w:t>
      </w:r>
      <w:r>
        <w:t>.</w:t>
      </w:r>
    </w:p>
    <w:p w14:paraId="367499F3" w14:textId="77777777" w:rsidR="00F3556B" w:rsidRDefault="00F3556B" w:rsidP="008706F5"/>
    <w:p w14:paraId="59BF9C64" w14:textId="2F150F3F" w:rsidR="00873BA1" w:rsidRPr="00C27B92" w:rsidRDefault="00873BA1" w:rsidP="008706F5">
      <w:pPr>
        <w:rPr>
          <w:b/>
          <w:bCs/>
        </w:rPr>
      </w:pPr>
      <w:r w:rsidRPr="00BD0F2C">
        <w:rPr>
          <w:b/>
          <w:bCs/>
        </w:rPr>
        <w:t xml:space="preserve">Observation </w:t>
      </w:r>
      <w:r>
        <w:rPr>
          <w:b/>
          <w:bCs/>
        </w:rPr>
        <w:t>4</w:t>
      </w:r>
      <w:r w:rsidRPr="00BD0F2C">
        <w:rPr>
          <w:b/>
          <w:bCs/>
        </w:rPr>
        <w:t xml:space="preserve">: </w:t>
      </w:r>
      <w:r>
        <w:rPr>
          <w:b/>
          <w:bCs/>
        </w:rPr>
        <w:t>Converting one (or more) eligible</w:t>
      </w:r>
      <w:r w:rsidRPr="00BD0F2C">
        <w:rPr>
          <w:b/>
          <w:bCs/>
        </w:rPr>
        <w:t xml:space="preserve"> ‘Flexible’ symbol</w:t>
      </w:r>
      <w:r>
        <w:rPr>
          <w:b/>
          <w:bCs/>
        </w:rPr>
        <w:t>(</w:t>
      </w:r>
      <w:r w:rsidRPr="00BD0F2C">
        <w:rPr>
          <w:b/>
          <w:bCs/>
        </w:rPr>
        <w:t>s</w:t>
      </w:r>
      <w:r>
        <w:rPr>
          <w:b/>
          <w:bCs/>
        </w:rPr>
        <w:t>)/slot(s)</w:t>
      </w:r>
      <w:r w:rsidRPr="00BD0F2C">
        <w:rPr>
          <w:b/>
          <w:bCs/>
        </w:rPr>
        <w:t xml:space="preserve"> </w:t>
      </w:r>
      <w:r>
        <w:rPr>
          <w:b/>
          <w:bCs/>
        </w:rPr>
        <w:t>with</w:t>
      </w:r>
      <w:r w:rsidRPr="00BD0F2C">
        <w:rPr>
          <w:b/>
          <w:bCs/>
        </w:rPr>
        <w:t xml:space="preserve">in </w:t>
      </w:r>
      <w:r>
        <w:rPr>
          <w:b/>
          <w:bCs/>
        </w:rPr>
        <w:t xml:space="preserve">a semi-static </w:t>
      </w:r>
      <w:r w:rsidRPr="00BD0F2C">
        <w:rPr>
          <w:b/>
          <w:bCs/>
        </w:rPr>
        <w:t xml:space="preserve">TDD </w:t>
      </w:r>
      <w:r>
        <w:rPr>
          <w:b/>
          <w:bCs/>
        </w:rPr>
        <w:t>pattern</w:t>
      </w:r>
      <w:r w:rsidRPr="00BD0F2C">
        <w:rPr>
          <w:b/>
          <w:bCs/>
        </w:rPr>
        <w:t xml:space="preserve"> </w:t>
      </w:r>
      <w:r>
        <w:rPr>
          <w:b/>
          <w:bCs/>
        </w:rPr>
        <w:t>to</w:t>
      </w:r>
      <w:r w:rsidRPr="00BD0F2C">
        <w:rPr>
          <w:b/>
          <w:bCs/>
        </w:rPr>
        <w:t xml:space="preserve"> </w:t>
      </w:r>
      <w:r>
        <w:rPr>
          <w:b/>
          <w:bCs/>
        </w:rPr>
        <w:t>‘</w:t>
      </w:r>
      <w:r w:rsidRPr="00BD0F2C">
        <w:rPr>
          <w:b/>
          <w:bCs/>
        </w:rPr>
        <w:t>SBFD</w:t>
      </w:r>
      <w:r>
        <w:rPr>
          <w:b/>
          <w:bCs/>
        </w:rPr>
        <w:t>’</w:t>
      </w:r>
      <w:r w:rsidRPr="00BD0F2C">
        <w:rPr>
          <w:b/>
          <w:bCs/>
        </w:rPr>
        <w:t xml:space="preserve"> may cause </w:t>
      </w:r>
      <w:r>
        <w:rPr>
          <w:b/>
          <w:bCs/>
        </w:rPr>
        <w:t>significant</w:t>
      </w:r>
      <w:r w:rsidRPr="00BD0F2C">
        <w:rPr>
          <w:b/>
          <w:bCs/>
        </w:rPr>
        <w:t xml:space="preserve"> CLI </w:t>
      </w:r>
      <w:r>
        <w:rPr>
          <w:b/>
          <w:bCs/>
        </w:rPr>
        <w:t>between</w:t>
      </w:r>
      <w:r w:rsidRPr="00BD0F2C">
        <w:rPr>
          <w:b/>
          <w:bCs/>
        </w:rPr>
        <w:t xml:space="preserve"> the neighbouring networks</w:t>
      </w:r>
      <w:r>
        <w:rPr>
          <w:b/>
          <w:bCs/>
        </w:rPr>
        <w:t xml:space="preserve"> when neighbouring networks are converting homologous Flexible symbols the same time locations to UL.</w:t>
      </w:r>
    </w:p>
    <w:p w14:paraId="56EFE259" w14:textId="77777777" w:rsidR="00873BA1" w:rsidRDefault="00873BA1" w:rsidP="008706F5"/>
    <w:p w14:paraId="1BA4CBAB" w14:textId="396C7D3F" w:rsidR="00700F5E" w:rsidRDefault="00B02B0A" w:rsidP="008706F5">
      <w:r w:rsidRPr="00C27B92">
        <w:t xml:space="preserve">A similar reasoning can further be carried out in case of a single cell in a scenario where one or more legacy (non-SBFD-aware) UE(s) are given the location of a Flexible slot/symbol as UL while one or more SBFD-aware-UE(s) are given the same time location as SBFD. </w:t>
      </w:r>
      <w:r>
        <w:t xml:space="preserve">This will create the condition where UL </w:t>
      </w:r>
      <w:proofErr w:type="spellStart"/>
      <w:r>
        <w:t>subbands</w:t>
      </w:r>
      <w:proofErr w:type="spellEnd"/>
      <w:r>
        <w:t xml:space="preserve"> of the legacy UE(s) may intersect DL </w:t>
      </w:r>
      <w:proofErr w:type="spellStart"/>
      <w:r>
        <w:t>subbands</w:t>
      </w:r>
      <w:proofErr w:type="spellEnd"/>
      <w:r>
        <w:t xml:space="preserve"> of SBFD-aware UE(s)</w:t>
      </w:r>
      <w:r>
        <w:rPr>
          <w:rStyle w:val="FootnoteReference"/>
        </w:rPr>
        <w:footnoteReference w:id="2"/>
      </w:r>
      <w:r>
        <w:t>.</w:t>
      </w:r>
    </w:p>
    <w:p w14:paraId="2A04B6A8" w14:textId="77777777" w:rsidR="00700F5E" w:rsidRDefault="00700F5E" w:rsidP="008706F5"/>
    <w:p w14:paraId="38F76850" w14:textId="37658C7E" w:rsidR="00700F5E" w:rsidRDefault="00873BA1" w:rsidP="008706F5">
      <w:r>
        <w:t xml:space="preserve">Considering all above reasonings, </w:t>
      </w:r>
      <w:proofErr w:type="gramStart"/>
      <w:r>
        <w:t>in order t</w:t>
      </w:r>
      <w:r w:rsidR="00A754B1">
        <w:t>o</w:t>
      </w:r>
      <w:proofErr w:type="gramEnd"/>
      <w:r w:rsidR="00A754B1">
        <w:t xml:space="preserve"> control CLI, t</w:t>
      </w:r>
      <w:r w:rsidR="00700F5E">
        <w:t xml:space="preserve">his change of </w:t>
      </w:r>
      <w:r w:rsidR="00A10153">
        <w:t xml:space="preserve">attribute from </w:t>
      </w:r>
      <w:r w:rsidR="00700F5E">
        <w:t>‘Flexible’ symbol(s)/slot(s)</w:t>
      </w:r>
      <w:r>
        <w:t xml:space="preserve"> into ‘SBFD’ should not be permissible if the same time location had been given to </w:t>
      </w:r>
      <w:r w:rsidRPr="00C27029">
        <w:t xml:space="preserve">one or more legacy (non-SBFD-aware) UE(s) </w:t>
      </w:r>
      <w:r>
        <w:t xml:space="preserve">as ‘UL’ either in the same cell, or in a neighbouring </w:t>
      </w:r>
      <w:proofErr w:type="spellStart"/>
      <w:r>
        <w:t>gNB</w:t>
      </w:r>
      <w:proofErr w:type="spellEnd"/>
      <w:r>
        <w:t xml:space="preserve"> or neighbouring network. </w:t>
      </w:r>
    </w:p>
    <w:p w14:paraId="10CC086F" w14:textId="77777777" w:rsidR="003B1964" w:rsidRDefault="003B1964" w:rsidP="008706F5"/>
    <w:p w14:paraId="1255D0B7" w14:textId="36109FA4" w:rsidR="00035720" w:rsidRPr="003A454C" w:rsidRDefault="003B1964" w:rsidP="001750CA">
      <w:pPr>
        <w:rPr>
          <w:b/>
          <w:bCs/>
        </w:rPr>
      </w:pPr>
      <w:r w:rsidRPr="00BD0F2C">
        <w:rPr>
          <w:b/>
          <w:bCs/>
        </w:rPr>
        <w:t xml:space="preserve">Proposal </w:t>
      </w:r>
      <w:r w:rsidR="00C27B92">
        <w:rPr>
          <w:b/>
          <w:bCs/>
        </w:rPr>
        <w:t>4</w:t>
      </w:r>
      <w:r w:rsidRPr="00BD0F2C">
        <w:rPr>
          <w:b/>
          <w:bCs/>
        </w:rPr>
        <w:t xml:space="preserve">: </w:t>
      </w:r>
      <w:r w:rsidR="00873BA1" w:rsidRPr="00C27B92">
        <w:rPr>
          <w:b/>
          <w:bCs/>
        </w:rPr>
        <w:t xml:space="preserve">A change of attribute from ‘Flexible’ symbol(s)/slot(s) into ‘SBFD’ should not be permissible if the same time location had been given to one or more legacy (non-SBFD-aware) UE(s) as ‘UL’ either in the same cell, or in a neighbouring </w:t>
      </w:r>
      <w:proofErr w:type="spellStart"/>
      <w:r w:rsidR="00873BA1" w:rsidRPr="00C27B92">
        <w:rPr>
          <w:b/>
          <w:bCs/>
        </w:rPr>
        <w:t>gNB</w:t>
      </w:r>
      <w:proofErr w:type="spellEnd"/>
      <w:r w:rsidR="00873BA1" w:rsidRPr="00C27B92">
        <w:rPr>
          <w:b/>
          <w:bCs/>
        </w:rPr>
        <w:t xml:space="preserve"> or neighbouring network</w:t>
      </w:r>
      <w:r w:rsidR="00184237">
        <w:rPr>
          <w:b/>
          <w:bCs/>
        </w:rPr>
        <w:t>.</w:t>
      </w:r>
      <w:r w:rsidR="00B02B0A">
        <w:rPr>
          <w:b/>
          <w:bCs/>
        </w:rPr>
        <w:t xml:space="preserve"> </w:t>
      </w:r>
    </w:p>
    <w:p w14:paraId="370165DF" w14:textId="77777777" w:rsidR="00210661" w:rsidRDefault="00210661" w:rsidP="00210661">
      <w:pPr>
        <w:pStyle w:val="Heading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649FA26" w14:textId="0013F6E6" w:rsidR="007C0A40" w:rsidRDefault="007C0A40" w:rsidP="0021066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proposed following observations and proposals on handling adjacent channel CLI:</w:t>
      </w:r>
    </w:p>
    <w:p w14:paraId="6E3204FF" w14:textId="77777777" w:rsidR="007C0A40" w:rsidRDefault="007C0A40" w:rsidP="00210661">
      <w:pPr>
        <w:rPr>
          <w:rFonts w:eastAsiaTheme="minorEastAsia"/>
          <w:lang w:val="en-US" w:eastAsia="zh-CN"/>
        </w:rPr>
      </w:pPr>
    </w:p>
    <w:p w14:paraId="5472CC82" w14:textId="77777777" w:rsidR="00C27B92" w:rsidRDefault="00C27B92" w:rsidP="00C27B92">
      <w:pPr>
        <w:rPr>
          <w:b/>
          <w:bCs/>
        </w:rPr>
      </w:pPr>
      <w:r>
        <w:rPr>
          <w:b/>
          <w:bCs/>
        </w:rPr>
        <w:t>Observation 1: RAN1 and RAN4 concluded in Rel-18 studies that adjacent channel CLI can significantly impact the performance of SBFD as well as legacy TDD networks.</w:t>
      </w:r>
    </w:p>
    <w:p w14:paraId="531C738A" w14:textId="77777777" w:rsidR="00C27B92" w:rsidRDefault="00C27B92" w:rsidP="00C27B92">
      <w:pPr>
        <w:rPr>
          <w:b/>
          <w:bCs/>
        </w:rPr>
      </w:pPr>
    </w:p>
    <w:p w14:paraId="76211422" w14:textId="5571F1A2" w:rsidR="00043F37" w:rsidRDefault="00C27B92" w:rsidP="00C27B92">
      <w:pPr>
        <w:rPr>
          <w:b/>
          <w:bCs/>
        </w:rPr>
      </w:pPr>
      <w:r>
        <w:rPr>
          <w:b/>
          <w:bCs/>
        </w:rPr>
        <w:t xml:space="preserve">Observation 2: RAN4 concluded regarding in TR 38.858 [2] section 11.3.5 on adjacent channel </w:t>
      </w:r>
      <w:r w:rsidR="003A454C">
        <w:rPr>
          <w:b/>
          <w:bCs/>
        </w:rPr>
        <w:t>CLI that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‘ …</w:t>
      </w:r>
      <w:proofErr w:type="gramEnd"/>
      <w:r>
        <w:rPr>
          <w:b/>
          <w:bCs/>
        </w:rPr>
        <w:t xml:space="preserve"> </w:t>
      </w:r>
      <w:r w:rsidRPr="00043F37">
        <w:rPr>
          <w:b/>
          <w:bCs/>
          <w:i/>
          <w:iCs/>
        </w:rPr>
        <w:t>interference mitigation techniques will need to be considered</w:t>
      </w:r>
      <w:r>
        <w:rPr>
          <w:b/>
          <w:bCs/>
        </w:rPr>
        <w:t>.’</w:t>
      </w:r>
    </w:p>
    <w:p w14:paraId="5CD0D439" w14:textId="77777777" w:rsidR="00327078" w:rsidRDefault="00327078" w:rsidP="00210661">
      <w:pPr>
        <w:rPr>
          <w:rFonts w:eastAsiaTheme="minorEastAsia"/>
          <w:lang w:val="en-US" w:eastAsia="zh-CN"/>
        </w:rPr>
      </w:pPr>
    </w:p>
    <w:p w14:paraId="22062C64" w14:textId="02A15992" w:rsidR="00043F37" w:rsidRDefault="00C27B92" w:rsidP="00043F37">
      <w:pPr>
        <w:rPr>
          <w:b/>
          <w:bCs/>
        </w:rPr>
      </w:pPr>
      <w:r>
        <w:rPr>
          <w:b/>
          <w:bCs/>
        </w:rPr>
        <w:t xml:space="preserve">Proposal 1: RAN1 is to consider adjacent channel CLI in addition to co-channel CLI </w:t>
      </w:r>
      <w:proofErr w:type="gramStart"/>
      <w:r>
        <w:rPr>
          <w:b/>
          <w:bCs/>
        </w:rPr>
        <w:t>in regard to</w:t>
      </w:r>
      <w:proofErr w:type="gramEnd"/>
      <w:r>
        <w:rPr>
          <w:b/>
          <w:bCs/>
        </w:rPr>
        <w:t xml:space="preserve"> mitigation techniques in Rel-19</w:t>
      </w:r>
    </w:p>
    <w:p w14:paraId="05F466AF" w14:textId="77777777" w:rsidR="00C27B92" w:rsidRDefault="00C27B92" w:rsidP="00043F37">
      <w:pPr>
        <w:rPr>
          <w:b/>
          <w:bCs/>
        </w:rPr>
      </w:pPr>
    </w:p>
    <w:p w14:paraId="77B23AF3" w14:textId="25C18154" w:rsidR="00C27B92" w:rsidRPr="0071368D" w:rsidRDefault="00C27B92" w:rsidP="00043F37">
      <w:pPr>
        <w:rPr>
          <w:b/>
          <w:bCs/>
        </w:rPr>
      </w:pPr>
      <w:r>
        <w:rPr>
          <w:b/>
          <w:bCs/>
        </w:rPr>
        <w:t>Proposal 2: RAN1 is to evaluate whether any applicable co-channel CLI mitigation techniques can be extended or adapted for mitigating adjacent channel CLI.</w:t>
      </w:r>
    </w:p>
    <w:p w14:paraId="77025A65" w14:textId="77777777" w:rsidR="00293C78" w:rsidRDefault="00293C78" w:rsidP="00210661">
      <w:pPr>
        <w:rPr>
          <w:rFonts w:eastAsiaTheme="minorEastAsia"/>
          <w:lang w:val="en-US" w:eastAsia="zh-CN"/>
        </w:rPr>
      </w:pPr>
    </w:p>
    <w:p w14:paraId="4A55CD34" w14:textId="19B8C0AE" w:rsidR="00C27B92" w:rsidRDefault="00C27B92" w:rsidP="00C27B92">
      <w:pPr>
        <w:rPr>
          <w:b/>
          <w:bCs/>
        </w:rPr>
      </w:pPr>
      <w:r>
        <w:rPr>
          <w:b/>
          <w:bCs/>
        </w:rPr>
        <w:t xml:space="preserve">Observation 3: If two networks are deployed in two adjacent-channel carrier by the same operator then similar interfaces under the control of one operator, e.g.,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, could be further leveraged for coordination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mitigate both types of CLI (adjacent- and co-channel) using similarly applicable mitigation technique(s).</w:t>
      </w:r>
    </w:p>
    <w:p w14:paraId="58AE182F" w14:textId="77777777" w:rsidR="00C27B92" w:rsidRDefault="00C27B92" w:rsidP="00C27B92"/>
    <w:p w14:paraId="077FD336" w14:textId="29E2AA2D" w:rsidR="00043F37" w:rsidRDefault="00C27B92" w:rsidP="00C27B92">
      <w:pPr>
        <w:rPr>
          <w:b/>
          <w:bCs/>
        </w:rPr>
      </w:pPr>
      <w:r w:rsidRPr="004B436D">
        <w:rPr>
          <w:b/>
          <w:bCs/>
        </w:rPr>
        <w:t xml:space="preserve">Proposal </w:t>
      </w:r>
      <w:r>
        <w:rPr>
          <w:b/>
          <w:bCs/>
        </w:rPr>
        <w:t>3</w:t>
      </w:r>
      <w:r w:rsidRPr="004B436D">
        <w:rPr>
          <w:b/>
          <w:bCs/>
        </w:rPr>
        <w:t xml:space="preserve">: </w:t>
      </w:r>
      <w:r>
        <w:rPr>
          <w:b/>
          <w:bCs/>
        </w:rPr>
        <w:t>RAN1 CLI mitigation techniques requiring coordination among two networks in adjacent-channel carriers deployed by the same operator should be evaluated and leveraged/extended for adjacent channel CLI mitigation.</w:t>
      </w:r>
    </w:p>
    <w:p w14:paraId="6DB98570" w14:textId="77777777" w:rsidR="003B1964" w:rsidRDefault="003B1964" w:rsidP="00043F37">
      <w:pPr>
        <w:rPr>
          <w:b/>
          <w:bCs/>
        </w:rPr>
      </w:pPr>
    </w:p>
    <w:p w14:paraId="1A0B80BB" w14:textId="46564BB1" w:rsidR="00C27B92" w:rsidRDefault="00C27B92" w:rsidP="00043F37">
      <w:pPr>
        <w:rPr>
          <w:b/>
          <w:bCs/>
        </w:rPr>
      </w:pPr>
      <w:r w:rsidRPr="00BD0F2C">
        <w:rPr>
          <w:b/>
          <w:bCs/>
        </w:rPr>
        <w:lastRenderedPageBreak/>
        <w:t xml:space="preserve">Observation </w:t>
      </w:r>
      <w:r>
        <w:rPr>
          <w:b/>
          <w:bCs/>
        </w:rPr>
        <w:t>4</w:t>
      </w:r>
      <w:r w:rsidRPr="00BD0F2C">
        <w:rPr>
          <w:b/>
          <w:bCs/>
        </w:rPr>
        <w:t xml:space="preserve">: </w:t>
      </w:r>
      <w:r>
        <w:rPr>
          <w:b/>
          <w:bCs/>
        </w:rPr>
        <w:t>Converting one (or more) eligible</w:t>
      </w:r>
      <w:r w:rsidRPr="00BD0F2C">
        <w:rPr>
          <w:b/>
          <w:bCs/>
        </w:rPr>
        <w:t xml:space="preserve"> ‘Flexible’ symbol</w:t>
      </w:r>
      <w:r>
        <w:rPr>
          <w:b/>
          <w:bCs/>
        </w:rPr>
        <w:t>(</w:t>
      </w:r>
      <w:r w:rsidRPr="00BD0F2C">
        <w:rPr>
          <w:b/>
          <w:bCs/>
        </w:rPr>
        <w:t>s</w:t>
      </w:r>
      <w:r>
        <w:rPr>
          <w:b/>
          <w:bCs/>
        </w:rPr>
        <w:t>)/slot(s)</w:t>
      </w:r>
      <w:r w:rsidRPr="00BD0F2C">
        <w:rPr>
          <w:b/>
          <w:bCs/>
        </w:rPr>
        <w:t xml:space="preserve"> </w:t>
      </w:r>
      <w:r>
        <w:rPr>
          <w:b/>
          <w:bCs/>
        </w:rPr>
        <w:t>with</w:t>
      </w:r>
      <w:r w:rsidRPr="00BD0F2C">
        <w:rPr>
          <w:b/>
          <w:bCs/>
        </w:rPr>
        <w:t xml:space="preserve">in </w:t>
      </w:r>
      <w:r>
        <w:rPr>
          <w:b/>
          <w:bCs/>
        </w:rPr>
        <w:t xml:space="preserve">a semi-static </w:t>
      </w:r>
      <w:r w:rsidRPr="00BD0F2C">
        <w:rPr>
          <w:b/>
          <w:bCs/>
        </w:rPr>
        <w:t xml:space="preserve">TDD </w:t>
      </w:r>
      <w:r>
        <w:rPr>
          <w:b/>
          <w:bCs/>
        </w:rPr>
        <w:t>pattern</w:t>
      </w:r>
      <w:r w:rsidRPr="00BD0F2C">
        <w:rPr>
          <w:b/>
          <w:bCs/>
        </w:rPr>
        <w:t xml:space="preserve"> </w:t>
      </w:r>
      <w:r>
        <w:rPr>
          <w:b/>
          <w:bCs/>
        </w:rPr>
        <w:t>to</w:t>
      </w:r>
      <w:r w:rsidRPr="00BD0F2C">
        <w:rPr>
          <w:b/>
          <w:bCs/>
        </w:rPr>
        <w:t xml:space="preserve"> </w:t>
      </w:r>
      <w:r>
        <w:rPr>
          <w:b/>
          <w:bCs/>
        </w:rPr>
        <w:t>‘</w:t>
      </w:r>
      <w:r w:rsidRPr="00BD0F2C">
        <w:rPr>
          <w:b/>
          <w:bCs/>
        </w:rPr>
        <w:t>SBFD</w:t>
      </w:r>
      <w:r>
        <w:rPr>
          <w:b/>
          <w:bCs/>
        </w:rPr>
        <w:t>’</w:t>
      </w:r>
      <w:r w:rsidRPr="00BD0F2C">
        <w:rPr>
          <w:b/>
          <w:bCs/>
        </w:rPr>
        <w:t xml:space="preserve"> may cause </w:t>
      </w:r>
      <w:r>
        <w:rPr>
          <w:b/>
          <w:bCs/>
        </w:rPr>
        <w:t>significant</w:t>
      </w:r>
      <w:r w:rsidRPr="00BD0F2C">
        <w:rPr>
          <w:b/>
          <w:bCs/>
        </w:rPr>
        <w:t xml:space="preserve"> CLI </w:t>
      </w:r>
      <w:r>
        <w:rPr>
          <w:b/>
          <w:bCs/>
        </w:rPr>
        <w:t>between</w:t>
      </w:r>
      <w:r w:rsidRPr="00BD0F2C">
        <w:rPr>
          <w:b/>
          <w:bCs/>
        </w:rPr>
        <w:t xml:space="preserve"> the neighbouring networks</w:t>
      </w:r>
      <w:r>
        <w:rPr>
          <w:b/>
          <w:bCs/>
        </w:rPr>
        <w:t xml:space="preserve"> when neighbouring networks are converting homologous Flexible symbols the same time locations to UL.</w:t>
      </w:r>
    </w:p>
    <w:p w14:paraId="355E12A3" w14:textId="77777777" w:rsidR="00C27B92" w:rsidRDefault="00C27B92" w:rsidP="00043F37">
      <w:pPr>
        <w:rPr>
          <w:b/>
          <w:bCs/>
        </w:rPr>
      </w:pPr>
    </w:p>
    <w:p w14:paraId="48C29253" w14:textId="51CBF2C6" w:rsidR="00C27B92" w:rsidRDefault="00C27B92" w:rsidP="00043F37">
      <w:pPr>
        <w:rPr>
          <w:b/>
          <w:bCs/>
        </w:rPr>
      </w:pPr>
      <w:r w:rsidRPr="00BD0F2C">
        <w:rPr>
          <w:b/>
          <w:bCs/>
        </w:rPr>
        <w:t xml:space="preserve">Proposal </w:t>
      </w:r>
      <w:r>
        <w:rPr>
          <w:b/>
          <w:bCs/>
        </w:rPr>
        <w:t>4</w:t>
      </w:r>
      <w:r w:rsidRPr="00BD0F2C">
        <w:rPr>
          <w:b/>
          <w:bCs/>
        </w:rPr>
        <w:t xml:space="preserve">: </w:t>
      </w:r>
      <w:r w:rsidRPr="00C27B92">
        <w:rPr>
          <w:b/>
          <w:bCs/>
        </w:rPr>
        <w:t xml:space="preserve">A change of attribute from ‘Flexible’ symbol(s)/slot(s) into ‘SBFD’ should not be permissible if the same time location had been given to one or more legacy (non-SBFD-aware) UE(s) as ‘UL’ either in the same cell, or in a neighbouring </w:t>
      </w:r>
      <w:proofErr w:type="spellStart"/>
      <w:r w:rsidRPr="00C27B92">
        <w:rPr>
          <w:b/>
          <w:bCs/>
        </w:rPr>
        <w:t>gNB</w:t>
      </w:r>
      <w:proofErr w:type="spellEnd"/>
      <w:r w:rsidRPr="00C27B92">
        <w:rPr>
          <w:b/>
          <w:bCs/>
        </w:rPr>
        <w:t xml:space="preserve"> or neighbouring network</w:t>
      </w:r>
      <w:r>
        <w:rPr>
          <w:b/>
          <w:bCs/>
        </w:rPr>
        <w:t>.</w:t>
      </w:r>
    </w:p>
    <w:p w14:paraId="501F412B" w14:textId="77A757C9" w:rsidR="003B1964" w:rsidRPr="001767C6" w:rsidRDefault="003B1964" w:rsidP="003B1964">
      <w:pPr>
        <w:rPr>
          <w:b/>
          <w:bCs/>
        </w:rPr>
      </w:pPr>
    </w:p>
    <w:p w14:paraId="459870AB" w14:textId="77777777" w:rsidR="00210661" w:rsidRDefault="00210661" w:rsidP="00210661">
      <w:pPr>
        <w:pStyle w:val="Heading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3EF82196" w14:textId="570A88AA" w:rsidR="00E31921" w:rsidRPr="00347605" w:rsidRDefault="00210661" w:rsidP="00C27B92">
      <w:pPr>
        <w:pStyle w:val="Bibliography"/>
      </w:pPr>
      <w:r w:rsidRPr="00347605">
        <w:t xml:space="preserve">[1] </w:t>
      </w:r>
      <w:r w:rsidR="00E31921" w:rsidRPr="00347605">
        <w:t>RP-240789</w:t>
      </w:r>
      <w:r w:rsidRPr="00347605">
        <w:t xml:space="preserve"> </w:t>
      </w:r>
      <w:r w:rsidR="00E31921" w:rsidRPr="00347605">
        <w:t>W</w:t>
      </w:r>
      <w:r w:rsidRPr="00347605">
        <w:t>ID</w:t>
      </w:r>
      <w:r w:rsidR="00E31921" w:rsidRPr="00347605">
        <w:t xml:space="preserve"> revision</w:t>
      </w:r>
      <w:r w:rsidRPr="00347605">
        <w:t xml:space="preserve">: </w:t>
      </w:r>
      <w:r w:rsidR="00E31921" w:rsidRPr="00347605">
        <w:t>Evolution of NR duplex operation: Sub-band full duplex (SBFD)</w:t>
      </w:r>
    </w:p>
    <w:p w14:paraId="2FDCF681" w14:textId="79CE6140" w:rsidR="00231A1E" w:rsidRPr="00347605" w:rsidRDefault="00231A1E" w:rsidP="00C27B92">
      <w:pPr>
        <w:pStyle w:val="Bibliography"/>
      </w:pPr>
      <w:r w:rsidRPr="00347605">
        <w:t>[2] 38.858, “Study on Evolution of NR Duplex Operation”</w:t>
      </w:r>
    </w:p>
    <w:p w14:paraId="20C0C757" w14:textId="4AE98A4E" w:rsidR="00231A1E" w:rsidRPr="00E31921" w:rsidRDefault="00231A1E" w:rsidP="00E31921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</w:pPr>
    </w:p>
    <w:p w14:paraId="3CB87FF1" w14:textId="77777777" w:rsidR="00210661" w:rsidRDefault="00210661" w:rsidP="00210661"/>
    <w:p w14:paraId="5B08F55B" w14:textId="77777777" w:rsidR="00CD2111" w:rsidRDefault="00CD2111"/>
    <w:sectPr w:rsidR="00CD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3F503" w14:textId="77777777" w:rsidR="008F4573" w:rsidRDefault="008F4573" w:rsidP="00F3556B">
      <w:r>
        <w:separator/>
      </w:r>
    </w:p>
  </w:endnote>
  <w:endnote w:type="continuationSeparator" w:id="0">
    <w:p w14:paraId="473482A4" w14:textId="77777777" w:rsidR="008F4573" w:rsidRDefault="008F4573" w:rsidP="00F3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44554" w14:textId="77777777" w:rsidR="008F4573" w:rsidRDefault="008F4573" w:rsidP="00F3556B">
      <w:r>
        <w:separator/>
      </w:r>
    </w:p>
  </w:footnote>
  <w:footnote w:type="continuationSeparator" w:id="0">
    <w:p w14:paraId="6329282D" w14:textId="77777777" w:rsidR="008F4573" w:rsidRDefault="008F4573" w:rsidP="00F3556B">
      <w:r>
        <w:continuationSeparator/>
      </w:r>
    </w:p>
  </w:footnote>
  <w:footnote w:id="1">
    <w:p w14:paraId="6404AEE0" w14:textId="6283E02C" w:rsidR="00F3556B" w:rsidRPr="00C27B92" w:rsidRDefault="00F3556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Now allowable within the new WID’s scope</w:t>
      </w:r>
    </w:p>
  </w:footnote>
  <w:footnote w:id="2">
    <w:p w14:paraId="1ADBC58A" w14:textId="526B619E" w:rsidR="00B02B0A" w:rsidRPr="00C27B92" w:rsidRDefault="00B02B0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27B92">
        <w:rPr>
          <w:i/>
          <w:iCs/>
        </w:rPr>
        <w:t>Cf</w:t>
      </w:r>
      <w:r>
        <w:t>. TR 38.858</w:t>
      </w:r>
      <w:r w:rsidR="00873BA1">
        <w:t>, section 6.1.1.3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6AF1"/>
    <w:multiLevelType w:val="hybridMultilevel"/>
    <w:tmpl w:val="DD048082"/>
    <w:lvl w:ilvl="0" w:tplc="648A9100">
      <w:numFmt w:val="bullet"/>
      <w:lvlText w:val="-"/>
      <w:lvlJc w:val="left"/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F529E"/>
    <w:multiLevelType w:val="hybridMultilevel"/>
    <w:tmpl w:val="97449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92023F"/>
    <w:multiLevelType w:val="hybridMultilevel"/>
    <w:tmpl w:val="D338C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77143E"/>
    <w:multiLevelType w:val="hybridMultilevel"/>
    <w:tmpl w:val="6BB8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9B4976"/>
    <w:multiLevelType w:val="multilevel"/>
    <w:tmpl w:val="9830DD4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6D0BB5"/>
    <w:multiLevelType w:val="hybridMultilevel"/>
    <w:tmpl w:val="3006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81322"/>
    <w:multiLevelType w:val="multilevel"/>
    <w:tmpl w:val="6FD6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2563DB8"/>
    <w:multiLevelType w:val="multilevel"/>
    <w:tmpl w:val="F1F4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F7FEB"/>
    <w:multiLevelType w:val="hybridMultilevel"/>
    <w:tmpl w:val="786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2644D"/>
    <w:multiLevelType w:val="hybridMultilevel"/>
    <w:tmpl w:val="79D2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964989">
    <w:abstractNumId w:val="13"/>
  </w:num>
  <w:num w:numId="2" w16cid:durableId="354816227">
    <w:abstractNumId w:val="4"/>
  </w:num>
  <w:num w:numId="3" w16cid:durableId="1266110725">
    <w:abstractNumId w:val="28"/>
  </w:num>
  <w:num w:numId="4" w16cid:durableId="487669452">
    <w:abstractNumId w:val="18"/>
  </w:num>
  <w:num w:numId="5" w16cid:durableId="1039622259">
    <w:abstractNumId w:val="1"/>
  </w:num>
  <w:num w:numId="6" w16cid:durableId="933590211">
    <w:abstractNumId w:val="8"/>
  </w:num>
  <w:num w:numId="7" w16cid:durableId="662969946">
    <w:abstractNumId w:val="12"/>
  </w:num>
  <w:num w:numId="8" w16cid:durableId="552549225">
    <w:abstractNumId w:val="25"/>
  </w:num>
  <w:num w:numId="9" w16cid:durableId="1944802588">
    <w:abstractNumId w:val="23"/>
  </w:num>
  <w:num w:numId="10" w16cid:durableId="194006248">
    <w:abstractNumId w:val="16"/>
  </w:num>
  <w:num w:numId="11" w16cid:durableId="656999968">
    <w:abstractNumId w:val="26"/>
  </w:num>
  <w:num w:numId="12" w16cid:durableId="1249315736">
    <w:abstractNumId w:val="15"/>
  </w:num>
  <w:num w:numId="13" w16cid:durableId="1065490841">
    <w:abstractNumId w:val="2"/>
  </w:num>
  <w:num w:numId="14" w16cid:durableId="1109397278">
    <w:abstractNumId w:val="7"/>
  </w:num>
  <w:num w:numId="15" w16cid:durableId="555170132">
    <w:abstractNumId w:val="14"/>
  </w:num>
  <w:num w:numId="16" w16cid:durableId="1174346686">
    <w:abstractNumId w:val="32"/>
  </w:num>
  <w:num w:numId="17" w16cid:durableId="1999722214">
    <w:abstractNumId w:val="19"/>
  </w:num>
  <w:num w:numId="18" w16cid:durableId="537595714">
    <w:abstractNumId w:val="31"/>
  </w:num>
  <w:num w:numId="19" w16cid:durableId="2125608134">
    <w:abstractNumId w:val="0"/>
  </w:num>
  <w:num w:numId="20" w16cid:durableId="260728417">
    <w:abstractNumId w:val="21"/>
  </w:num>
  <w:num w:numId="21" w16cid:durableId="966667664">
    <w:abstractNumId w:val="27"/>
  </w:num>
  <w:num w:numId="22" w16cid:durableId="746727041">
    <w:abstractNumId w:val="24"/>
  </w:num>
  <w:num w:numId="23" w16cid:durableId="691342303">
    <w:abstractNumId w:val="9"/>
  </w:num>
  <w:num w:numId="24" w16cid:durableId="856500517">
    <w:abstractNumId w:val="6"/>
  </w:num>
  <w:num w:numId="25" w16cid:durableId="1837843793">
    <w:abstractNumId w:val="30"/>
  </w:num>
  <w:num w:numId="26" w16cid:durableId="2003583968">
    <w:abstractNumId w:val="17"/>
  </w:num>
  <w:num w:numId="27" w16cid:durableId="944000777">
    <w:abstractNumId w:val="3"/>
  </w:num>
  <w:num w:numId="28" w16cid:durableId="653460814">
    <w:abstractNumId w:val="11"/>
  </w:num>
  <w:num w:numId="29" w16cid:durableId="240528285">
    <w:abstractNumId w:val="10"/>
  </w:num>
  <w:num w:numId="30" w16cid:durableId="1068040806">
    <w:abstractNumId w:val="20"/>
  </w:num>
  <w:num w:numId="31" w16cid:durableId="1363705609">
    <w:abstractNumId w:val="5"/>
  </w:num>
  <w:num w:numId="32" w16cid:durableId="1065029152">
    <w:abstractNumId w:val="22"/>
  </w:num>
  <w:num w:numId="33" w16cid:durableId="2437341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0BA9"/>
    <w:rsid w:val="0001326B"/>
    <w:rsid w:val="00017BFC"/>
    <w:rsid w:val="00023C36"/>
    <w:rsid w:val="00025717"/>
    <w:rsid w:val="00025940"/>
    <w:rsid w:val="00026E8E"/>
    <w:rsid w:val="000322BE"/>
    <w:rsid w:val="00035720"/>
    <w:rsid w:val="0003655F"/>
    <w:rsid w:val="00041173"/>
    <w:rsid w:val="00043F37"/>
    <w:rsid w:val="00047540"/>
    <w:rsid w:val="00050014"/>
    <w:rsid w:val="00063C54"/>
    <w:rsid w:val="00073C95"/>
    <w:rsid w:val="00081613"/>
    <w:rsid w:val="00081FEC"/>
    <w:rsid w:val="00090C67"/>
    <w:rsid w:val="000A41FE"/>
    <w:rsid w:val="000A7612"/>
    <w:rsid w:val="000F7830"/>
    <w:rsid w:val="000F7D80"/>
    <w:rsid w:val="00104424"/>
    <w:rsid w:val="001114B3"/>
    <w:rsid w:val="00117B36"/>
    <w:rsid w:val="0012628D"/>
    <w:rsid w:val="00137B30"/>
    <w:rsid w:val="0014387E"/>
    <w:rsid w:val="001541DC"/>
    <w:rsid w:val="001634FE"/>
    <w:rsid w:val="00170ECF"/>
    <w:rsid w:val="00174F98"/>
    <w:rsid w:val="001750CA"/>
    <w:rsid w:val="001753D9"/>
    <w:rsid w:val="001767C6"/>
    <w:rsid w:val="00184237"/>
    <w:rsid w:val="0018562C"/>
    <w:rsid w:val="0018689E"/>
    <w:rsid w:val="001946E0"/>
    <w:rsid w:val="001B1BBD"/>
    <w:rsid w:val="001B64E0"/>
    <w:rsid w:val="001C115A"/>
    <w:rsid w:val="001C1BC1"/>
    <w:rsid w:val="001D5B0F"/>
    <w:rsid w:val="001D5BFC"/>
    <w:rsid w:val="001D7478"/>
    <w:rsid w:val="001E793C"/>
    <w:rsid w:val="001F4B6D"/>
    <w:rsid w:val="001F548E"/>
    <w:rsid w:val="001F7389"/>
    <w:rsid w:val="002042FE"/>
    <w:rsid w:val="00210661"/>
    <w:rsid w:val="0021276C"/>
    <w:rsid w:val="00220559"/>
    <w:rsid w:val="00231A1E"/>
    <w:rsid w:val="00234DBB"/>
    <w:rsid w:val="00237C56"/>
    <w:rsid w:val="00242AFD"/>
    <w:rsid w:val="002431E5"/>
    <w:rsid w:val="00250898"/>
    <w:rsid w:val="002523CE"/>
    <w:rsid w:val="00255B8E"/>
    <w:rsid w:val="002573AB"/>
    <w:rsid w:val="002662FF"/>
    <w:rsid w:val="00273138"/>
    <w:rsid w:val="002744CF"/>
    <w:rsid w:val="00285267"/>
    <w:rsid w:val="00285AE5"/>
    <w:rsid w:val="00286115"/>
    <w:rsid w:val="00287AB4"/>
    <w:rsid w:val="00293C78"/>
    <w:rsid w:val="002A067E"/>
    <w:rsid w:val="002A4656"/>
    <w:rsid w:val="002C5D1C"/>
    <w:rsid w:val="002E3883"/>
    <w:rsid w:val="002E5627"/>
    <w:rsid w:val="002F1E15"/>
    <w:rsid w:val="00311700"/>
    <w:rsid w:val="00313D16"/>
    <w:rsid w:val="00313FCF"/>
    <w:rsid w:val="0032432B"/>
    <w:rsid w:val="00326BE6"/>
    <w:rsid w:val="00327078"/>
    <w:rsid w:val="00333B18"/>
    <w:rsid w:val="0034397E"/>
    <w:rsid w:val="00347605"/>
    <w:rsid w:val="00356DAB"/>
    <w:rsid w:val="00360389"/>
    <w:rsid w:val="00371732"/>
    <w:rsid w:val="00380F95"/>
    <w:rsid w:val="003A454C"/>
    <w:rsid w:val="003A607F"/>
    <w:rsid w:val="003B1964"/>
    <w:rsid w:val="003B7156"/>
    <w:rsid w:val="003C53B3"/>
    <w:rsid w:val="003C72A9"/>
    <w:rsid w:val="003D1C53"/>
    <w:rsid w:val="003D58F2"/>
    <w:rsid w:val="003D6C4D"/>
    <w:rsid w:val="003D7A73"/>
    <w:rsid w:val="003E1CDD"/>
    <w:rsid w:val="003F285A"/>
    <w:rsid w:val="003F5AF6"/>
    <w:rsid w:val="00402A32"/>
    <w:rsid w:val="004220EA"/>
    <w:rsid w:val="00431155"/>
    <w:rsid w:val="00437E64"/>
    <w:rsid w:val="004418C5"/>
    <w:rsid w:val="00460C69"/>
    <w:rsid w:val="00461DE3"/>
    <w:rsid w:val="00474A35"/>
    <w:rsid w:val="0048186B"/>
    <w:rsid w:val="00483404"/>
    <w:rsid w:val="0048448E"/>
    <w:rsid w:val="00492547"/>
    <w:rsid w:val="00492A00"/>
    <w:rsid w:val="004A021B"/>
    <w:rsid w:val="004A4491"/>
    <w:rsid w:val="004B1DD0"/>
    <w:rsid w:val="004B436D"/>
    <w:rsid w:val="004B63B1"/>
    <w:rsid w:val="004D421E"/>
    <w:rsid w:val="004E2C83"/>
    <w:rsid w:val="004F0D41"/>
    <w:rsid w:val="004F6548"/>
    <w:rsid w:val="00500016"/>
    <w:rsid w:val="005036E8"/>
    <w:rsid w:val="00524BC3"/>
    <w:rsid w:val="0052794E"/>
    <w:rsid w:val="00531049"/>
    <w:rsid w:val="00537E99"/>
    <w:rsid w:val="005512E6"/>
    <w:rsid w:val="00553F6B"/>
    <w:rsid w:val="00562271"/>
    <w:rsid w:val="00564A01"/>
    <w:rsid w:val="005656C2"/>
    <w:rsid w:val="005717E2"/>
    <w:rsid w:val="005738CF"/>
    <w:rsid w:val="0057526D"/>
    <w:rsid w:val="00580234"/>
    <w:rsid w:val="00581DEF"/>
    <w:rsid w:val="00584039"/>
    <w:rsid w:val="00594FB1"/>
    <w:rsid w:val="00597357"/>
    <w:rsid w:val="005A444A"/>
    <w:rsid w:val="005B102D"/>
    <w:rsid w:val="005C3B4E"/>
    <w:rsid w:val="005D580D"/>
    <w:rsid w:val="005E442A"/>
    <w:rsid w:val="005E6E88"/>
    <w:rsid w:val="005F0366"/>
    <w:rsid w:val="005F087D"/>
    <w:rsid w:val="005F08F1"/>
    <w:rsid w:val="0060260F"/>
    <w:rsid w:val="00625A90"/>
    <w:rsid w:val="006378ED"/>
    <w:rsid w:val="00645317"/>
    <w:rsid w:val="006505F3"/>
    <w:rsid w:val="00650DCF"/>
    <w:rsid w:val="00661F99"/>
    <w:rsid w:val="00663C5A"/>
    <w:rsid w:val="006730BD"/>
    <w:rsid w:val="00673120"/>
    <w:rsid w:val="006739FA"/>
    <w:rsid w:val="0069269B"/>
    <w:rsid w:val="006967AB"/>
    <w:rsid w:val="006973AE"/>
    <w:rsid w:val="006A67DE"/>
    <w:rsid w:val="006B150C"/>
    <w:rsid w:val="006B4538"/>
    <w:rsid w:val="006D6894"/>
    <w:rsid w:val="006D74F7"/>
    <w:rsid w:val="006E2C56"/>
    <w:rsid w:val="006E5E5F"/>
    <w:rsid w:val="006E7A3F"/>
    <w:rsid w:val="006F39C2"/>
    <w:rsid w:val="006F6453"/>
    <w:rsid w:val="00700F5E"/>
    <w:rsid w:val="00704924"/>
    <w:rsid w:val="007050F5"/>
    <w:rsid w:val="00706941"/>
    <w:rsid w:val="007108B4"/>
    <w:rsid w:val="0071368D"/>
    <w:rsid w:val="00717C6F"/>
    <w:rsid w:val="0072739B"/>
    <w:rsid w:val="0074295B"/>
    <w:rsid w:val="00742C47"/>
    <w:rsid w:val="00747AFD"/>
    <w:rsid w:val="007648F5"/>
    <w:rsid w:val="00770D86"/>
    <w:rsid w:val="00777A2B"/>
    <w:rsid w:val="00783235"/>
    <w:rsid w:val="00795563"/>
    <w:rsid w:val="007A51AE"/>
    <w:rsid w:val="007B4229"/>
    <w:rsid w:val="007C0A40"/>
    <w:rsid w:val="007D13C6"/>
    <w:rsid w:val="007D78E8"/>
    <w:rsid w:val="007E0F59"/>
    <w:rsid w:val="007E7CAF"/>
    <w:rsid w:val="007F166E"/>
    <w:rsid w:val="007F3AF5"/>
    <w:rsid w:val="007F562F"/>
    <w:rsid w:val="007F67A8"/>
    <w:rsid w:val="00800D8E"/>
    <w:rsid w:val="00812C19"/>
    <w:rsid w:val="008165F5"/>
    <w:rsid w:val="008234C9"/>
    <w:rsid w:val="00824EAC"/>
    <w:rsid w:val="00837FC8"/>
    <w:rsid w:val="0084503C"/>
    <w:rsid w:val="008450E8"/>
    <w:rsid w:val="00861F17"/>
    <w:rsid w:val="00862A26"/>
    <w:rsid w:val="008706F5"/>
    <w:rsid w:val="0087387F"/>
    <w:rsid w:val="00873BA1"/>
    <w:rsid w:val="00883C05"/>
    <w:rsid w:val="0089311E"/>
    <w:rsid w:val="00895558"/>
    <w:rsid w:val="00897C22"/>
    <w:rsid w:val="008D5514"/>
    <w:rsid w:val="008D5866"/>
    <w:rsid w:val="008E2484"/>
    <w:rsid w:val="008E665A"/>
    <w:rsid w:val="008E79D4"/>
    <w:rsid w:val="008F251C"/>
    <w:rsid w:val="008F44E2"/>
    <w:rsid w:val="008F4573"/>
    <w:rsid w:val="009034EF"/>
    <w:rsid w:val="00913CF0"/>
    <w:rsid w:val="00920D45"/>
    <w:rsid w:val="0092514C"/>
    <w:rsid w:val="00926B82"/>
    <w:rsid w:val="00927456"/>
    <w:rsid w:val="00935320"/>
    <w:rsid w:val="00935EBC"/>
    <w:rsid w:val="00937C62"/>
    <w:rsid w:val="00940891"/>
    <w:rsid w:val="009703EA"/>
    <w:rsid w:val="009710A7"/>
    <w:rsid w:val="00972F57"/>
    <w:rsid w:val="009879C1"/>
    <w:rsid w:val="00992142"/>
    <w:rsid w:val="009934F5"/>
    <w:rsid w:val="009A1F30"/>
    <w:rsid w:val="009C37A0"/>
    <w:rsid w:val="009C4885"/>
    <w:rsid w:val="009D2BB7"/>
    <w:rsid w:val="009F413B"/>
    <w:rsid w:val="00A00DF1"/>
    <w:rsid w:val="00A10153"/>
    <w:rsid w:val="00A177B2"/>
    <w:rsid w:val="00A21E22"/>
    <w:rsid w:val="00A23C48"/>
    <w:rsid w:val="00A27AEB"/>
    <w:rsid w:val="00A32E42"/>
    <w:rsid w:val="00A378B2"/>
    <w:rsid w:val="00A53657"/>
    <w:rsid w:val="00A651A8"/>
    <w:rsid w:val="00A710CA"/>
    <w:rsid w:val="00A754B1"/>
    <w:rsid w:val="00A8298B"/>
    <w:rsid w:val="00A851AE"/>
    <w:rsid w:val="00A878CB"/>
    <w:rsid w:val="00A87EF6"/>
    <w:rsid w:val="00A91A13"/>
    <w:rsid w:val="00A9255B"/>
    <w:rsid w:val="00A94F6D"/>
    <w:rsid w:val="00A9628F"/>
    <w:rsid w:val="00AA1E3D"/>
    <w:rsid w:val="00AB2FF7"/>
    <w:rsid w:val="00AC5B85"/>
    <w:rsid w:val="00AC64ED"/>
    <w:rsid w:val="00AD22A9"/>
    <w:rsid w:val="00AD3541"/>
    <w:rsid w:val="00AE1194"/>
    <w:rsid w:val="00AE4A26"/>
    <w:rsid w:val="00AF7206"/>
    <w:rsid w:val="00AF7690"/>
    <w:rsid w:val="00B01F92"/>
    <w:rsid w:val="00B02B0A"/>
    <w:rsid w:val="00B032B7"/>
    <w:rsid w:val="00B07D7A"/>
    <w:rsid w:val="00B127AC"/>
    <w:rsid w:val="00B12830"/>
    <w:rsid w:val="00B1605D"/>
    <w:rsid w:val="00B27F13"/>
    <w:rsid w:val="00B307D0"/>
    <w:rsid w:val="00B33C38"/>
    <w:rsid w:val="00B34C3D"/>
    <w:rsid w:val="00B3538A"/>
    <w:rsid w:val="00B35B3E"/>
    <w:rsid w:val="00B35FAD"/>
    <w:rsid w:val="00B36E35"/>
    <w:rsid w:val="00B52A9F"/>
    <w:rsid w:val="00B54F9D"/>
    <w:rsid w:val="00B56532"/>
    <w:rsid w:val="00B6472E"/>
    <w:rsid w:val="00B66EEF"/>
    <w:rsid w:val="00B73815"/>
    <w:rsid w:val="00B74290"/>
    <w:rsid w:val="00B758DD"/>
    <w:rsid w:val="00B7594E"/>
    <w:rsid w:val="00B829CE"/>
    <w:rsid w:val="00B8582F"/>
    <w:rsid w:val="00B9286A"/>
    <w:rsid w:val="00B95B7E"/>
    <w:rsid w:val="00BA2111"/>
    <w:rsid w:val="00BD0F2C"/>
    <w:rsid w:val="00BE66A0"/>
    <w:rsid w:val="00BE6C1A"/>
    <w:rsid w:val="00C01C89"/>
    <w:rsid w:val="00C11C9A"/>
    <w:rsid w:val="00C16265"/>
    <w:rsid w:val="00C25B3C"/>
    <w:rsid w:val="00C26A3E"/>
    <w:rsid w:val="00C2771C"/>
    <w:rsid w:val="00C27B92"/>
    <w:rsid w:val="00C27E78"/>
    <w:rsid w:val="00C3782F"/>
    <w:rsid w:val="00C645A5"/>
    <w:rsid w:val="00C7240E"/>
    <w:rsid w:val="00C87FF9"/>
    <w:rsid w:val="00C902B2"/>
    <w:rsid w:val="00C94956"/>
    <w:rsid w:val="00C97C65"/>
    <w:rsid w:val="00CA1A05"/>
    <w:rsid w:val="00CA6586"/>
    <w:rsid w:val="00CB67DE"/>
    <w:rsid w:val="00CD1FCB"/>
    <w:rsid w:val="00CD2111"/>
    <w:rsid w:val="00CD6C3B"/>
    <w:rsid w:val="00CE0CAE"/>
    <w:rsid w:val="00CE1885"/>
    <w:rsid w:val="00CE287E"/>
    <w:rsid w:val="00D0115F"/>
    <w:rsid w:val="00D1142B"/>
    <w:rsid w:val="00D14956"/>
    <w:rsid w:val="00D217F7"/>
    <w:rsid w:val="00D351CA"/>
    <w:rsid w:val="00D35B87"/>
    <w:rsid w:val="00D4412D"/>
    <w:rsid w:val="00D4533C"/>
    <w:rsid w:val="00D45935"/>
    <w:rsid w:val="00D5406D"/>
    <w:rsid w:val="00D55D7B"/>
    <w:rsid w:val="00D63A7C"/>
    <w:rsid w:val="00D67E25"/>
    <w:rsid w:val="00D73860"/>
    <w:rsid w:val="00D80905"/>
    <w:rsid w:val="00D87D52"/>
    <w:rsid w:val="00DA361C"/>
    <w:rsid w:val="00DB0E37"/>
    <w:rsid w:val="00DB3C94"/>
    <w:rsid w:val="00DB49A4"/>
    <w:rsid w:val="00DB6F64"/>
    <w:rsid w:val="00DC2BE2"/>
    <w:rsid w:val="00DC3224"/>
    <w:rsid w:val="00DC3B57"/>
    <w:rsid w:val="00DD0495"/>
    <w:rsid w:val="00DD09A5"/>
    <w:rsid w:val="00DD0B88"/>
    <w:rsid w:val="00DD5466"/>
    <w:rsid w:val="00DD5626"/>
    <w:rsid w:val="00DE6A50"/>
    <w:rsid w:val="00DE6D65"/>
    <w:rsid w:val="00DE7AA0"/>
    <w:rsid w:val="00E10CB4"/>
    <w:rsid w:val="00E16F10"/>
    <w:rsid w:val="00E31921"/>
    <w:rsid w:val="00E334DF"/>
    <w:rsid w:val="00E41DF7"/>
    <w:rsid w:val="00E51D6C"/>
    <w:rsid w:val="00E57912"/>
    <w:rsid w:val="00E62961"/>
    <w:rsid w:val="00E62993"/>
    <w:rsid w:val="00E6589F"/>
    <w:rsid w:val="00E7518A"/>
    <w:rsid w:val="00E765ED"/>
    <w:rsid w:val="00E769CA"/>
    <w:rsid w:val="00E812E1"/>
    <w:rsid w:val="00E9482C"/>
    <w:rsid w:val="00E95C70"/>
    <w:rsid w:val="00EB4B2A"/>
    <w:rsid w:val="00EC154C"/>
    <w:rsid w:val="00EC424D"/>
    <w:rsid w:val="00EF4E76"/>
    <w:rsid w:val="00EF50E5"/>
    <w:rsid w:val="00EF741D"/>
    <w:rsid w:val="00F0118D"/>
    <w:rsid w:val="00F06801"/>
    <w:rsid w:val="00F06D3E"/>
    <w:rsid w:val="00F14CD1"/>
    <w:rsid w:val="00F15124"/>
    <w:rsid w:val="00F1573E"/>
    <w:rsid w:val="00F22450"/>
    <w:rsid w:val="00F24C37"/>
    <w:rsid w:val="00F328C7"/>
    <w:rsid w:val="00F3556B"/>
    <w:rsid w:val="00F35A64"/>
    <w:rsid w:val="00F4127B"/>
    <w:rsid w:val="00F42ED7"/>
    <w:rsid w:val="00F50911"/>
    <w:rsid w:val="00F63AF9"/>
    <w:rsid w:val="00F72111"/>
    <w:rsid w:val="00F74575"/>
    <w:rsid w:val="00F777E4"/>
    <w:rsid w:val="00F825A3"/>
    <w:rsid w:val="00FA6BAC"/>
    <w:rsid w:val="00FB3BAA"/>
    <w:rsid w:val="00FB67B5"/>
    <w:rsid w:val="00FD02C7"/>
    <w:rsid w:val="00FD0E7E"/>
    <w:rsid w:val="00FD15BB"/>
    <w:rsid w:val="00FD1708"/>
    <w:rsid w:val="00FD2D13"/>
    <w:rsid w:val="00FD3A1A"/>
    <w:rsid w:val="00FD52B0"/>
    <w:rsid w:val="00FF1F9F"/>
    <w:rsid w:val="00FF1FB9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E3"/>
    <w:pPr>
      <w:overflowPunct w:val="0"/>
      <w:autoSpaceDE w:val="0"/>
      <w:autoSpaceDN w:val="0"/>
      <w:adjustRightInd w:val="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unhideWhenUsed/>
    <w:qFormat/>
    <w:rsid w:val="00B33C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7050F5"/>
    <w:pPr>
      <w:spacing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qFormat/>
    <w:rsid w:val="007050F5"/>
    <w:rPr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link w:val="ListParagraph"/>
    <w:uiPriority w:val="34"/>
    <w:qFormat/>
    <w:locked/>
    <w:rsid w:val="00A27AEB"/>
    <w:rPr>
      <w:rFonts w:ascii="Times" w:eastAsia="Batang" w:hAnsi="Times" w:cs="Times New Roman"/>
      <w:sz w:val="20"/>
      <w:lang w:val="en-GB"/>
    </w:rPr>
  </w:style>
  <w:style w:type="character" w:customStyle="1" w:styleId="ListParagraphChar2">
    <w:name w:val="List Paragraph Char2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uiPriority w:val="34"/>
    <w:qFormat/>
    <w:rsid w:val="00B27F13"/>
    <w:rPr>
      <w:rFonts w:ascii="Times" w:eastAsia="Batang" w:hAnsi="Times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050014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qFormat/>
    <w:rsid w:val="00E31921"/>
    <w:rPr>
      <w:color w:val="0000FF"/>
      <w:u w:val="single"/>
    </w:rPr>
  </w:style>
  <w:style w:type="paragraph" w:customStyle="1" w:styleId="References">
    <w:name w:val="References"/>
    <w:basedOn w:val="Normal"/>
    <w:rsid w:val="00231A1E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ascii="Times New Roman" w:eastAsia="SimSun" w:hAnsi="Times New Roman"/>
      <w:szCs w:val="16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347605"/>
  </w:style>
  <w:style w:type="paragraph" w:styleId="FootnoteText">
    <w:name w:val="footnote text"/>
    <w:basedOn w:val="Normal"/>
    <w:link w:val="FootnoteTextChar"/>
    <w:uiPriority w:val="99"/>
    <w:semiHidden/>
    <w:unhideWhenUsed/>
    <w:rsid w:val="00F3556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56B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55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Users/P3101504/Desktop/Data/RAN%20Meetings/RAN1/Release%2018/RAN1_110b-e/Duplex/Docs/R1-240163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DE6FE-61F6-0D41-A7AB-559753B5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Fazili, Muhammad U</cp:lastModifiedBy>
  <cp:revision>3</cp:revision>
  <dcterms:created xsi:type="dcterms:W3CDTF">2024-04-05T23:46:00Z</dcterms:created>
  <dcterms:modified xsi:type="dcterms:W3CDTF">2024-04-05T23:47:00Z</dcterms:modified>
</cp:coreProperties>
</file>