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 w:val="0"/>
        <w:autoSpaceDE w:val="0"/>
        <w:autoSpaceDN w:val="0"/>
        <w:adjustRightInd w:val="0"/>
        <w:spacing w:before="0" w:beforeLines="-2147483648" w:after="0" w:line="260" w:lineRule="auto"/>
        <w:jc w:val="both"/>
        <w:textAlignment w:val="baseline"/>
        <w:rPr>
          <w:rFonts w:hint="default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sz w:val="24"/>
          <w:lang w:val="en-US" w:eastAsia="ja-JP"/>
        </w:rPr>
        <w:t>3GPP TSG RAN WG1 #11</w:t>
      </w:r>
      <w:r>
        <w:rPr>
          <w:rFonts w:hint="eastAsia" w:ascii="Arial" w:hAnsi="Arial" w:cs="Times New Roman"/>
          <w:b/>
          <w:sz w:val="24"/>
          <w:lang w:val="en-US" w:eastAsia="zh-CN"/>
        </w:rPr>
        <w:t>5</w:t>
      </w:r>
      <w:r>
        <w:rPr>
          <w:rFonts w:ascii="Arial" w:hAnsi="Arial" w:cs="Times New Roman"/>
          <w:b/>
          <w:sz w:val="24"/>
          <w:lang w:val="en-US" w:eastAsia="ja-JP"/>
        </w:rPr>
        <w:tab/>
      </w:r>
      <w:r>
        <w:rPr>
          <w:rFonts w:hint="eastAsia" w:ascii="Arial" w:hAnsi="Arial" w:cs="Times New Roman"/>
          <w:b/>
          <w:sz w:val="24"/>
          <w:lang w:val="en-US" w:eastAsia="ja-JP"/>
        </w:rPr>
        <w:t>R1-2311469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spacing w:before="0" w:beforeLines="-2147483648" w:after="0" w:line="260" w:lineRule="auto"/>
        <w:jc w:val="both"/>
        <w:textAlignment w:val="baseline"/>
        <w:rPr>
          <w:rFonts w:ascii="Arial" w:hAnsi="Arial" w:cs="Times New Roman"/>
          <w:b/>
          <w:sz w:val="24"/>
          <w:lang w:val="en-US" w:eastAsia="ja-JP"/>
        </w:rPr>
      </w:pPr>
      <w:r>
        <w:rPr>
          <w:rFonts w:hint="eastAsia" w:ascii="Arial" w:hAnsi="Arial" w:cs="Times New Roman"/>
          <w:b/>
          <w:sz w:val="24"/>
          <w:lang w:val="en-US" w:eastAsia="ja-JP"/>
        </w:rPr>
        <w:t>Chicago, USA, November 13th – November 17th, 2023</w:t>
      </w: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Times New Roman"/>
          <w:b/>
          <w:sz w:val="22"/>
          <w:szCs w:val="22"/>
          <w:lang w:val="en-US"/>
        </w:rPr>
        <w:t xml:space="preserve">Source: 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ascii="Arial" w:hAnsi="Arial" w:cs="Times New Roman"/>
          <w:b/>
          <w:sz w:val="22"/>
          <w:szCs w:val="22"/>
          <w:lang w:val="en-US"/>
        </w:rPr>
        <w:t>CMCC</w:t>
      </w: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hint="eastAsia" w:ascii="Arial" w:hAnsi="Arial" w:cs="Times New Roman"/>
          <w:b/>
          <w:sz w:val="22"/>
          <w:szCs w:val="22"/>
          <w:lang w:val="en-US"/>
        </w:rPr>
        <w:t>Discussion on signaling design for CHO enhancement in DCI format 2_9</w:t>
      </w: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hint="default"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Agenda item: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hint="eastAsia" w:ascii="Arial" w:hAnsi="Arial" w:cs="Times New Roman"/>
          <w:b/>
          <w:sz w:val="22"/>
          <w:szCs w:val="22"/>
          <w:lang w:val="en-US" w:eastAsia="zh-CN"/>
        </w:rPr>
        <w:t>5</w:t>
      </w:r>
    </w:p>
    <w:bookmarkEnd w:id="0"/>
    <w:bookmarkEnd w:id="1"/>
    <w:p>
      <w:pPr>
        <w:overflowPunct w:val="0"/>
        <w:autoSpaceDE w:val="0"/>
        <w:autoSpaceDN w:val="0"/>
        <w:adjustRightInd w:val="0"/>
        <w:spacing w:before="0" w:beforeLines="-2147483648" w:after="240" w:line="240" w:lineRule="auto"/>
        <w:ind w:left="1990" w:hanging="1990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Document for: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bookmarkStart w:id="3" w:name="DocumentFor"/>
      <w:bookmarkEnd w:id="3"/>
      <w:r>
        <w:rPr>
          <w:rFonts w:ascii="Arial" w:hAnsi="Arial" w:cs="Times New Roman"/>
          <w:b/>
          <w:sz w:val="22"/>
          <w:szCs w:val="22"/>
          <w:lang w:val="en-US"/>
        </w:rPr>
        <w:t>Discussion/Decision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auto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bookmarkStart w:id="4" w:name="_Ref4817"/>
      <w:r>
        <w:rPr>
          <w:rFonts w:ascii="Arial" w:hAnsi="Arial" w:eastAsia="宋体" w:cs="Times New Roman"/>
          <w:sz w:val="36"/>
          <w:lang w:val="en-GB" w:eastAsia="en-US" w:bidi="ar-SA"/>
        </w:rPr>
        <w:t>Introduction</w:t>
      </w:r>
      <w:bookmarkEnd w:id="4"/>
    </w:p>
    <w:p>
      <w:pPr>
        <w:snapToGrid w:val="0"/>
        <w:spacing w:before="120"/>
        <w:jc w:val="both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 w:eastAsia="zh-CN"/>
        </w:rPr>
        <w:t>RAN2 has made CHO enhancement related to NES, following LS is received from RAN2[1]</w:t>
      </w:r>
      <w:r>
        <w:rPr>
          <w:sz w:val="21"/>
          <w:szCs w:val="21"/>
          <w:lang w:val="en-US"/>
        </w:rPr>
        <w:t>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81" w:type="dxa"/>
          </w:tcPr>
          <w:p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>
            <w:pPr>
              <w:pStyle w:val="18"/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RAN2 discussed network energy saving in RAN2#123bis, and made below agreement related to Conditional Handover (CHO) enhancement:</w:t>
            </w:r>
          </w:p>
          <w:p>
            <w:pPr>
              <w:pStyle w:val="48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b/>
                <w:bCs/>
              </w:rPr>
            </w:pPr>
            <w:r>
              <w:rPr>
                <w:b/>
                <w:bCs/>
              </w:rPr>
              <w:t>Agreements</w:t>
            </w:r>
          </w:p>
          <w:p>
            <w:pPr>
              <w:pStyle w:val="48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</w:pPr>
            <w:r>
              <w:t>Group common DCI format 2-X is reused to notify the UE that source cell is entering NES mode.</w:t>
            </w:r>
          </w:p>
          <w:p>
            <w:pPr>
              <w:pStyle w:val="48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</w:pPr>
            <w:r>
              <w:t>•</w:t>
            </w:r>
            <w:r>
              <w:tab/>
            </w:r>
            <w:r>
              <w:t>add one bit of DCI 2-X to trigger both use cases of Cell DTX/DRX activation and cell turning off. RAN2 send LS to RAN1 to request this signaling change.</w:t>
            </w:r>
          </w:p>
          <w:p>
            <w:pPr>
              <w:pStyle w:val="18"/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intention of the additional one bit (instead of reusing Cell DTX/DRX activation indication in DCI 2-X) is to decouple CHO enhancement for NES from Cell DTX/DRX activation. </w:t>
            </w:r>
          </w:p>
          <w:p>
            <w:pPr>
              <w:pStyle w:val="18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lang w:val="en-US"/>
              </w:rPr>
            </w:pPr>
          </w:p>
          <w:p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RAN1.</w:t>
            </w:r>
          </w:p>
          <w:p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respectfully requests RAN1 to specify signaling support corresponding to the above RAN2 agreement related to CHO enhancement</w:t>
            </w:r>
            <w:r>
              <w:rPr>
                <w:rFonts w:ascii="Arial" w:hAnsi="Arial" w:cs="Arial"/>
                <w:bCs/>
              </w:rPr>
              <w:t>.</w:t>
            </w:r>
          </w:p>
          <w:p>
            <w:pPr>
              <w:snapToGrid w:val="0"/>
              <w:spacing w:before="120"/>
              <w:jc w:val="both"/>
              <w:rPr>
                <w:sz w:val="21"/>
                <w:szCs w:val="21"/>
                <w:vertAlign w:val="baseline"/>
                <w:lang w:val="en-US"/>
              </w:rPr>
            </w:pPr>
          </w:p>
        </w:tc>
      </w:tr>
    </w:tbl>
    <w:p>
      <w:pPr>
        <w:snapToGrid w:val="0"/>
        <w:spacing w:before="120"/>
        <w:jc w:val="both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this contribution, we provide our consideration on signaling design for CHO enhancement in DCI format 2_9 and make proposal.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auto"/>
        <w:outlineLvl w:val="0"/>
        <w:rPr>
          <w:rFonts w:hint="default" w:ascii="Arial" w:hAnsi="Arial" w:eastAsia="宋体" w:cs="Times New Roman"/>
          <w:sz w:val="36"/>
          <w:lang w:val="en-US" w:eastAsia="zh-CN" w:bidi="ar-SA"/>
        </w:rPr>
      </w:pPr>
      <w:r>
        <w:rPr>
          <w:rFonts w:hint="eastAsia" w:ascii="Arial" w:hAnsi="Arial" w:eastAsia="宋体" w:cs="Times New Roman"/>
          <w:sz w:val="36"/>
          <w:lang w:val="en-US" w:eastAsia="zh-CN" w:bidi="ar-SA"/>
        </w:rPr>
        <w:t>S</w:t>
      </w:r>
      <w:r>
        <w:rPr>
          <w:rFonts w:hint="default" w:ascii="Arial" w:hAnsi="Arial" w:eastAsia="宋体" w:cs="Times New Roman"/>
          <w:sz w:val="36"/>
          <w:lang w:val="en-US" w:eastAsia="en-US" w:bidi="ar-SA"/>
        </w:rPr>
        <w:t>ignaling design for CHO enhancement in DCI format 2_9</w:t>
      </w:r>
      <w:r>
        <w:rPr>
          <w:rFonts w:hint="eastAsia" w:ascii="Arial" w:hAnsi="Arial" w:eastAsia="宋体" w:cs="Times New Roman"/>
          <w:sz w:val="36"/>
          <w:lang w:val="en-US" w:eastAsia="zh-CN" w:bidi="ar-SA"/>
        </w:rPr>
        <w:t xml:space="preserve"> 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According to RAN1 agreements, one information block field will be configured for one serving cell. Each serving cell will be configured with 1 bits for activation/deactivation of </w:t>
      </w:r>
      <w:r>
        <w:rPr>
          <w:rFonts w:ascii="Times New Roman" w:hAnsi="Times New Roman" w:eastAsia="Malgun Gothic" w:cs="Times New Roman"/>
          <w:szCs w:val="20"/>
          <w:lang w:val="en-US" w:eastAsia="ko-KR" w:bidi="ar-SA"/>
        </w:rPr>
        <w:t>the configured cell DTX or cell DRX configuration</w:t>
      </w:r>
      <w:r>
        <w:rPr>
          <w:rFonts w:hint="eastAsia" w:cs="Times New Roman"/>
          <w:szCs w:val="20"/>
          <w:lang w:val="en-US" w:eastAsia="zh-CN" w:bidi="ar-SA"/>
        </w:rPr>
        <w:t>, or 2 bits for both cell DTX and cell DRX configuration activation/deactivation indication.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81" w:type="dxa"/>
          </w:tcPr>
          <w:p>
            <w:pPr>
              <w:keepNext/>
              <w:keepLines/>
              <w:pBdr>
                <w:top w:val="none" w:color="auto" w:sz="0" w:space="0"/>
              </w:pBdr>
              <w:suppressAutoHyphens/>
              <w:spacing w:before="120" w:after="180" w:line="254" w:lineRule="auto"/>
              <w:ind w:left="1701" w:hanging="1701"/>
              <w:outlineLvl w:val="4"/>
              <w:rPr>
                <w:rFonts w:ascii="Arial" w:hAnsi="Arial" w:eastAsia="Times New Roman" w:cs="Times New Roman"/>
                <w:sz w:val="22"/>
                <w:highlight w:val="gree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22"/>
                <w:highlight w:val="green"/>
                <w:lang w:val="en-GB" w:eastAsia="en-US" w:bidi="ar-SA"/>
              </w:rPr>
              <w:t>#19 Agreement</w:t>
            </w:r>
          </w:p>
          <w:p>
            <w:pPr>
              <w:numPr>
                <w:ilvl w:val="0"/>
                <w:numId w:val="6"/>
              </w:numPr>
              <w:suppressAutoHyphens/>
              <w:spacing w:after="0" w:line="254" w:lineRule="auto"/>
              <w:ind w:left="72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>An information block field of DCI format 2_X is variable size either 1 or 2 bits.</w:t>
            </w:r>
          </w:p>
          <w:p>
            <w:pPr>
              <w:numPr>
                <w:ilvl w:val="1"/>
                <w:numId w:val="6"/>
              </w:numPr>
              <w:suppressAutoHyphens/>
              <w:spacing w:after="0" w:line="254" w:lineRule="auto"/>
              <w:ind w:left="144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>Higher layer signaling configures whether the activation/deactivation of cell DTX and/or cell DRX is indicated in DCI format 2_X for a serving cell.</w:t>
            </w:r>
          </w:p>
          <w:p>
            <w:pPr>
              <w:numPr>
                <w:ilvl w:val="2"/>
                <w:numId w:val="6"/>
              </w:numPr>
              <w:suppressAutoHyphens/>
              <w:spacing w:after="0" w:line="254" w:lineRule="auto"/>
              <w:ind w:left="216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 xml:space="preserve">If both cell DTX and cell DRX are configured for a serving cell, </w:t>
            </w:r>
          </w:p>
          <w:p>
            <w:pPr>
              <w:numPr>
                <w:ilvl w:val="3"/>
                <w:numId w:val="6"/>
              </w:numPr>
              <w:suppressAutoHyphens/>
              <w:spacing w:after="0" w:line="254" w:lineRule="auto"/>
              <w:ind w:left="288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>1</w:t>
            </w:r>
            <w:r>
              <w:rPr>
                <w:rFonts w:ascii="Times New Roman" w:hAnsi="Times New Roman" w:eastAsia="Malgun Gothic" w:cs="Times New Roman"/>
                <w:szCs w:val="20"/>
                <w:vertAlign w:val="superscript"/>
                <w:lang w:val="en-US" w:eastAsia="ko-KR" w:bidi="ar-SA"/>
              </w:rPr>
              <w:t>st</w:t>
            </w: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 xml:space="preserve"> bit corresponds to activation/deactivation of cell DTX configuration, and</w:t>
            </w:r>
          </w:p>
          <w:p>
            <w:pPr>
              <w:numPr>
                <w:ilvl w:val="3"/>
                <w:numId w:val="6"/>
              </w:numPr>
              <w:suppressAutoHyphens/>
              <w:spacing w:after="0" w:line="254" w:lineRule="auto"/>
              <w:ind w:left="288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>2</w:t>
            </w:r>
            <w:r>
              <w:rPr>
                <w:rFonts w:ascii="Times New Roman" w:hAnsi="Times New Roman" w:eastAsia="Malgun Gothic" w:cs="Times New Roman"/>
                <w:szCs w:val="20"/>
                <w:vertAlign w:val="superscript"/>
                <w:lang w:val="en-US" w:eastAsia="ko-KR" w:bidi="ar-SA"/>
              </w:rPr>
              <w:t>nd</w:t>
            </w: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 xml:space="preserve"> bit corresponds to activation/deactivation of cell DRX configuration, </w:t>
            </w:r>
          </w:p>
          <w:p>
            <w:pPr>
              <w:numPr>
                <w:ilvl w:val="2"/>
                <w:numId w:val="6"/>
              </w:numPr>
              <w:suppressAutoHyphens/>
              <w:spacing w:after="0" w:line="254" w:lineRule="auto"/>
              <w:ind w:left="2160" w:hanging="360"/>
              <w:jc w:val="left"/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szCs w:val="20"/>
                <w:lang w:val="en-US" w:eastAsia="ko-KR" w:bidi="ar-SA"/>
              </w:rPr>
              <w:t>otherwise, the 1 bit corresponds to the configured cell DTX or cell DRX configuration.</w:t>
            </w:r>
          </w:p>
          <w:p>
            <w:pPr>
              <w:numPr>
                <w:ilvl w:val="1"/>
                <w:numId w:val="6"/>
              </w:numPr>
              <w:suppressAutoHyphens/>
              <w:spacing w:after="0" w:line="254" w:lineRule="auto"/>
              <w:ind w:left="1440" w:hanging="360"/>
              <w:jc w:val="left"/>
              <w:rPr>
                <w:rFonts w:ascii="Times New Roman" w:hAnsi="Times New Roman" w:eastAsia="Malgun Gothic" w:cs="Times New Roman"/>
                <w:color w:val="C00000"/>
                <w:szCs w:val="20"/>
                <w:u w:val="single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color w:val="C00000"/>
                <w:szCs w:val="20"/>
                <w:u w:val="single"/>
                <w:lang w:val="en-US" w:eastAsia="ko-KR" w:bidi="ar-SA"/>
              </w:rPr>
              <w:t>Note: this does not imply there may be separate higher layer signaling to enable L1 signaling based activation/deactivation for a cell DTX and/or cell DRX configuration. Signaling design is up to RAN2.</w:t>
            </w:r>
          </w:p>
          <w:p>
            <w:pPr>
              <w:suppressAutoHyphens/>
              <w:spacing w:before="0" w:beforeLines="-2147483648" w:after="180" w:line="254" w:lineRule="auto"/>
              <w:rPr>
                <w:rFonts w:ascii="Times New Roman" w:hAnsi="Times New Roman" w:cs="Times New Roman"/>
                <w:lang w:val="en-US" w:eastAsia="zh-CN"/>
              </w:rPr>
            </w:pPr>
          </w:p>
          <w:p>
            <w:pPr>
              <w:keepNext/>
              <w:keepLines/>
              <w:pBdr>
                <w:top w:val="none" w:color="auto" w:sz="0" w:space="0"/>
              </w:pBdr>
              <w:suppressAutoHyphens/>
              <w:spacing w:before="120" w:after="180" w:line="254" w:lineRule="auto"/>
              <w:ind w:left="1701" w:hanging="1701"/>
              <w:outlineLvl w:val="4"/>
              <w:rPr>
                <w:rFonts w:ascii="Arial" w:hAnsi="Arial" w:eastAsia="Times New Roman" w:cs="Times New Roman"/>
                <w:sz w:val="22"/>
                <w:highlight w:val="gree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22"/>
                <w:highlight w:val="green"/>
                <w:lang w:val="en-GB" w:eastAsia="en-US" w:bidi="ar-SA"/>
              </w:rPr>
              <w:t>#20 Agreement</w:t>
            </w:r>
          </w:p>
          <w:p>
            <w:pPr>
              <w:suppressAutoHyphens/>
              <w:spacing w:before="0" w:beforeLines="-2147483648" w:after="180" w:line="254" w:lineRule="auto"/>
              <w:rPr>
                <w:rFonts w:hint="default" w:cs="Times New Roman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/>
              </w:rPr>
              <w:t>For each serving cell configured with L1 signaling based activation/deactivation of cell DTX and/or cell DRX configuration, starting bit position of an information block of DCI format 2_X is provided by UE specific higher layer signaling.</w:t>
            </w:r>
          </w:p>
        </w:tc>
      </w:tr>
    </w:tbl>
    <w:p>
      <w:pPr>
        <w:rPr>
          <w:rFonts w:hint="default" w:cs="Times New Roman"/>
          <w:lang w:val="en-US" w:eastAsia="zh-CN"/>
        </w:rPr>
      </w:pP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RAN2 CHO enhancement, an additional  bit is used to indicate UE that its </w:t>
      </w:r>
      <w:r>
        <w:t>source cell is entering NES mode</w:t>
      </w:r>
      <w:r>
        <w:rPr>
          <w:lang w:val="en-US" w:eastAsia="zh-CN"/>
        </w:rPr>
        <w:t>.I</w:t>
      </w:r>
      <w:r>
        <w:rPr>
          <w:rFonts w:hint="eastAsia"/>
          <w:lang w:val="en-US" w:eastAsia="zh-CN"/>
        </w:rPr>
        <w:t xml:space="preserve">f CHO enhancement bit is located at the end of all the information blocks, since DCI format 2_9 is a group common DCI format, there may be multiple CHO enhancement bits, each for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PCell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different UEs. As a result, starting position for this CHO enhancement bit needs to be further provided for UE, which bring unnecessary signaling overhead.</w:t>
      </w:r>
      <w:r>
        <w:rPr>
          <w:lang w:val="en-US" w:eastAsia="zh-CN"/>
        </w:rPr>
        <w:t xml:space="preserve"> S</w:t>
      </w:r>
      <w:r>
        <w:rPr>
          <w:rFonts w:hint="eastAsia"/>
          <w:lang w:val="en-US" w:eastAsia="zh-CN"/>
        </w:rPr>
        <w:t>o CHO enhancement should be configured together</w:t>
      </w:r>
      <w:r>
        <w:rPr>
          <w:lang w:val="en-US" w:eastAsia="zh-CN"/>
        </w:rPr>
        <w:t xml:space="preserve"> with the information block for cell </w:t>
      </w:r>
      <w:r>
        <w:rPr>
          <w:rFonts w:hint="eastAsia"/>
          <w:lang w:val="en-US" w:eastAsia="zh-CN"/>
        </w:rPr>
        <w:t>DTX/DRX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activa</w:t>
      </w:r>
      <w:r>
        <w:rPr>
          <w:lang w:val="en-US" w:eastAsia="zh-CN"/>
        </w:rPr>
        <w:t xml:space="preserve">tion/deactivation bits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f the same cell, i.e., </w:t>
      </w:r>
      <w:r>
        <w:rPr>
          <w:rFonts w:hint="eastAsia"/>
          <w:lang w:val="en-US" w:eastAsia="zh-CN"/>
        </w:rPr>
        <w:t xml:space="preserve">following the </w:t>
      </w:r>
      <w:r>
        <w:t>Cell DTX/DRX indication</w:t>
      </w:r>
      <w:r>
        <w:rPr>
          <w:rFonts w:hint="eastAsia"/>
          <w:lang w:val="en-US" w:eastAsia="zh-CN"/>
        </w:rPr>
        <w:t xml:space="preserve">in information block for that cell. 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And considering that handover is only happened to Pcell, it seems UE only to monitor the</w:t>
      </w:r>
      <w:r>
        <w:rPr>
          <w:lang w:val="en-US" w:eastAsia="zh-CN"/>
        </w:rPr>
        <w:t xml:space="preserve"> corresponding </w:t>
      </w:r>
      <w:r>
        <w:rPr>
          <w:rFonts w:hint="eastAsia"/>
          <w:lang w:val="en-US" w:eastAsia="zh-CN"/>
        </w:rPr>
        <w:t xml:space="preserve"> bit for its Pcell. For serving cells other than Pcell, UE does not need to check this additional bit</w:t>
      </w:r>
      <w:r>
        <w:rPr>
          <w:lang w:val="en-US" w:eastAsia="zh-CN"/>
        </w:rPr>
        <w:t xml:space="preserve"> for NES mode indicating</w:t>
      </w:r>
      <w:r>
        <w:rPr>
          <w:rFonts w:hint="eastAsia"/>
          <w:lang w:val="en-US" w:eastAsia="zh-CN"/>
        </w:rPr>
        <w:t>, although it may be present because Scell for one UE can be Pcell for other UEs.</w:t>
      </w:r>
    </w:p>
    <w:p>
      <w:pPr>
        <w:spacing w:before="120"/>
        <w:rPr>
          <w:lang w:val="en-US" w:eastAsia="zh-CN"/>
        </w:rPr>
      </w:pPr>
    </w:p>
    <w:p>
      <w:pPr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CHO enhancement bit is located after </w:t>
      </w:r>
      <w:r>
        <w:rPr>
          <w:b/>
          <w:bCs/>
        </w:rPr>
        <w:t>Cell DTX/DRX indication</w:t>
      </w:r>
      <w:r>
        <w:rPr>
          <w:rFonts w:hint="eastAsia"/>
          <w:b/>
          <w:bCs/>
          <w:lang w:val="en-US" w:eastAsia="zh-CN"/>
        </w:rPr>
        <w:t xml:space="preserve"> bit(s) in information block for </w:t>
      </w:r>
      <w:r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 cell.</w:t>
      </w:r>
    </w:p>
    <w:p>
      <w:p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UE only needs to check CHO enhancement bit for its PCell.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Therefore, we provide the following TP for TS38.212. 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081" w:type="dxa"/>
          </w:tcPr>
          <w:p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bookmarkStart w:id="5" w:name="_Toc146188123"/>
            <w:bookmarkStart w:id="6" w:name="_Toc146727671"/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bookmarkEnd w:id="5"/>
          <w:bookmarkEnd w:id="6"/>
          <w:p>
            <w:pPr>
              <w:keepNext/>
              <w:keepLines/>
              <w:pBdr>
                <w:top w:val="none" w:color="auto" w:sz="0" w:space="0"/>
              </w:pBdr>
              <w:spacing w:before="120" w:after="180"/>
              <w:ind w:left="1701" w:hanging="1701"/>
              <w:outlineLvl w:val="4"/>
              <w:rPr>
                <w:rFonts w:ascii="Arial" w:hAnsi="Arial" w:eastAsia="宋体" w:cs="Times New Roman"/>
                <w:sz w:val="22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>7.3.1.3.10</w:t>
            </w: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>Format 2_9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DCI format 2_9 is used for activating or de-activating the cell DTX and/or DRX configuration of one or multiple serving cells </w:t>
            </w:r>
            <w:r>
              <w:rPr>
                <w:rFonts w:ascii="Times" w:hAnsi="Times" w:eastAsia="Batang" w:cs="Times New Roman"/>
                <w:bCs/>
                <w:lang w:eastAsia="zh-CN"/>
              </w:rPr>
              <w:t>for one or more UEs</w:t>
            </w:r>
            <w:r>
              <w:rPr>
                <w:rFonts w:ascii="Times New Roman" w:hAnsi="Times New Roman" w:cs="Times New Roman"/>
                <w:lang w:eastAsia="zh-CN"/>
              </w:rPr>
              <w:t xml:space="preserve">. 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The following information is transmitted by means of the DCI format 2_9 with CRC scrambled by cellDTRX-RNTI: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i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 xml:space="preserve">block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number 1, 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block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number 2,…, 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block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number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>N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where </w:t>
            </w:r>
            <w:r>
              <w:rPr>
                <w:rFonts w:ascii="Times New Roman" w:hAnsi="Times New Roman" w:eastAsia="宋体" w:cs="Times New Roman"/>
                <w:lang w:val="en-GB" w:eastAsia="ko-KR" w:bidi="ar-SA"/>
              </w:rPr>
              <w:t xml:space="preserve">the starting position of a block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is determined by the parameter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 xml:space="preserve">positionInDCI-cellDTRX </w:t>
            </w:r>
            <w:r>
              <w:rPr>
                <w:rFonts w:ascii="Times New Roman" w:hAnsi="Times New Roman" w:eastAsia="宋体" w:cs="Times New Roman"/>
                <w:lang w:val="en-GB" w:eastAsia="ko-KR" w:bidi="ar-SA"/>
              </w:rPr>
              <w:t>provided by higher layers for the UE.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If the UE is configured with higher layer parameter </w:t>
            </w:r>
            <w:r>
              <w:rPr>
                <w:rFonts w:ascii="Times New Roman" w:hAnsi="Times New Roman" w:cs="Times New Roman"/>
                <w:i/>
                <w:lang w:eastAsia="zh-CN"/>
              </w:rPr>
              <w:t>XYZ</w:t>
            </w:r>
            <w:r>
              <w:rPr>
                <w:rFonts w:ascii="Times New Roman" w:hAnsi="Times New Roman" w:cs="Times New Roman"/>
              </w:rPr>
              <w:t>, one or more blocks are configured for the UE by higher layers, with t</w:t>
            </w:r>
            <w:r>
              <w:rPr>
                <w:rFonts w:ascii="Times New Roman" w:hAnsi="Times New Roman" w:cs="Times New Roman"/>
                <w:lang w:eastAsia="ko-KR"/>
              </w:rPr>
              <w:t>he following field defined for each block: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Cell DTX/DRX indication - 2 bits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>f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>XYZ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, with the MSB corresponding to cell DTX configuration and the LSB corresponding to cell DRX configuration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>;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otherwise 1 bit. </w:t>
            </w:r>
          </w:p>
          <w:p>
            <w:pPr>
              <w:spacing w:after="180"/>
              <w:ind w:left="568" w:hanging="284"/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>C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 w:bidi="ar-SA"/>
              </w:rPr>
              <w:t xml:space="preserve">HO triggering indication - 1bit if UE is configured with </w:t>
            </w:r>
            <w:r>
              <w:rPr>
                <w:b/>
                <w:bCs/>
                <w:i/>
                <w:iCs/>
                <w:color w:val="FF0000"/>
              </w:rPr>
              <w:t>nesEvent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, </w:t>
            </w:r>
            <w:r>
              <w:rPr>
                <w:color w:val="FF0000"/>
              </w:rPr>
              <w:t>indicating the applicability of NES-specific CHO event</w:t>
            </w:r>
            <w:r>
              <w:rPr>
                <w:rFonts w:hint="eastAsia"/>
                <w:color w:val="FF0000"/>
                <w:lang w:val="en-US" w:eastAsia="zh-CN"/>
              </w:rPr>
              <w:t>. Otherwise, 0 bit.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The size of DCI format 2_9 is indicated by the higher layer parameter </w:t>
            </w:r>
            <w:r>
              <w:rPr>
                <w:rFonts w:ascii="Times New Roman" w:hAnsi="Times New Roman" w:cs="Times New Roman"/>
                <w:i/>
              </w:rPr>
              <w:t>sizeDCI-2-9</w:t>
            </w:r>
            <w:r>
              <w:rPr>
                <w:rFonts w:ascii="Times New Roman" w:hAnsi="Times New Roman" w:cs="Times New Roman"/>
                <w:lang w:eastAsia="zh-CN"/>
              </w:rPr>
              <w:t>.</w:t>
            </w:r>
          </w:p>
          <w:p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 w:after="0" w:line="360" w:lineRule="auto"/>
        <w:ind w:left="0" w:right="0" w:firstLine="0"/>
        <w:textAlignment w:val="baseline"/>
        <w:rPr>
          <w:rFonts w:hint="default" w:eastAsia="宋体"/>
          <w:b/>
          <w:bCs/>
          <w:i/>
          <w:iCs/>
          <w:sz w:val="21"/>
          <w:szCs w:val="21"/>
          <w:u w:val="single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Conclusion </w:t>
      </w:r>
    </w:p>
    <w:p>
      <w:pPr>
        <w:widowControl w:val="0"/>
        <w:snapToGrid w:val="0"/>
        <w:spacing w:before="120" w:line="300" w:lineRule="auto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hint="default" w:eastAsia="Times New Roman"/>
          <w:kern w:val="2"/>
          <w:sz w:val="21"/>
          <w:szCs w:val="22"/>
          <w:lang w:val="en-US" w:eastAsia="ko-KR"/>
        </w:rPr>
        <w:t xml:space="preserve">In this contribution, we discuss 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the signaling design of </w:t>
      </w:r>
      <w:r>
        <w:rPr>
          <w:rFonts w:hint="eastAsia"/>
          <w:sz w:val="21"/>
          <w:szCs w:val="21"/>
          <w:lang w:val="en-US" w:eastAsia="zh-CN"/>
        </w:rPr>
        <w:t>CHO enhancement in DCI format 2_9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 xml:space="preserve">, and 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the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>following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proposals are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>made</w:t>
      </w:r>
      <w:r>
        <w:rPr>
          <w:rFonts w:eastAsia="Times New Roman"/>
          <w:kern w:val="2"/>
          <w:sz w:val="21"/>
          <w:szCs w:val="22"/>
          <w:lang w:val="en-US" w:eastAsia="ko-KR"/>
        </w:rPr>
        <w:t>:</w:t>
      </w:r>
    </w:p>
    <w:p>
      <w:pPr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CHO enhancement bit is located after </w:t>
      </w:r>
      <w:r>
        <w:rPr>
          <w:b/>
          <w:bCs/>
        </w:rPr>
        <w:t>Cell DTX/DRX indication</w:t>
      </w:r>
      <w:r>
        <w:rPr>
          <w:rFonts w:hint="eastAsia"/>
          <w:b/>
          <w:bCs/>
          <w:lang w:val="en-US" w:eastAsia="zh-CN"/>
        </w:rPr>
        <w:t xml:space="preserve"> bit(s) in information block for </w:t>
      </w:r>
      <w:r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>corresponding cell.</w:t>
      </w:r>
    </w:p>
    <w:p>
      <w:p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UE only needs to check CHO enhancement bit for its PCell.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  <w:bookmarkStart w:id="7" w:name="_GoBack"/>
      <w:bookmarkEnd w:id="7"/>
      <w:r>
        <w:rPr>
          <w:rFonts w:hint="eastAsia"/>
          <w:lang w:val="en-US" w:eastAsia="zh-CN"/>
        </w:rPr>
        <w:t>The corresponding TP for TS38.212 is as following,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keepNext/>
              <w:keepLines/>
              <w:pBdr>
                <w:top w:val="none" w:color="auto" w:sz="0" w:space="0"/>
              </w:pBdr>
              <w:spacing w:before="120" w:after="180"/>
              <w:ind w:left="1701" w:hanging="1701"/>
              <w:outlineLvl w:val="4"/>
              <w:rPr>
                <w:rFonts w:ascii="Arial" w:hAnsi="Arial" w:eastAsia="宋体" w:cs="Times New Roman"/>
                <w:sz w:val="22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>7.3.1.3.10</w:t>
            </w: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22"/>
                <w:lang w:val="en-GB" w:eastAsia="zh-CN" w:bidi="ar-SA"/>
              </w:rPr>
              <w:t>Format 2_9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DCI format 2_9 is used for activating or de-activating the cell DTX and/or DRX configuration of one or multiple serving cells </w:t>
            </w:r>
            <w:r>
              <w:rPr>
                <w:rFonts w:ascii="Times" w:hAnsi="Times" w:eastAsia="Batang" w:cs="Times New Roman"/>
                <w:bCs/>
                <w:lang w:eastAsia="zh-CN"/>
              </w:rPr>
              <w:t>for one or more UEs</w:t>
            </w:r>
            <w:r>
              <w:rPr>
                <w:rFonts w:ascii="Times New Roman" w:hAnsi="Times New Roman" w:cs="Times New Roman"/>
                <w:lang w:eastAsia="zh-CN"/>
              </w:rPr>
              <w:t xml:space="preserve">. 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The following information is transmitted by means of the DCI format 2_9 with CRC scrambled by cellDTRX-RNTI: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i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 xml:space="preserve">block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number 1, 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block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number 2,…, 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block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number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>N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where </w:t>
            </w:r>
            <w:r>
              <w:rPr>
                <w:rFonts w:ascii="Times New Roman" w:hAnsi="Times New Roman" w:eastAsia="宋体" w:cs="Times New Roman"/>
                <w:lang w:val="en-GB" w:eastAsia="ko-KR" w:bidi="ar-SA"/>
              </w:rPr>
              <w:t xml:space="preserve">the starting position of a block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is determined by the parameter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 xml:space="preserve">positionInDCI-cellDTRX </w:t>
            </w:r>
            <w:r>
              <w:rPr>
                <w:rFonts w:ascii="Times New Roman" w:hAnsi="Times New Roman" w:eastAsia="宋体" w:cs="Times New Roman"/>
                <w:lang w:val="en-GB" w:eastAsia="ko-KR" w:bidi="ar-SA"/>
              </w:rPr>
              <w:t>provided by higher layers for the UE.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If the UE is configured with higher layer parameter </w:t>
            </w:r>
            <w:r>
              <w:rPr>
                <w:rFonts w:ascii="Times New Roman" w:hAnsi="Times New Roman" w:cs="Times New Roman"/>
                <w:i/>
                <w:lang w:eastAsia="zh-CN"/>
              </w:rPr>
              <w:t>XYZ</w:t>
            </w:r>
            <w:r>
              <w:rPr>
                <w:rFonts w:ascii="Times New Roman" w:hAnsi="Times New Roman" w:cs="Times New Roman"/>
              </w:rPr>
              <w:t>, one or more blocks are configured for the UE by higher layers, with t</w:t>
            </w:r>
            <w:r>
              <w:rPr>
                <w:rFonts w:ascii="Times New Roman" w:hAnsi="Times New Roman" w:cs="Times New Roman"/>
                <w:lang w:eastAsia="ko-KR"/>
              </w:rPr>
              <w:t>he following field defined for each block:</w:t>
            </w:r>
          </w:p>
          <w:p>
            <w:pPr>
              <w:spacing w:after="180"/>
              <w:ind w:left="568" w:hanging="284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Cell DTX/DRX indication - 2 bits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>f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lang w:val="en-GB" w:eastAsia="en-US" w:bidi="ar-SA"/>
              </w:rPr>
              <w:t>XYZ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, with the MSB corresponding to cell DTX configuration and the LSB corresponding to cell DRX configuration</w:t>
            </w:r>
            <w:r>
              <w:rPr>
                <w:rFonts w:hint="eastAsia" w:ascii="Times New Roman" w:hAnsi="Times New Roman" w:eastAsia="宋体" w:cs="Times New Roman"/>
                <w:lang w:val="en-GB" w:eastAsia="en-US" w:bidi="ar-SA"/>
              </w:rPr>
              <w:t>;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 xml:space="preserve"> otherwise 1 bit. </w:t>
            </w:r>
          </w:p>
          <w:p>
            <w:pPr>
              <w:spacing w:after="180"/>
              <w:ind w:left="568" w:hanging="284"/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FF0000"/>
                <w:lang w:val="en-GB" w:eastAsia="en-US" w:bidi="ar-SA"/>
              </w:rPr>
              <w:t>C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 w:bidi="ar-SA"/>
              </w:rPr>
              <w:t xml:space="preserve">HO triggering indication - 1bit if UE is configured with </w:t>
            </w:r>
            <w:r>
              <w:rPr>
                <w:b/>
                <w:bCs/>
                <w:i/>
                <w:iCs/>
                <w:color w:val="FF0000"/>
              </w:rPr>
              <w:t>nesEvent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, </w:t>
            </w:r>
            <w:r>
              <w:rPr>
                <w:color w:val="FF0000"/>
              </w:rPr>
              <w:t>indicating the applicability of NES-specific CHO event</w:t>
            </w:r>
            <w:r>
              <w:rPr>
                <w:rFonts w:hint="eastAsia"/>
                <w:color w:val="FF0000"/>
                <w:lang w:val="en-US" w:eastAsia="zh-CN"/>
              </w:rPr>
              <w:t>. Otherwise, 0 bit.</w:t>
            </w: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</w:p>
          <w:p>
            <w:pPr>
              <w:spacing w:before="0" w:beforeLines="-2147483648" w:after="180" w:line="240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The size of DCI format 2_9 is indicated by the higher layer parameter </w:t>
            </w:r>
            <w:r>
              <w:rPr>
                <w:rFonts w:ascii="Times New Roman" w:hAnsi="Times New Roman" w:cs="Times New Roman"/>
                <w:i/>
              </w:rPr>
              <w:t>sizeDCI-2-9</w:t>
            </w:r>
            <w:r>
              <w:rPr>
                <w:rFonts w:ascii="Times New Roman" w:hAnsi="Times New Roman" w:cs="Times New Roman"/>
                <w:lang w:eastAsia="zh-CN"/>
              </w:rPr>
              <w:t>.</w:t>
            </w:r>
          </w:p>
          <w:p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snapToGrid w:val="0"/>
        <w:spacing w:before="120" w:line="300" w:lineRule="auto"/>
        <w:jc w:val="both"/>
        <w:rPr>
          <w:rFonts w:hint="eastAsia" w:eastAsia="Times New Roman"/>
          <w:kern w:val="2"/>
          <w:sz w:val="21"/>
          <w:szCs w:val="22"/>
          <w:lang w:val="en-US" w:eastAsia="ko-KR"/>
        </w:rPr>
      </w:pPr>
    </w:p>
    <w:p>
      <w:pPr>
        <w:widowControl w:val="0"/>
        <w:snapToGrid w:val="0"/>
        <w:spacing w:before="120" w:line="300" w:lineRule="auto"/>
        <w:jc w:val="both"/>
        <w:rPr>
          <w:rFonts w:hint="eastAsia" w:eastAsia="Times New Roman"/>
          <w:kern w:val="2"/>
          <w:sz w:val="21"/>
          <w:szCs w:val="22"/>
          <w:lang w:val="en-US" w:eastAsia="ko-KR"/>
        </w:rPr>
      </w:pPr>
    </w:p>
    <w:p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. References</w:t>
      </w:r>
    </w:p>
    <w:p>
      <w:pPr>
        <w:widowControl w:val="0"/>
        <w:numPr>
          <w:ilvl w:val="0"/>
          <w:numId w:val="7"/>
        </w:numPr>
        <w:snapToGrid w:val="0"/>
        <w:spacing w:before="120" w:line="300" w:lineRule="auto"/>
        <w:jc w:val="both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/>
        </w:rPr>
        <w:t>R2-2311577</w:t>
      </w:r>
      <w:r>
        <w:rPr>
          <w:rFonts w:hint="eastAsia" w:ascii="Times New Roman" w:hAnsi="Times New Roman"/>
          <w:sz w:val="20"/>
          <w:lang w:val="en-US" w:eastAsia="zh-CN"/>
        </w:rPr>
        <w:t>,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lang w:val="en-US"/>
        </w:rPr>
        <w:t>LS on NES CHO</w:t>
      </w:r>
      <w:r>
        <w:rPr>
          <w:rFonts w:ascii="Times New Roman" w:hAnsi="Times New Roman"/>
          <w:sz w:val="20"/>
          <w:lang w:val="en-US" w:eastAsia="zh-CN"/>
        </w:rP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1EAB"/>
    <w:multiLevelType w:val="multilevel"/>
    <w:tmpl w:val="00501EA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A48626B"/>
    <w:multiLevelType w:val="multilevel"/>
    <w:tmpl w:val="1A4862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3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3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2C2"/>
    <w:rsid w:val="00012484"/>
    <w:rsid w:val="0001542C"/>
    <w:rsid w:val="00015988"/>
    <w:rsid w:val="00015B32"/>
    <w:rsid w:val="000160B4"/>
    <w:rsid w:val="00017B1D"/>
    <w:rsid w:val="000212C4"/>
    <w:rsid w:val="00023444"/>
    <w:rsid w:val="000258AE"/>
    <w:rsid w:val="00027D8F"/>
    <w:rsid w:val="00035068"/>
    <w:rsid w:val="00035491"/>
    <w:rsid w:val="00035B6D"/>
    <w:rsid w:val="00036B2B"/>
    <w:rsid w:val="000424B5"/>
    <w:rsid w:val="00043867"/>
    <w:rsid w:val="000463C4"/>
    <w:rsid w:val="00050016"/>
    <w:rsid w:val="000546D6"/>
    <w:rsid w:val="0005513D"/>
    <w:rsid w:val="00055B78"/>
    <w:rsid w:val="00055E6E"/>
    <w:rsid w:val="00061EA1"/>
    <w:rsid w:val="000629C1"/>
    <w:rsid w:val="00064E1E"/>
    <w:rsid w:val="000711E3"/>
    <w:rsid w:val="0007143A"/>
    <w:rsid w:val="000732E4"/>
    <w:rsid w:val="00074E69"/>
    <w:rsid w:val="00080010"/>
    <w:rsid w:val="00082DD1"/>
    <w:rsid w:val="0008450F"/>
    <w:rsid w:val="00086659"/>
    <w:rsid w:val="000A0D3F"/>
    <w:rsid w:val="000A16E3"/>
    <w:rsid w:val="000A234B"/>
    <w:rsid w:val="000A39B7"/>
    <w:rsid w:val="000A41E7"/>
    <w:rsid w:val="000A488D"/>
    <w:rsid w:val="000A6C8B"/>
    <w:rsid w:val="000B1A96"/>
    <w:rsid w:val="000B1AAD"/>
    <w:rsid w:val="000B3887"/>
    <w:rsid w:val="000B594D"/>
    <w:rsid w:val="000C04F8"/>
    <w:rsid w:val="000C21B2"/>
    <w:rsid w:val="000C74AA"/>
    <w:rsid w:val="000C79E2"/>
    <w:rsid w:val="000D0FEE"/>
    <w:rsid w:val="000E09D2"/>
    <w:rsid w:val="000E4044"/>
    <w:rsid w:val="000E61C4"/>
    <w:rsid w:val="000E6E48"/>
    <w:rsid w:val="000E6E83"/>
    <w:rsid w:val="00104445"/>
    <w:rsid w:val="00104752"/>
    <w:rsid w:val="00106901"/>
    <w:rsid w:val="00114449"/>
    <w:rsid w:val="001145AE"/>
    <w:rsid w:val="00115670"/>
    <w:rsid w:val="0011684C"/>
    <w:rsid w:val="0012104D"/>
    <w:rsid w:val="00122A74"/>
    <w:rsid w:val="00125442"/>
    <w:rsid w:val="0013193A"/>
    <w:rsid w:val="0013345F"/>
    <w:rsid w:val="0013422C"/>
    <w:rsid w:val="00134245"/>
    <w:rsid w:val="0014109C"/>
    <w:rsid w:val="00145177"/>
    <w:rsid w:val="001452DF"/>
    <w:rsid w:val="001471CF"/>
    <w:rsid w:val="00151B5C"/>
    <w:rsid w:val="001521B4"/>
    <w:rsid w:val="00153034"/>
    <w:rsid w:val="00154586"/>
    <w:rsid w:val="001561A1"/>
    <w:rsid w:val="001619B1"/>
    <w:rsid w:val="00163128"/>
    <w:rsid w:val="00163E78"/>
    <w:rsid w:val="0016460C"/>
    <w:rsid w:val="0016513C"/>
    <w:rsid w:val="0016650D"/>
    <w:rsid w:val="00166774"/>
    <w:rsid w:val="001704C7"/>
    <w:rsid w:val="0017150D"/>
    <w:rsid w:val="00172212"/>
    <w:rsid w:val="0017361C"/>
    <w:rsid w:val="00174A3C"/>
    <w:rsid w:val="0018008C"/>
    <w:rsid w:val="00180763"/>
    <w:rsid w:val="00184064"/>
    <w:rsid w:val="00186195"/>
    <w:rsid w:val="001A0EE6"/>
    <w:rsid w:val="001A36EB"/>
    <w:rsid w:val="001A423F"/>
    <w:rsid w:val="001A4A49"/>
    <w:rsid w:val="001A6B5F"/>
    <w:rsid w:val="001B0514"/>
    <w:rsid w:val="001B354D"/>
    <w:rsid w:val="001B3C10"/>
    <w:rsid w:val="001B3C3A"/>
    <w:rsid w:val="001B470D"/>
    <w:rsid w:val="001B4E56"/>
    <w:rsid w:val="001B4E6B"/>
    <w:rsid w:val="001B4F57"/>
    <w:rsid w:val="001C0F87"/>
    <w:rsid w:val="001C2668"/>
    <w:rsid w:val="001C319F"/>
    <w:rsid w:val="001C386A"/>
    <w:rsid w:val="001C452C"/>
    <w:rsid w:val="001C4611"/>
    <w:rsid w:val="001D2C0A"/>
    <w:rsid w:val="001D54B3"/>
    <w:rsid w:val="001E45AB"/>
    <w:rsid w:val="001F03FE"/>
    <w:rsid w:val="001F0835"/>
    <w:rsid w:val="001F0B95"/>
    <w:rsid w:val="001F2A17"/>
    <w:rsid w:val="001F471F"/>
    <w:rsid w:val="001F5177"/>
    <w:rsid w:val="00201AFE"/>
    <w:rsid w:val="00204FDB"/>
    <w:rsid w:val="00205C49"/>
    <w:rsid w:val="0020647B"/>
    <w:rsid w:val="00212D41"/>
    <w:rsid w:val="00213846"/>
    <w:rsid w:val="00213DDD"/>
    <w:rsid w:val="00215EB8"/>
    <w:rsid w:val="002263C4"/>
    <w:rsid w:val="002300E4"/>
    <w:rsid w:val="002313D9"/>
    <w:rsid w:val="0023578A"/>
    <w:rsid w:val="00237342"/>
    <w:rsid w:val="002403FB"/>
    <w:rsid w:val="002446A6"/>
    <w:rsid w:val="00250515"/>
    <w:rsid w:val="002511F1"/>
    <w:rsid w:val="00253679"/>
    <w:rsid w:val="00260A35"/>
    <w:rsid w:val="00260AE2"/>
    <w:rsid w:val="0026130D"/>
    <w:rsid w:val="002613E4"/>
    <w:rsid w:val="00262469"/>
    <w:rsid w:val="0026344E"/>
    <w:rsid w:val="00263601"/>
    <w:rsid w:val="00263BFD"/>
    <w:rsid w:val="00264748"/>
    <w:rsid w:val="00266B7C"/>
    <w:rsid w:val="0027222B"/>
    <w:rsid w:val="00272C32"/>
    <w:rsid w:val="00273D65"/>
    <w:rsid w:val="00275D45"/>
    <w:rsid w:val="002764D1"/>
    <w:rsid w:val="00276BAE"/>
    <w:rsid w:val="0027790E"/>
    <w:rsid w:val="00277D1E"/>
    <w:rsid w:val="002817C0"/>
    <w:rsid w:val="00281F24"/>
    <w:rsid w:val="00282F0C"/>
    <w:rsid w:val="00283D74"/>
    <w:rsid w:val="00285819"/>
    <w:rsid w:val="00285A91"/>
    <w:rsid w:val="00287F0D"/>
    <w:rsid w:val="002906E4"/>
    <w:rsid w:val="0029270F"/>
    <w:rsid w:val="00296A32"/>
    <w:rsid w:val="002A15E5"/>
    <w:rsid w:val="002A17E5"/>
    <w:rsid w:val="002A6550"/>
    <w:rsid w:val="002B3A9B"/>
    <w:rsid w:val="002B4931"/>
    <w:rsid w:val="002B6070"/>
    <w:rsid w:val="002B68F5"/>
    <w:rsid w:val="002C07FF"/>
    <w:rsid w:val="002C4669"/>
    <w:rsid w:val="002C490D"/>
    <w:rsid w:val="002C6B26"/>
    <w:rsid w:val="002C764C"/>
    <w:rsid w:val="002D001C"/>
    <w:rsid w:val="002D01BF"/>
    <w:rsid w:val="002D0F27"/>
    <w:rsid w:val="002D1CEE"/>
    <w:rsid w:val="002D3FF5"/>
    <w:rsid w:val="002D540F"/>
    <w:rsid w:val="002D677F"/>
    <w:rsid w:val="002E19CC"/>
    <w:rsid w:val="002E736D"/>
    <w:rsid w:val="002F0B6D"/>
    <w:rsid w:val="002F74E9"/>
    <w:rsid w:val="003019EF"/>
    <w:rsid w:val="00302EBB"/>
    <w:rsid w:val="003031A1"/>
    <w:rsid w:val="003048EE"/>
    <w:rsid w:val="00305562"/>
    <w:rsid w:val="003116A5"/>
    <w:rsid w:val="003134EC"/>
    <w:rsid w:val="00323B63"/>
    <w:rsid w:val="00324466"/>
    <w:rsid w:val="00327995"/>
    <w:rsid w:val="00330D51"/>
    <w:rsid w:val="0033323F"/>
    <w:rsid w:val="003342BB"/>
    <w:rsid w:val="00334F1D"/>
    <w:rsid w:val="00336288"/>
    <w:rsid w:val="00337264"/>
    <w:rsid w:val="00342E8D"/>
    <w:rsid w:val="0034409D"/>
    <w:rsid w:val="003459B6"/>
    <w:rsid w:val="0034636B"/>
    <w:rsid w:val="00346547"/>
    <w:rsid w:val="0034707B"/>
    <w:rsid w:val="00351DC1"/>
    <w:rsid w:val="00353882"/>
    <w:rsid w:val="00355B76"/>
    <w:rsid w:val="003568A4"/>
    <w:rsid w:val="0036191E"/>
    <w:rsid w:val="00361D73"/>
    <w:rsid w:val="00363EAB"/>
    <w:rsid w:val="003654F8"/>
    <w:rsid w:val="00370747"/>
    <w:rsid w:val="00370A6B"/>
    <w:rsid w:val="00371B46"/>
    <w:rsid w:val="00372216"/>
    <w:rsid w:val="0037289D"/>
    <w:rsid w:val="003769E9"/>
    <w:rsid w:val="003809BE"/>
    <w:rsid w:val="00382CA2"/>
    <w:rsid w:val="00383939"/>
    <w:rsid w:val="00386569"/>
    <w:rsid w:val="00387A7D"/>
    <w:rsid w:val="00390DD7"/>
    <w:rsid w:val="0039555A"/>
    <w:rsid w:val="003A22F4"/>
    <w:rsid w:val="003A54C5"/>
    <w:rsid w:val="003A6F64"/>
    <w:rsid w:val="003A7A7D"/>
    <w:rsid w:val="003B31AB"/>
    <w:rsid w:val="003C0919"/>
    <w:rsid w:val="003C56D1"/>
    <w:rsid w:val="003D02CF"/>
    <w:rsid w:val="003D26B5"/>
    <w:rsid w:val="003D3222"/>
    <w:rsid w:val="003D35B5"/>
    <w:rsid w:val="003D45D8"/>
    <w:rsid w:val="003D609D"/>
    <w:rsid w:val="003E053F"/>
    <w:rsid w:val="003E0811"/>
    <w:rsid w:val="003E762C"/>
    <w:rsid w:val="003F1FB2"/>
    <w:rsid w:val="003F5F07"/>
    <w:rsid w:val="003F6C8D"/>
    <w:rsid w:val="003F6D69"/>
    <w:rsid w:val="003F6D9F"/>
    <w:rsid w:val="00402131"/>
    <w:rsid w:val="004040CD"/>
    <w:rsid w:val="0041046C"/>
    <w:rsid w:val="00411227"/>
    <w:rsid w:val="004135F0"/>
    <w:rsid w:val="00417A4A"/>
    <w:rsid w:val="0042362C"/>
    <w:rsid w:val="00427ADC"/>
    <w:rsid w:val="004320B2"/>
    <w:rsid w:val="00441C1F"/>
    <w:rsid w:val="00442A7B"/>
    <w:rsid w:val="00442CD6"/>
    <w:rsid w:val="004501D6"/>
    <w:rsid w:val="004562F8"/>
    <w:rsid w:val="00457BE2"/>
    <w:rsid w:val="004607C3"/>
    <w:rsid w:val="004617C6"/>
    <w:rsid w:val="004617E4"/>
    <w:rsid w:val="00465620"/>
    <w:rsid w:val="00470188"/>
    <w:rsid w:val="00470B67"/>
    <w:rsid w:val="004723AE"/>
    <w:rsid w:val="004726D8"/>
    <w:rsid w:val="00473EB8"/>
    <w:rsid w:val="00477969"/>
    <w:rsid w:val="00480493"/>
    <w:rsid w:val="00483780"/>
    <w:rsid w:val="00484029"/>
    <w:rsid w:val="00486138"/>
    <w:rsid w:val="004862E2"/>
    <w:rsid w:val="00490C03"/>
    <w:rsid w:val="004912D3"/>
    <w:rsid w:val="004A09F3"/>
    <w:rsid w:val="004A5612"/>
    <w:rsid w:val="004A5DFE"/>
    <w:rsid w:val="004A5F37"/>
    <w:rsid w:val="004A6AC9"/>
    <w:rsid w:val="004A7A1C"/>
    <w:rsid w:val="004A7E7B"/>
    <w:rsid w:val="004B17D3"/>
    <w:rsid w:val="004B4857"/>
    <w:rsid w:val="004B64AC"/>
    <w:rsid w:val="004B6FF9"/>
    <w:rsid w:val="004B7CD3"/>
    <w:rsid w:val="004C006A"/>
    <w:rsid w:val="004C0728"/>
    <w:rsid w:val="004C3625"/>
    <w:rsid w:val="004C4355"/>
    <w:rsid w:val="004D0FAF"/>
    <w:rsid w:val="004D1193"/>
    <w:rsid w:val="004D30B3"/>
    <w:rsid w:val="004D42C5"/>
    <w:rsid w:val="004D4818"/>
    <w:rsid w:val="004D5D9C"/>
    <w:rsid w:val="004D79DB"/>
    <w:rsid w:val="004E08D9"/>
    <w:rsid w:val="004E205C"/>
    <w:rsid w:val="004E2936"/>
    <w:rsid w:val="004E37CA"/>
    <w:rsid w:val="004E4645"/>
    <w:rsid w:val="004E4669"/>
    <w:rsid w:val="004F0E61"/>
    <w:rsid w:val="004F15D8"/>
    <w:rsid w:val="004F29E4"/>
    <w:rsid w:val="004F5CDB"/>
    <w:rsid w:val="004F61E9"/>
    <w:rsid w:val="00501CAE"/>
    <w:rsid w:val="00501F3F"/>
    <w:rsid w:val="00506D53"/>
    <w:rsid w:val="005075A6"/>
    <w:rsid w:val="00510141"/>
    <w:rsid w:val="00510AC0"/>
    <w:rsid w:val="0051394A"/>
    <w:rsid w:val="00514628"/>
    <w:rsid w:val="0051697F"/>
    <w:rsid w:val="00521EEE"/>
    <w:rsid w:val="00525E79"/>
    <w:rsid w:val="005262C5"/>
    <w:rsid w:val="0052697F"/>
    <w:rsid w:val="0053036B"/>
    <w:rsid w:val="00536199"/>
    <w:rsid w:val="00542270"/>
    <w:rsid w:val="00547855"/>
    <w:rsid w:val="00547B9A"/>
    <w:rsid w:val="0055234A"/>
    <w:rsid w:val="00554740"/>
    <w:rsid w:val="00557EA2"/>
    <w:rsid w:val="00564B1E"/>
    <w:rsid w:val="00565751"/>
    <w:rsid w:val="00570408"/>
    <w:rsid w:val="005707ED"/>
    <w:rsid w:val="005714D8"/>
    <w:rsid w:val="00573F36"/>
    <w:rsid w:val="00575088"/>
    <w:rsid w:val="00580F06"/>
    <w:rsid w:val="00580F1F"/>
    <w:rsid w:val="0058553C"/>
    <w:rsid w:val="0058675F"/>
    <w:rsid w:val="00586814"/>
    <w:rsid w:val="00586FCC"/>
    <w:rsid w:val="00590965"/>
    <w:rsid w:val="00591ED2"/>
    <w:rsid w:val="005924F5"/>
    <w:rsid w:val="0059444C"/>
    <w:rsid w:val="0059456A"/>
    <w:rsid w:val="005963C1"/>
    <w:rsid w:val="005A3F1C"/>
    <w:rsid w:val="005A43D6"/>
    <w:rsid w:val="005A5642"/>
    <w:rsid w:val="005A584C"/>
    <w:rsid w:val="005A66E4"/>
    <w:rsid w:val="005B00B4"/>
    <w:rsid w:val="005B2AEF"/>
    <w:rsid w:val="005B4575"/>
    <w:rsid w:val="005C0C05"/>
    <w:rsid w:val="005D20F1"/>
    <w:rsid w:val="005D4F1D"/>
    <w:rsid w:val="005D532E"/>
    <w:rsid w:val="005D7D8D"/>
    <w:rsid w:val="005E580A"/>
    <w:rsid w:val="005E60D4"/>
    <w:rsid w:val="005E729E"/>
    <w:rsid w:val="005F2A4F"/>
    <w:rsid w:val="00603FD9"/>
    <w:rsid w:val="0061445E"/>
    <w:rsid w:val="006152DF"/>
    <w:rsid w:val="0061765B"/>
    <w:rsid w:val="00620471"/>
    <w:rsid w:val="006217CE"/>
    <w:rsid w:val="006267EA"/>
    <w:rsid w:val="006270DF"/>
    <w:rsid w:val="00627CDC"/>
    <w:rsid w:val="00635727"/>
    <w:rsid w:val="00635B94"/>
    <w:rsid w:val="00635F68"/>
    <w:rsid w:val="0063692E"/>
    <w:rsid w:val="0063710B"/>
    <w:rsid w:val="00642B13"/>
    <w:rsid w:val="00644C17"/>
    <w:rsid w:val="00647C49"/>
    <w:rsid w:val="0065155A"/>
    <w:rsid w:val="00654218"/>
    <w:rsid w:val="00655436"/>
    <w:rsid w:val="006559C4"/>
    <w:rsid w:val="0066095F"/>
    <w:rsid w:val="00663FD2"/>
    <w:rsid w:val="00665F43"/>
    <w:rsid w:val="00666BCD"/>
    <w:rsid w:val="00673582"/>
    <w:rsid w:val="00673FA0"/>
    <w:rsid w:val="006771A0"/>
    <w:rsid w:val="006829AC"/>
    <w:rsid w:val="00682CCA"/>
    <w:rsid w:val="00684075"/>
    <w:rsid w:val="00684526"/>
    <w:rsid w:val="0068568C"/>
    <w:rsid w:val="00686056"/>
    <w:rsid w:val="006878AD"/>
    <w:rsid w:val="0069099C"/>
    <w:rsid w:val="00690F6A"/>
    <w:rsid w:val="00692AA8"/>
    <w:rsid w:val="006938AC"/>
    <w:rsid w:val="00694655"/>
    <w:rsid w:val="00694D0C"/>
    <w:rsid w:val="0069660C"/>
    <w:rsid w:val="00697B82"/>
    <w:rsid w:val="006A06F6"/>
    <w:rsid w:val="006A1456"/>
    <w:rsid w:val="006A279C"/>
    <w:rsid w:val="006A3C67"/>
    <w:rsid w:val="006A71A1"/>
    <w:rsid w:val="006B0DF7"/>
    <w:rsid w:val="006B138F"/>
    <w:rsid w:val="006B166A"/>
    <w:rsid w:val="006C40B9"/>
    <w:rsid w:val="006C593A"/>
    <w:rsid w:val="006C61DA"/>
    <w:rsid w:val="006D159D"/>
    <w:rsid w:val="006D1893"/>
    <w:rsid w:val="006D20F5"/>
    <w:rsid w:val="006D2443"/>
    <w:rsid w:val="006D2868"/>
    <w:rsid w:val="006D3A36"/>
    <w:rsid w:val="006D4890"/>
    <w:rsid w:val="006D60D3"/>
    <w:rsid w:val="006E0C6F"/>
    <w:rsid w:val="006E1C2A"/>
    <w:rsid w:val="006E5153"/>
    <w:rsid w:val="006F0A3A"/>
    <w:rsid w:val="006F0C9D"/>
    <w:rsid w:val="006F433A"/>
    <w:rsid w:val="00702530"/>
    <w:rsid w:val="00706770"/>
    <w:rsid w:val="00707198"/>
    <w:rsid w:val="00712069"/>
    <w:rsid w:val="00714302"/>
    <w:rsid w:val="00720220"/>
    <w:rsid w:val="00720770"/>
    <w:rsid w:val="00720F95"/>
    <w:rsid w:val="007210E1"/>
    <w:rsid w:val="00721DA1"/>
    <w:rsid w:val="007220E7"/>
    <w:rsid w:val="00725B5D"/>
    <w:rsid w:val="007261C0"/>
    <w:rsid w:val="00726855"/>
    <w:rsid w:val="0072696F"/>
    <w:rsid w:val="00726B9B"/>
    <w:rsid w:val="00731BA1"/>
    <w:rsid w:val="00735EEC"/>
    <w:rsid w:val="00737EEA"/>
    <w:rsid w:val="00740C64"/>
    <w:rsid w:val="007437E5"/>
    <w:rsid w:val="007447D0"/>
    <w:rsid w:val="0074648B"/>
    <w:rsid w:val="0074755D"/>
    <w:rsid w:val="00752C73"/>
    <w:rsid w:val="00755D84"/>
    <w:rsid w:val="00756E88"/>
    <w:rsid w:val="00760824"/>
    <w:rsid w:val="00762228"/>
    <w:rsid w:val="0076267A"/>
    <w:rsid w:val="007665A3"/>
    <w:rsid w:val="00770A33"/>
    <w:rsid w:val="00771764"/>
    <w:rsid w:val="007731C0"/>
    <w:rsid w:val="0077760E"/>
    <w:rsid w:val="00780604"/>
    <w:rsid w:val="00782935"/>
    <w:rsid w:val="00782F87"/>
    <w:rsid w:val="0078403A"/>
    <w:rsid w:val="007854D4"/>
    <w:rsid w:val="00785FC6"/>
    <w:rsid w:val="0078678E"/>
    <w:rsid w:val="00786CC4"/>
    <w:rsid w:val="00791475"/>
    <w:rsid w:val="00791AD2"/>
    <w:rsid w:val="0079208A"/>
    <w:rsid w:val="007924EB"/>
    <w:rsid w:val="007934F2"/>
    <w:rsid w:val="00793B87"/>
    <w:rsid w:val="00793B8C"/>
    <w:rsid w:val="00793F60"/>
    <w:rsid w:val="0079720A"/>
    <w:rsid w:val="007A15B3"/>
    <w:rsid w:val="007A5223"/>
    <w:rsid w:val="007A778C"/>
    <w:rsid w:val="007B0074"/>
    <w:rsid w:val="007B0A9E"/>
    <w:rsid w:val="007B3AF9"/>
    <w:rsid w:val="007B458B"/>
    <w:rsid w:val="007B46E1"/>
    <w:rsid w:val="007B4C6F"/>
    <w:rsid w:val="007B79B3"/>
    <w:rsid w:val="007B7F2F"/>
    <w:rsid w:val="007C0CA7"/>
    <w:rsid w:val="007C0F42"/>
    <w:rsid w:val="007C1DF7"/>
    <w:rsid w:val="007C2925"/>
    <w:rsid w:val="007C34AB"/>
    <w:rsid w:val="007C3627"/>
    <w:rsid w:val="007C4476"/>
    <w:rsid w:val="007D0D2F"/>
    <w:rsid w:val="007D1456"/>
    <w:rsid w:val="007D1787"/>
    <w:rsid w:val="007D1B9A"/>
    <w:rsid w:val="007D56F6"/>
    <w:rsid w:val="007E200E"/>
    <w:rsid w:val="007E32C7"/>
    <w:rsid w:val="007F01CD"/>
    <w:rsid w:val="007F61FB"/>
    <w:rsid w:val="007F6755"/>
    <w:rsid w:val="007F6906"/>
    <w:rsid w:val="00802D56"/>
    <w:rsid w:val="00810565"/>
    <w:rsid w:val="00813DD0"/>
    <w:rsid w:val="0081466A"/>
    <w:rsid w:val="00817F51"/>
    <w:rsid w:val="00832DD4"/>
    <w:rsid w:val="00836328"/>
    <w:rsid w:val="00836CBB"/>
    <w:rsid w:val="0084006F"/>
    <w:rsid w:val="008400A5"/>
    <w:rsid w:val="008400A7"/>
    <w:rsid w:val="00840BAF"/>
    <w:rsid w:val="0084342D"/>
    <w:rsid w:val="00843ABF"/>
    <w:rsid w:val="0084477B"/>
    <w:rsid w:val="00845FA4"/>
    <w:rsid w:val="008474C5"/>
    <w:rsid w:val="00847DC7"/>
    <w:rsid w:val="00851FE9"/>
    <w:rsid w:val="00852FF8"/>
    <w:rsid w:val="00856899"/>
    <w:rsid w:val="00860079"/>
    <w:rsid w:val="0086326B"/>
    <w:rsid w:val="00863E72"/>
    <w:rsid w:val="0086734C"/>
    <w:rsid w:val="008743FC"/>
    <w:rsid w:val="00874687"/>
    <w:rsid w:val="008810FF"/>
    <w:rsid w:val="008825FD"/>
    <w:rsid w:val="00885322"/>
    <w:rsid w:val="00886EE8"/>
    <w:rsid w:val="0089613A"/>
    <w:rsid w:val="008A02C1"/>
    <w:rsid w:val="008A0301"/>
    <w:rsid w:val="008A4F36"/>
    <w:rsid w:val="008A6F5F"/>
    <w:rsid w:val="008B0C74"/>
    <w:rsid w:val="008B0D49"/>
    <w:rsid w:val="008B19BB"/>
    <w:rsid w:val="008B35B3"/>
    <w:rsid w:val="008B3873"/>
    <w:rsid w:val="008B4240"/>
    <w:rsid w:val="008B4DF4"/>
    <w:rsid w:val="008B571C"/>
    <w:rsid w:val="008B7539"/>
    <w:rsid w:val="008B762F"/>
    <w:rsid w:val="008C2749"/>
    <w:rsid w:val="008C3242"/>
    <w:rsid w:val="008C4743"/>
    <w:rsid w:val="008D01FC"/>
    <w:rsid w:val="008D2065"/>
    <w:rsid w:val="008D45ED"/>
    <w:rsid w:val="008E0923"/>
    <w:rsid w:val="008E1FB2"/>
    <w:rsid w:val="008E27C4"/>
    <w:rsid w:val="008E6376"/>
    <w:rsid w:val="008F2669"/>
    <w:rsid w:val="009012E7"/>
    <w:rsid w:val="009020D9"/>
    <w:rsid w:val="009036AE"/>
    <w:rsid w:val="00905A64"/>
    <w:rsid w:val="00905B97"/>
    <w:rsid w:val="00911C5A"/>
    <w:rsid w:val="0091264E"/>
    <w:rsid w:val="009136D8"/>
    <w:rsid w:val="00914D7D"/>
    <w:rsid w:val="009159E1"/>
    <w:rsid w:val="00920C53"/>
    <w:rsid w:val="00921DE5"/>
    <w:rsid w:val="00925ABC"/>
    <w:rsid w:val="009261AC"/>
    <w:rsid w:val="009277AC"/>
    <w:rsid w:val="009312E9"/>
    <w:rsid w:val="00931F11"/>
    <w:rsid w:val="00941035"/>
    <w:rsid w:val="0094268F"/>
    <w:rsid w:val="00943112"/>
    <w:rsid w:val="00946D71"/>
    <w:rsid w:val="00947486"/>
    <w:rsid w:val="00947B4B"/>
    <w:rsid w:val="00953627"/>
    <w:rsid w:val="009541B0"/>
    <w:rsid w:val="00956643"/>
    <w:rsid w:val="009655CF"/>
    <w:rsid w:val="009666A8"/>
    <w:rsid w:val="009712CB"/>
    <w:rsid w:val="009716EE"/>
    <w:rsid w:val="0097175A"/>
    <w:rsid w:val="0097350F"/>
    <w:rsid w:val="00974A29"/>
    <w:rsid w:val="00974C90"/>
    <w:rsid w:val="009754CE"/>
    <w:rsid w:val="009757F1"/>
    <w:rsid w:val="009758CC"/>
    <w:rsid w:val="009769E4"/>
    <w:rsid w:val="0098093C"/>
    <w:rsid w:val="00980979"/>
    <w:rsid w:val="009844B6"/>
    <w:rsid w:val="00985255"/>
    <w:rsid w:val="009863F5"/>
    <w:rsid w:val="00991E04"/>
    <w:rsid w:val="00992547"/>
    <w:rsid w:val="00992783"/>
    <w:rsid w:val="00996392"/>
    <w:rsid w:val="009972AA"/>
    <w:rsid w:val="009A1485"/>
    <w:rsid w:val="009A1689"/>
    <w:rsid w:val="009A21DB"/>
    <w:rsid w:val="009A272A"/>
    <w:rsid w:val="009A2989"/>
    <w:rsid w:val="009A29B4"/>
    <w:rsid w:val="009A33FF"/>
    <w:rsid w:val="009A3754"/>
    <w:rsid w:val="009A5A3E"/>
    <w:rsid w:val="009A64A0"/>
    <w:rsid w:val="009B0939"/>
    <w:rsid w:val="009B0B77"/>
    <w:rsid w:val="009B6CC2"/>
    <w:rsid w:val="009C00BE"/>
    <w:rsid w:val="009C0315"/>
    <w:rsid w:val="009C0D7F"/>
    <w:rsid w:val="009C20DB"/>
    <w:rsid w:val="009C2CAB"/>
    <w:rsid w:val="009C3C79"/>
    <w:rsid w:val="009C5ADC"/>
    <w:rsid w:val="009C61BC"/>
    <w:rsid w:val="009C669C"/>
    <w:rsid w:val="009D0C5A"/>
    <w:rsid w:val="009D17BE"/>
    <w:rsid w:val="009D1C2C"/>
    <w:rsid w:val="009D2E6A"/>
    <w:rsid w:val="009D2F61"/>
    <w:rsid w:val="009D7253"/>
    <w:rsid w:val="009E103C"/>
    <w:rsid w:val="009E151D"/>
    <w:rsid w:val="009E1976"/>
    <w:rsid w:val="009E2ED1"/>
    <w:rsid w:val="009E3C18"/>
    <w:rsid w:val="009E5C05"/>
    <w:rsid w:val="009F52B9"/>
    <w:rsid w:val="009F61F1"/>
    <w:rsid w:val="00A007A9"/>
    <w:rsid w:val="00A03297"/>
    <w:rsid w:val="00A03586"/>
    <w:rsid w:val="00A04CBD"/>
    <w:rsid w:val="00A06BD2"/>
    <w:rsid w:val="00A07268"/>
    <w:rsid w:val="00A1010F"/>
    <w:rsid w:val="00A17E28"/>
    <w:rsid w:val="00A210B6"/>
    <w:rsid w:val="00A21803"/>
    <w:rsid w:val="00A228A1"/>
    <w:rsid w:val="00A26981"/>
    <w:rsid w:val="00A310CA"/>
    <w:rsid w:val="00A361F7"/>
    <w:rsid w:val="00A37523"/>
    <w:rsid w:val="00A40CCF"/>
    <w:rsid w:val="00A41CEF"/>
    <w:rsid w:val="00A428C4"/>
    <w:rsid w:val="00A43114"/>
    <w:rsid w:val="00A4740B"/>
    <w:rsid w:val="00A47D48"/>
    <w:rsid w:val="00A53312"/>
    <w:rsid w:val="00A539C3"/>
    <w:rsid w:val="00A54026"/>
    <w:rsid w:val="00A6084F"/>
    <w:rsid w:val="00A615F0"/>
    <w:rsid w:val="00A6245D"/>
    <w:rsid w:val="00A66C7E"/>
    <w:rsid w:val="00A82B3A"/>
    <w:rsid w:val="00A82EE3"/>
    <w:rsid w:val="00A90EB4"/>
    <w:rsid w:val="00A936FC"/>
    <w:rsid w:val="00AA09E1"/>
    <w:rsid w:val="00AA0C78"/>
    <w:rsid w:val="00AA5C2B"/>
    <w:rsid w:val="00AA5D8F"/>
    <w:rsid w:val="00AA6389"/>
    <w:rsid w:val="00AA7F74"/>
    <w:rsid w:val="00AB0360"/>
    <w:rsid w:val="00AB2B98"/>
    <w:rsid w:val="00AB2D9A"/>
    <w:rsid w:val="00AB2F9F"/>
    <w:rsid w:val="00AB3C66"/>
    <w:rsid w:val="00AB5457"/>
    <w:rsid w:val="00AB5EB9"/>
    <w:rsid w:val="00AB68E2"/>
    <w:rsid w:val="00AC023B"/>
    <w:rsid w:val="00AC079B"/>
    <w:rsid w:val="00AC4DF3"/>
    <w:rsid w:val="00AC60F5"/>
    <w:rsid w:val="00AC6ED8"/>
    <w:rsid w:val="00AC740E"/>
    <w:rsid w:val="00AC74CE"/>
    <w:rsid w:val="00AD048E"/>
    <w:rsid w:val="00AD15C0"/>
    <w:rsid w:val="00AD2463"/>
    <w:rsid w:val="00AD45FC"/>
    <w:rsid w:val="00AD56AE"/>
    <w:rsid w:val="00AF3D05"/>
    <w:rsid w:val="00AF3E07"/>
    <w:rsid w:val="00AF3FD7"/>
    <w:rsid w:val="00B0001E"/>
    <w:rsid w:val="00B0185D"/>
    <w:rsid w:val="00B01B71"/>
    <w:rsid w:val="00B03FB8"/>
    <w:rsid w:val="00B06F6E"/>
    <w:rsid w:val="00B16CAE"/>
    <w:rsid w:val="00B217C7"/>
    <w:rsid w:val="00B21942"/>
    <w:rsid w:val="00B25D9E"/>
    <w:rsid w:val="00B273D4"/>
    <w:rsid w:val="00B304F7"/>
    <w:rsid w:val="00B335F4"/>
    <w:rsid w:val="00B402C2"/>
    <w:rsid w:val="00B4280A"/>
    <w:rsid w:val="00B51DEA"/>
    <w:rsid w:val="00B53787"/>
    <w:rsid w:val="00B5529B"/>
    <w:rsid w:val="00B60CB7"/>
    <w:rsid w:val="00B62BC6"/>
    <w:rsid w:val="00B63243"/>
    <w:rsid w:val="00B643F8"/>
    <w:rsid w:val="00B66C26"/>
    <w:rsid w:val="00B7112C"/>
    <w:rsid w:val="00B728E3"/>
    <w:rsid w:val="00B75440"/>
    <w:rsid w:val="00B80ADA"/>
    <w:rsid w:val="00B817C6"/>
    <w:rsid w:val="00B82A4F"/>
    <w:rsid w:val="00B8560C"/>
    <w:rsid w:val="00B86039"/>
    <w:rsid w:val="00B868B6"/>
    <w:rsid w:val="00B87903"/>
    <w:rsid w:val="00B87C15"/>
    <w:rsid w:val="00B87C60"/>
    <w:rsid w:val="00B92394"/>
    <w:rsid w:val="00B93B4A"/>
    <w:rsid w:val="00B97D8A"/>
    <w:rsid w:val="00BA052F"/>
    <w:rsid w:val="00BA4B00"/>
    <w:rsid w:val="00BA5DEA"/>
    <w:rsid w:val="00BA6079"/>
    <w:rsid w:val="00BB03E5"/>
    <w:rsid w:val="00BB1FB4"/>
    <w:rsid w:val="00BB27B9"/>
    <w:rsid w:val="00BB2A25"/>
    <w:rsid w:val="00BB3562"/>
    <w:rsid w:val="00BC51C2"/>
    <w:rsid w:val="00BC5C76"/>
    <w:rsid w:val="00BD057D"/>
    <w:rsid w:val="00BD5609"/>
    <w:rsid w:val="00BD5F47"/>
    <w:rsid w:val="00BD774D"/>
    <w:rsid w:val="00BE2CE4"/>
    <w:rsid w:val="00BE2D0E"/>
    <w:rsid w:val="00BE5170"/>
    <w:rsid w:val="00BF14E6"/>
    <w:rsid w:val="00BF1609"/>
    <w:rsid w:val="00BF2F88"/>
    <w:rsid w:val="00BF5CB3"/>
    <w:rsid w:val="00BF647E"/>
    <w:rsid w:val="00BF710A"/>
    <w:rsid w:val="00C00CC7"/>
    <w:rsid w:val="00C04AF5"/>
    <w:rsid w:val="00C04FD9"/>
    <w:rsid w:val="00C07537"/>
    <w:rsid w:val="00C07EB3"/>
    <w:rsid w:val="00C109F3"/>
    <w:rsid w:val="00C12AC4"/>
    <w:rsid w:val="00C135A9"/>
    <w:rsid w:val="00C22C06"/>
    <w:rsid w:val="00C23F8F"/>
    <w:rsid w:val="00C25D1A"/>
    <w:rsid w:val="00C26A46"/>
    <w:rsid w:val="00C270DF"/>
    <w:rsid w:val="00C30226"/>
    <w:rsid w:val="00C326E9"/>
    <w:rsid w:val="00C32F6F"/>
    <w:rsid w:val="00C33D2B"/>
    <w:rsid w:val="00C357E6"/>
    <w:rsid w:val="00C363CD"/>
    <w:rsid w:val="00C40EC4"/>
    <w:rsid w:val="00C444B6"/>
    <w:rsid w:val="00C50504"/>
    <w:rsid w:val="00C50798"/>
    <w:rsid w:val="00C52296"/>
    <w:rsid w:val="00C62193"/>
    <w:rsid w:val="00C6300D"/>
    <w:rsid w:val="00C64953"/>
    <w:rsid w:val="00C73F55"/>
    <w:rsid w:val="00C741BC"/>
    <w:rsid w:val="00C746ED"/>
    <w:rsid w:val="00C7663F"/>
    <w:rsid w:val="00C8211D"/>
    <w:rsid w:val="00C87B1A"/>
    <w:rsid w:val="00C925F1"/>
    <w:rsid w:val="00C92722"/>
    <w:rsid w:val="00C94E20"/>
    <w:rsid w:val="00C9782E"/>
    <w:rsid w:val="00CA2B12"/>
    <w:rsid w:val="00CA35C5"/>
    <w:rsid w:val="00CA4C37"/>
    <w:rsid w:val="00CB0357"/>
    <w:rsid w:val="00CB31FC"/>
    <w:rsid w:val="00CB321B"/>
    <w:rsid w:val="00CB32B3"/>
    <w:rsid w:val="00CB48F5"/>
    <w:rsid w:val="00CB6291"/>
    <w:rsid w:val="00CB670F"/>
    <w:rsid w:val="00CB7A4E"/>
    <w:rsid w:val="00CC0ECC"/>
    <w:rsid w:val="00CC2220"/>
    <w:rsid w:val="00CC64CF"/>
    <w:rsid w:val="00CC6519"/>
    <w:rsid w:val="00CD090D"/>
    <w:rsid w:val="00CD0E27"/>
    <w:rsid w:val="00CD4AE1"/>
    <w:rsid w:val="00CD6BD8"/>
    <w:rsid w:val="00CE0002"/>
    <w:rsid w:val="00CE2DF2"/>
    <w:rsid w:val="00CE338F"/>
    <w:rsid w:val="00CE4C68"/>
    <w:rsid w:val="00CE5B30"/>
    <w:rsid w:val="00CE61F2"/>
    <w:rsid w:val="00CF1FD0"/>
    <w:rsid w:val="00CF411A"/>
    <w:rsid w:val="00CF4176"/>
    <w:rsid w:val="00CF4A37"/>
    <w:rsid w:val="00D000A8"/>
    <w:rsid w:val="00D00302"/>
    <w:rsid w:val="00D00ACA"/>
    <w:rsid w:val="00D024A3"/>
    <w:rsid w:val="00D0267F"/>
    <w:rsid w:val="00D04663"/>
    <w:rsid w:val="00D06674"/>
    <w:rsid w:val="00D10CF2"/>
    <w:rsid w:val="00D11EFA"/>
    <w:rsid w:val="00D12867"/>
    <w:rsid w:val="00D17097"/>
    <w:rsid w:val="00D17884"/>
    <w:rsid w:val="00D17936"/>
    <w:rsid w:val="00D20885"/>
    <w:rsid w:val="00D24B78"/>
    <w:rsid w:val="00D24EF5"/>
    <w:rsid w:val="00D2792C"/>
    <w:rsid w:val="00D331DC"/>
    <w:rsid w:val="00D35FA1"/>
    <w:rsid w:val="00D43402"/>
    <w:rsid w:val="00D43647"/>
    <w:rsid w:val="00D442E5"/>
    <w:rsid w:val="00D44AD3"/>
    <w:rsid w:val="00D44E29"/>
    <w:rsid w:val="00D45363"/>
    <w:rsid w:val="00D50426"/>
    <w:rsid w:val="00D50749"/>
    <w:rsid w:val="00D5363B"/>
    <w:rsid w:val="00D53E43"/>
    <w:rsid w:val="00D57150"/>
    <w:rsid w:val="00D572BE"/>
    <w:rsid w:val="00D64599"/>
    <w:rsid w:val="00D6517B"/>
    <w:rsid w:val="00D652CA"/>
    <w:rsid w:val="00D663CA"/>
    <w:rsid w:val="00D75432"/>
    <w:rsid w:val="00D75892"/>
    <w:rsid w:val="00D762DD"/>
    <w:rsid w:val="00D76DFC"/>
    <w:rsid w:val="00D81413"/>
    <w:rsid w:val="00D90021"/>
    <w:rsid w:val="00D9015E"/>
    <w:rsid w:val="00D90446"/>
    <w:rsid w:val="00D9210D"/>
    <w:rsid w:val="00D95AEA"/>
    <w:rsid w:val="00D95EA7"/>
    <w:rsid w:val="00D96D40"/>
    <w:rsid w:val="00DA03E7"/>
    <w:rsid w:val="00DA111C"/>
    <w:rsid w:val="00DA1EA4"/>
    <w:rsid w:val="00DA7D13"/>
    <w:rsid w:val="00DB039F"/>
    <w:rsid w:val="00DB1712"/>
    <w:rsid w:val="00DB2A79"/>
    <w:rsid w:val="00DB699B"/>
    <w:rsid w:val="00DB7A67"/>
    <w:rsid w:val="00DC0887"/>
    <w:rsid w:val="00DC0FB6"/>
    <w:rsid w:val="00DC4330"/>
    <w:rsid w:val="00DC48E0"/>
    <w:rsid w:val="00DC4C5C"/>
    <w:rsid w:val="00DC52C4"/>
    <w:rsid w:val="00DC671C"/>
    <w:rsid w:val="00DC71F1"/>
    <w:rsid w:val="00DC727D"/>
    <w:rsid w:val="00DC7E58"/>
    <w:rsid w:val="00DD048B"/>
    <w:rsid w:val="00DD06F3"/>
    <w:rsid w:val="00DD5A85"/>
    <w:rsid w:val="00DD5ED0"/>
    <w:rsid w:val="00DE5378"/>
    <w:rsid w:val="00DE67B4"/>
    <w:rsid w:val="00DE7D83"/>
    <w:rsid w:val="00DF1CEF"/>
    <w:rsid w:val="00DF2CA3"/>
    <w:rsid w:val="00DF326F"/>
    <w:rsid w:val="00DF4C96"/>
    <w:rsid w:val="00DF562B"/>
    <w:rsid w:val="00DF6B7F"/>
    <w:rsid w:val="00E03F54"/>
    <w:rsid w:val="00E05DCE"/>
    <w:rsid w:val="00E1228A"/>
    <w:rsid w:val="00E231DC"/>
    <w:rsid w:val="00E2595D"/>
    <w:rsid w:val="00E269F2"/>
    <w:rsid w:val="00E27726"/>
    <w:rsid w:val="00E304A9"/>
    <w:rsid w:val="00E32E99"/>
    <w:rsid w:val="00E42592"/>
    <w:rsid w:val="00E45B3C"/>
    <w:rsid w:val="00E4681B"/>
    <w:rsid w:val="00E506EC"/>
    <w:rsid w:val="00E517C4"/>
    <w:rsid w:val="00E55A24"/>
    <w:rsid w:val="00E61421"/>
    <w:rsid w:val="00E615AE"/>
    <w:rsid w:val="00E61B00"/>
    <w:rsid w:val="00E656EE"/>
    <w:rsid w:val="00E70E98"/>
    <w:rsid w:val="00E72696"/>
    <w:rsid w:val="00E74028"/>
    <w:rsid w:val="00E75B74"/>
    <w:rsid w:val="00E75FEB"/>
    <w:rsid w:val="00E807D4"/>
    <w:rsid w:val="00E83503"/>
    <w:rsid w:val="00E904C3"/>
    <w:rsid w:val="00E90BC4"/>
    <w:rsid w:val="00E93737"/>
    <w:rsid w:val="00E94D02"/>
    <w:rsid w:val="00E968C4"/>
    <w:rsid w:val="00EA075F"/>
    <w:rsid w:val="00EA2161"/>
    <w:rsid w:val="00EA2519"/>
    <w:rsid w:val="00EA3284"/>
    <w:rsid w:val="00EA5B98"/>
    <w:rsid w:val="00EB38F1"/>
    <w:rsid w:val="00EB4486"/>
    <w:rsid w:val="00EB4C27"/>
    <w:rsid w:val="00EB75B8"/>
    <w:rsid w:val="00EB7907"/>
    <w:rsid w:val="00EC07C5"/>
    <w:rsid w:val="00EC1A46"/>
    <w:rsid w:val="00EC3E6A"/>
    <w:rsid w:val="00ED0F08"/>
    <w:rsid w:val="00ED48BA"/>
    <w:rsid w:val="00ED4C61"/>
    <w:rsid w:val="00ED5036"/>
    <w:rsid w:val="00ED7D88"/>
    <w:rsid w:val="00EE2340"/>
    <w:rsid w:val="00EE2F6E"/>
    <w:rsid w:val="00EE37EF"/>
    <w:rsid w:val="00EE4707"/>
    <w:rsid w:val="00EE50F9"/>
    <w:rsid w:val="00EE71E9"/>
    <w:rsid w:val="00EE7259"/>
    <w:rsid w:val="00EF010D"/>
    <w:rsid w:val="00EF2291"/>
    <w:rsid w:val="00EF3698"/>
    <w:rsid w:val="00EF4A21"/>
    <w:rsid w:val="00EF572D"/>
    <w:rsid w:val="00EF7A96"/>
    <w:rsid w:val="00F05818"/>
    <w:rsid w:val="00F07C8B"/>
    <w:rsid w:val="00F10985"/>
    <w:rsid w:val="00F11656"/>
    <w:rsid w:val="00F12C42"/>
    <w:rsid w:val="00F13EA8"/>
    <w:rsid w:val="00F13FE9"/>
    <w:rsid w:val="00F141CC"/>
    <w:rsid w:val="00F14E1F"/>
    <w:rsid w:val="00F17781"/>
    <w:rsid w:val="00F17D2D"/>
    <w:rsid w:val="00F21299"/>
    <w:rsid w:val="00F2561F"/>
    <w:rsid w:val="00F263B0"/>
    <w:rsid w:val="00F329C7"/>
    <w:rsid w:val="00F34E44"/>
    <w:rsid w:val="00F35311"/>
    <w:rsid w:val="00F37CBF"/>
    <w:rsid w:val="00F421E3"/>
    <w:rsid w:val="00F42C4B"/>
    <w:rsid w:val="00F517DD"/>
    <w:rsid w:val="00F56704"/>
    <w:rsid w:val="00F577C7"/>
    <w:rsid w:val="00F57DE2"/>
    <w:rsid w:val="00F62CB5"/>
    <w:rsid w:val="00F63754"/>
    <w:rsid w:val="00F63E2E"/>
    <w:rsid w:val="00F66AF3"/>
    <w:rsid w:val="00F67A62"/>
    <w:rsid w:val="00F71E26"/>
    <w:rsid w:val="00F75D56"/>
    <w:rsid w:val="00F8194B"/>
    <w:rsid w:val="00F8526D"/>
    <w:rsid w:val="00F85301"/>
    <w:rsid w:val="00F87446"/>
    <w:rsid w:val="00F87566"/>
    <w:rsid w:val="00F907D1"/>
    <w:rsid w:val="00F91FBC"/>
    <w:rsid w:val="00F941A6"/>
    <w:rsid w:val="00F954EA"/>
    <w:rsid w:val="00FA09B5"/>
    <w:rsid w:val="00FA0B43"/>
    <w:rsid w:val="00FA4099"/>
    <w:rsid w:val="00FB4993"/>
    <w:rsid w:val="00FB741B"/>
    <w:rsid w:val="00FC04E4"/>
    <w:rsid w:val="00FC08D3"/>
    <w:rsid w:val="00FC18BD"/>
    <w:rsid w:val="00FC2FBC"/>
    <w:rsid w:val="00FC4FE3"/>
    <w:rsid w:val="00FD13C0"/>
    <w:rsid w:val="00FD28B3"/>
    <w:rsid w:val="00FD29F7"/>
    <w:rsid w:val="00FD54AD"/>
    <w:rsid w:val="00FD7822"/>
    <w:rsid w:val="00FD7F6F"/>
    <w:rsid w:val="00FE63D9"/>
    <w:rsid w:val="00FE7EFA"/>
    <w:rsid w:val="00FF143D"/>
    <w:rsid w:val="00FF2665"/>
    <w:rsid w:val="00FF36C4"/>
    <w:rsid w:val="00FF572D"/>
    <w:rsid w:val="00FF5848"/>
    <w:rsid w:val="01392AD3"/>
    <w:rsid w:val="01F0265E"/>
    <w:rsid w:val="02142B23"/>
    <w:rsid w:val="02356E11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C2479F"/>
    <w:rsid w:val="03C93EF0"/>
    <w:rsid w:val="03D52025"/>
    <w:rsid w:val="03D62AC1"/>
    <w:rsid w:val="044871E4"/>
    <w:rsid w:val="047622DB"/>
    <w:rsid w:val="04B47756"/>
    <w:rsid w:val="050C7229"/>
    <w:rsid w:val="05154540"/>
    <w:rsid w:val="0579142C"/>
    <w:rsid w:val="05AA7878"/>
    <w:rsid w:val="064D5686"/>
    <w:rsid w:val="065C1DCE"/>
    <w:rsid w:val="069856B6"/>
    <w:rsid w:val="06DE0DA1"/>
    <w:rsid w:val="077C09BD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B6F619E"/>
    <w:rsid w:val="0B7C0390"/>
    <w:rsid w:val="0B9E3E25"/>
    <w:rsid w:val="0BB0260C"/>
    <w:rsid w:val="0BE1520A"/>
    <w:rsid w:val="0C0571AE"/>
    <w:rsid w:val="0C113C9C"/>
    <w:rsid w:val="0C4C44E1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102D1EA6"/>
    <w:rsid w:val="112C16B7"/>
    <w:rsid w:val="11AE4DD3"/>
    <w:rsid w:val="12656177"/>
    <w:rsid w:val="128875E6"/>
    <w:rsid w:val="12B35048"/>
    <w:rsid w:val="12DD24D4"/>
    <w:rsid w:val="133A06A3"/>
    <w:rsid w:val="13724B4D"/>
    <w:rsid w:val="13951510"/>
    <w:rsid w:val="14547A70"/>
    <w:rsid w:val="149665F2"/>
    <w:rsid w:val="14F96473"/>
    <w:rsid w:val="151C49E5"/>
    <w:rsid w:val="154245FD"/>
    <w:rsid w:val="156F2B0D"/>
    <w:rsid w:val="15CF32F5"/>
    <w:rsid w:val="15F30F1D"/>
    <w:rsid w:val="16151DBB"/>
    <w:rsid w:val="16177834"/>
    <w:rsid w:val="166F221F"/>
    <w:rsid w:val="16B47AEA"/>
    <w:rsid w:val="171A4356"/>
    <w:rsid w:val="186F416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D34086"/>
    <w:rsid w:val="1CFF1ABA"/>
    <w:rsid w:val="1D4670AD"/>
    <w:rsid w:val="1D6835DA"/>
    <w:rsid w:val="1D737BDD"/>
    <w:rsid w:val="1DEC36EB"/>
    <w:rsid w:val="1E3A594B"/>
    <w:rsid w:val="1E7F51D0"/>
    <w:rsid w:val="1EE86186"/>
    <w:rsid w:val="1F045991"/>
    <w:rsid w:val="1F5B7825"/>
    <w:rsid w:val="20053897"/>
    <w:rsid w:val="207D4D08"/>
    <w:rsid w:val="2088381B"/>
    <w:rsid w:val="20966F16"/>
    <w:rsid w:val="21E01B52"/>
    <w:rsid w:val="22071599"/>
    <w:rsid w:val="22635EB7"/>
    <w:rsid w:val="232337B3"/>
    <w:rsid w:val="23826D38"/>
    <w:rsid w:val="243C59F2"/>
    <w:rsid w:val="245C5BCF"/>
    <w:rsid w:val="24847912"/>
    <w:rsid w:val="258C4EBE"/>
    <w:rsid w:val="25F00177"/>
    <w:rsid w:val="26640D04"/>
    <w:rsid w:val="26B93C8A"/>
    <w:rsid w:val="26DA481E"/>
    <w:rsid w:val="26ED2967"/>
    <w:rsid w:val="274454D7"/>
    <w:rsid w:val="27560897"/>
    <w:rsid w:val="27704070"/>
    <w:rsid w:val="27885996"/>
    <w:rsid w:val="27EB500D"/>
    <w:rsid w:val="27EB6712"/>
    <w:rsid w:val="28051390"/>
    <w:rsid w:val="28174DCA"/>
    <w:rsid w:val="284E2B97"/>
    <w:rsid w:val="28745917"/>
    <w:rsid w:val="289555AD"/>
    <w:rsid w:val="289C1E3B"/>
    <w:rsid w:val="29EE06DF"/>
    <w:rsid w:val="2A335171"/>
    <w:rsid w:val="2A7C604D"/>
    <w:rsid w:val="2AD81657"/>
    <w:rsid w:val="2B24718D"/>
    <w:rsid w:val="2B530694"/>
    <w:rsid w:val="2C362403"/>
    <w:rsid w:val="2C947094"/>
    <w:rsid w:val="2C9D6D6A"/>
    <w:rsid w:val="2D007805"/>
    <w:rsid w:val="2DBA3EE9"/>
    <w:rsid w:val="2E4035D3"/>
    <w:rsid w:val="2E8F6408"/>
    <w:rsid w:val="2E9E2D69"/>
    <w:rsid w:val="2EF023C1"/>
    <w:rsid w:val="2FA23810"/>
    <w:rsid w:val="2FA349A7"/>
    <w:rsid w:val="2FE6144C"/>
    <w:rsid w:val="3002120B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DB1E63"/>
    <w:rsid w:val="35204A34"/>
    <w:rsid w:val="35921D7C"/>
    <w:rsid w:val="359833FE"/>
    <w:rsid w:val="35DA7251"/>
    <w:rsid w:val="364E1EA4"/>
    <w:rsid w:val="36513788"/>
    <w:rsid w:val="369313F4"/>
    <w:rsid w:val="36BA1776"/>
    <w:rsid w:val="37403DBF"/>
    <w:rsid w:val="37C60704"/>
    <w:rsid w:val="37D632A4"/>
    <w:rsid w:val="389D1302"/>
    <w:rsid w:val="38D3176D"/>
    <w:rsid w:val="39256002"/>
    <w:rsid w:val="39666756"/>
    <w:rsid w:val="397C174E"/>
    <w:rsid w:val="3A1A2818"/>
    <w:rsid w:val="3AF841EE"/>
    <w:rsid w:val="3B4B0019"/>
    <w:rsid w:val="3B4B273B"/>
    <w:rsid w:val="3B851A0C"/>
    <w:rsid w:val="3BBE450D"/>
    <w:rsid w:val="3C471142"/>
    <w:rsid w:val="3C662063"/>
    <w:rsid w:val="3C9D0F95"/>
    <w:rsid w:val="3CB15D84"/>
    <w:rsid w:val="3D08404F"/>
    <w:rsid w:val="3E3E3EDE"/>
    <w:rsid w:val="3E5741A5"/>
    <w:rsid w:val="3EC402B4"/>
    <w:rsid w:val="3EE71B46"/>
    <w:rsid w:val="3F5D78C0"/>
    <w:rsid w:val="3FE500B7"/>
    <w:rsid w:val="40091EFE"/>
    <w:rsid w:val="401F4D75"/>
    <w:rsid w:val="402C1B48"/>
    <w:rsid w:val="404B4E97"/>
    <w:rsid w:val="408B2C98"/>
    <w:rsid w:val="40F64838"/>
    <w:rsid w:val="413B6FE4"/>
    <w:rsid w:val="41540FED"/>
    <w:rsid w:val="41F422E6"/>
    <w:rsid w:val="42110E10"/>
    <w:rsid w:val="42D11BDD"/>
    <w:rsid w:val="43257012"/>
    <w:rsid w:val="44AB7BD1"/>
    <w:rsid w:val="44B00248"/>
    <w:rsid w:val="44B2548A"/>
    <w:rsid w:val="44FC15C1"/>
    <w:rsid w:val="4522778B"/>
    <w:rsid w:val="45836AF3"/>
    <w:rsid w:val="45AA6769"/>
    <w:rsid w:val="45DF0864"/>
    <w:rsid w:val="46EB32EA"/>
    <w:rsid w:val="47A625F1"/>
    <w:rsid w:val="47DB5C85"/>
    <w:rsid w:val="480B4572"/>
    <w:rsid w:val="485F01EC"/>
    <w:rsid w:val="488273EC"/>
    <w:rsid w:val="48DF6091"/>
    <w:rsid w:val="490D2618"/>
    <w:rsid w:val="498B63E6"/>
    <w:rsid w:val="499E2148"/>
    <w:rsid w:val="4A1A37BD"/>
    <w:rsid w:val="4A6A78E1"/>
    <w:rsid w:val="4B154D51"/>
    <w:rsid w:val="4B573CAA"/>
    <w:rsid w:val="4BEE696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E8377C"/>
    <w:rsid w:val="51C6602A"/>
    <w:rsid w:val="51D3007D"/>
    <w:rsid w:val="522607F1"/>
    <w:rsid w:val="52737AE1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7D3C0F"/>
    <w:rsid w:val="56C164B3"/>
    <w:rsid w:val="57151659"/>
    <w:rsid w:val="571C5DB6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C5D1F6E"/>
    <w:rsid w:val="5C621648"/>
    <w:rsid w:val="5CB4504F"/>
    <w:rsid w:val="5D0437F9"/>
    <w:rsid w:val="5D6C3D84"/>
    <w:rsid w:val="5D6D745B"/>
    <w:rsid w:val="5E440FFB"/>
    <w:rsid w:val="5E6674CC"/>
    <w:rsid w:val="5EC15CDD"/>
    <w:rsid w:val="5F2C6BDD"/>
    <w:rsid w:val="5FD22F1B"/>
    <w:rsid w:val="604C4A18"/>
    <w:rsid w:val="604F520D"/>
    <w:rsid w:val="60562B9A"/>
    <w:rsid w:val="61A757FA"/>
    <w:rsid w:val="62270342"/>
    <w:rsid w:val="63413F81"/>
    <w:rsid w:val="65035E25"/>
    <w:rsid w:val="651615E2"/>
    <w:rsid w:val="65250CD7"/>
    <w:rsid w:val="65257C76"/>
    <w:rsid w:val="65285A30"/>
    <w:rsid w:val="653835A5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8403F4C"/>
    <w:rsid w:val="685166A1"/>
    <w:rsid w:val="686B687B"/>
    <w:rsid w:val="694E6C50"/>
    <w:rsid w:val="6A446F9E"/>
    <w:rsid w:val="6A9968AE"/>
    <w:rsid w:val="6AB01AF6"/>
    <w:rsid w:val="6B1174E9"/>
    <w:rsid w:val="6B544194"/>
    <w:rsid w:val="6B77083C"/>
    <w:rsid w:val="6BDD60B8"/>
    <w:rsid w:val="6C051A03"/>
    <w:rsid w:val="6C39655D"/>
    <w:rsid w:val="6C6A062B"/>
    <w:rsid w:val="6C9D0411"/>
    <w:rsid w:val="6CC2291D"/>
    <w:rsid w:val="6CFB321B"/>
    <w:rsid w:val="6D267A43"/>
    <w:rsid w:val="6DDA6D56"/>
    <w:rsid w:val="6DE73377"/>
    <w:rsid w:val="6E396A33"/>
    <w:rsid w:val="6EFD2352"/>
    <w:rsid w:val="6F2C108E"/>
    <w:rsid w:val="6F87603C"/>
    <w:rsid w:val="6FC32266"/>
    <w:rsid w:val="70D66AD8"/>
    <w:rsid w:val="71A639E2"/>
    <w:rsid w:val="71D67076"/>
    <w:rsid w:val="72174F5B"/>
    <w:rsid w:val="72276780"/>
    <w:rsid w:val="72913278"/>
    <w:rsid w:val="72FD6B9B"/>
    <w:rsid w:val="73172A55"/>
    <w:rsid w:val="738433D9"/>
    <w:rsid w:val="73A11462"/>
    <w:rsid w:val="741D7A1D"/>
    <w:rsid w:val="743202E6"/>
    <w:rsid w:val="745023E0"/>
    <w:rsid w:val="74621D3E"/>
    <w:rsid w:val="747A1A9F"/>
    <w:rsid w:val="757E69B8"/>
    <w:rsid w:val="759E3EE9"/>
    <w:rsid w:val="761A215B"/>
    <w:rsid w:val="7621335D"/>
    <w:rsid w:val="765D644D"/>
    <w:rsid w:val="76C32CA1"/>
    <w:rsid w:val="770D0111"/>
    <w:rsid w:val="77D41A8B"/>
    <w:rsid w:val="77F61B47"/>
    <w:rsid w:val="781563AF"/>
    <w:rsid w:val="786A7C83"/>
    <w:rsid w:val="78F34F0C"/>
    <w:rsid w:val="792C3337"/>
    <w:rsid w:val="79794135"/>
    <w:rsid w:val="79A53CD6"/>
    <w:rsid w:val="7A3351A6"/>
    <w:rsid w:val="7A4E106F"/>
    <w:rsid w:val="7AA75347"/>
    <w:rsid w:val="7AC761E2"/>
    <w:rsid w:val="7B10750C"/>
    <w:rsid w:val="7BA82472"/>
    <w:rsid w:val="7BFB53AA"/>
    <w:rsid w:val="7C240E84"/>
    <w:rsid w:val="7CCF3C8F"/>
    <w:rsid w:val="7CD6353E"/>
    <w:rsid w:val="7D0560F5"/>
    <w:rsid w:val="7D796B21"/>
    <w:rsid w:val="7DCA03D8"/>
    <w:rsid w:val="7E44440C"/>
    <w:rsid w:val="7E5760A6"/>
    <w:rsid w:val="7E784F83"/>
    <w:rsid w:val="7ED226B5"/>
    <w:rsid w:val="7EF6798A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3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line="288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  <w:rPr>
      <w:rFonts w:ascii="Times New Roman" w:hAnsi="Times New Roman"/>
    </w:rPr>
  </w:style>
  <w:style w:type="paragraph" w:styleId="4">
    <w:name w:val="heading 3"/>
    <w:basedOn w:val="3"/>
    <w:next w:val="1"/>
    <w:qFormat/>
    <w:uiPriority w:val="0"/>
    <w:pPr>
      <w:outlineLvl w:val="2"/>
    </w:pPr>
  </w:style>
  <w:style w:type="paragraph" w:styleId="5">
    <w:name w:val="heading 4"/>
    <w:basedOn w:val="4"/>
    <w:next w:val="1"/>
    <w:link w:val="27"/>
    <w:qFormat/>
    <w:uiPriority w:val="0"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6">
    <w:name w:val="heading 5"/>
    <w:basedOn w:val="5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3">
    <w:name w:val="Default Paragraph Font"/>
    <w:semiHidden/>
    <w:qFormat/>
    <w:uiPriority w:val="0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12">
    <w:name w:val="annotation text"/>
    <w:basedOn w:val="1"/>
    <w:link w:val="2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Balloon Text"/>
    <w:basedOn w:val="1"/>
    <w:link w:val="29"/>
    <w:unhideWhenUsed/>
    <w:qFormat/>
    <w:uiPriority w:val="99"/>
    <w:rPr>
      <w:rFonts w:ascii="Segoe UI" w:hAnsi="Segoe UI" w:cs="Segoe UI"/>
      <w:sz w:val="18"/>
      <w:szCs w:val="18"/>
    </w:rPr>
  </w:style>
  <w:style w:type="paragraph" w:styleId="17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20">
    <w:name w:val="annotation subject"/>
    <w:basedOn w:val="12"/>
    <w:next w:val="12"/>
    <w:link w:val="30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semiHidden/>
    <w:qFormat/>
    <w:uiPriority w:val="0"/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semiHidden/>
    <w:qFormat/>
    <w:uiPriority w:val="0"/>
    <w:rPr>
      <w:sz w:val="16"/>
    </w:rPr>
  </w:style>
  <w:style w:type="character" w:customStyle="1" w:styleId="27">
    <w:name w:val="标题 4 字符"/>
    <w:link w:val="5"/>
    <w:qFormat/>
    <w:uiPriority w:val="0"/>
    <w:rPr>
      <w:rFonts w:ascii="Arial" w:hAnsi="Arial"/>
      <w:b/>
    </w:rPr>
  </w:style>
  <w:style w:type="character" w:customStyle="1" w:styleId="28">
    <w:name w:val="批注文字 字符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29">
    <w:name w:val="批注框文本 字符"/>
    <w:link w:val="1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批注主题 字符"/>
    <w:link w:val="20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31">
    <w:name w:val="B1"/>
    <w:basedOn w:val="1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3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4">
    <w:name w:val="??? 2"/>
    <w:basedOn w:val="33"/>
    <w:next w:val="3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5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6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7">
    <w:name w:val="done"/>
    <w:basedOn w:val="36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8">
    <w:name w:val="Not Done"/>
    <w:basedOn w:val="37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paragraph" w:styleId="39">
    <w:name w:val="List Paragraph"/>
    <w:basedOn w:val="1"/>
    <w:qFormat/>
    <w:uiPriority w:val="63"/>
    <w:pPr>
      <w:widowControl w:val="0"/>
      <w:ind w:firstLine="420" w:firstLineChars="200"/>
      <w:jc w:val="both"/>
    </w:pPr>
    <w:rPr>
      <w:rFonts w:ascii="等线" w:hAnsi="等线" w:eastAsia="等线"/>
      <w:kern w:val="2"/>
      <w:sz w:val="21"/>
      <w:szCs w:val="22"/>
      <w:lang w:val="en-US" w:eastAsia="zh-CN"/>
    </w:rPr>
  </w:style>
  <w:style w:type="paragraph" w:customStyle="1" w:styleId="40">
    <w:name w:val="YC"/>
    <w:basedOn w:val="3"/>
    <w:qFormat/>
    <w:uiPriority w:val="0"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41">
    <w:name w:val="15"/>
    <w:qFormat/>
    <w:uiPriority w:val="0"/>
    <w:rPr>
      <w:rFonts w:hint="default" w:ascii="Arial" w:hAnsi="Arial" w:eastAsia="宋体" w:cs="Arial"/>
      <w:color w:val="0000FF"/>
      <w:kern w:val="2"/>
    </w:rPr>
  </w:style>
  <w:style w:type="paragraph" w:customStyle="1" w:styleId="4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Times New Roman" w:hAnsi="Times New Roman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4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4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5">
    <w:name w:val="TAH"/>
    <w:basedOn w:val="46"/>
    <w:qFormat/>
    <w:uiPriority w:val="99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49">
    <w:name w:val="B2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3</Pages>
  <Words>1005</Words>
  <Characters>4926</Characters>
  <Lines>455</Lines>
  <Paragraphs>128</Paragraphs>
  <TotalTime>1</TotalTime>
  <ScaleCrop>false</ScaleCrop>
  <LinksUpToDate>false</LinksUpToDate>
  <CharactersWithSpaces>5885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2022-11-07T02:33:00Z</dcterms:created>
  <dc:creator>CMCC</dc:creator>
  <cp:lastModifiedBy>CMCC-hulijie</cp:lastModifiedBy>
  <cp:lastPrinted>2002-04-23T01:10:00Z</cp:lastPrinted>
  <dcterms:modified xsi:type="dcterms:W3CDTF">2023-11-03T10:08:34Z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E62FCC6D6C90416997A4B625CB439A9E</vt:lpwstr>
  </property>
</Properties>
</file>