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FC95E25" w14:textId="47C9B93A" w:rsidR="00A80B72" w:rsidRDefault="00A80B72" w:rsidP="00A80B72">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#115</w:t>
      </w:r>
      <w:r>
        <w:rPr>
          <w:rFonts w:ascii="Arial" w:hAnsi="Arial" w:cs="Arial"/>
          <w:b/>
          <w:bCs/>
          <w:sz w:val="28"/>
        </w:rPr>
        <w:tab/>
      </w:r>
      <w:r>
        <w:rPr>
          <w:rFonts w:ascii="Arial" w:hAnsi="Arial" w:cs="Arial"/>
          <w:b/>
          <w:bCs/>
          <w:sz w:val="28"/>
        </w:rPr>
        <w:tab/>
      </w:r>
      <w:r>
        <w:rPr>
          <w:rFonts w:ascii="Arial" w:hAnsi="Arial" w:cs="Arial"/>
          <w:b/>
          <w:bCs/>
          <w:sz w:val="28"/>
        </w:rPr>
        <w:tab/>
      </w:r>
      <w:r w:rsidR="008567CB" w:rsidRPr="008567CB">
        <w:rPr>
          <w:rFonts w:ascii="Arial" w:hAnsi="Arial" w:cs="Arial"/>
          <w:b/>
          <w:bCs/>
          <w:sz w:val="28"/>
        </w:rPr>
        <w:t>R1-2311172</w:t>
      </w:r>
    </w:p>
    <w:p w14:paraId="1B2D9AA5" w14:textId="77777777" w:rsidR="00A80B72" w:rsidRDefault="00A80B72" w:rsidP="00A80B72">
      <w:pPr>
        <w:tabs>
          <w:tab w:val="center" w:pos="4536"/>
          <w:tab w:val="right" w:pos="9072"/>
        </w:tabs>
        <w:rPr>
          <w:rFonts w:ascii="Arial" w:hAnsi="Arial" w:cs="Arial"/>
          <w:b/>
          <w:bCs/>
          <w:sz w:val="28"/>
          <w:lang w:eastAsia="ja-JP"/>
        </w:rPr>
      </w:pPr>
      <w:r>
        <w:rPr>
          <w:rFonts w:ascii="Arial" w:hAnsi="Arial" w:cs="Arial"/>
          <w:b/>
          <w:bCs/>
          <w:sz w:val="28"/>
          <w:lang w:eastAsia="ja-JP"/>
        </w:rPr>
        <w:t>Chicago, USA, November 13</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Pr>
          <w:rFonts w:ascii="Arial" w:hAnsi="Arial" w:cs="Arial"/>
          <w:b/>
          <w:bCs/>
          <w:sz w:val="28"/>
        </w:rPr>
        <w:t>– November</w:t>
      </w:r>
      <w:r>
        <w:rPr>
          <w:rFonts w:ascii="Arial" w:hAnsi="Arial" w:cs="Arial"/>
          <w:b/>
          <w:bCs/>
          <w:sz w:val="28"/>
          <w:lang w:eastAsia="ja-JP"/>
        </w:rPr>
        <w:t xml:space="preserve"> 17</w:t>
      </w:r>
      <w:r>
        <w:rPr>
          <w:rFonts w:ascii="Arial" w:hAnsi="Arial" w:cs="Arial"/>
          <w:b/>
          <w:bCs/>
          <w:sz w:val="28"/>
          <w:vertAlign w:val="superscript"/>
          <w:lang w:eastAsia="ja-JP"/>
        </w:rPr>
        <w:t>th</w:t>
      </w:r>
      <w:r>
        <w:rPr>
          <w:rFonts w:ascii="Arial" w:hAnsi="Arial" w:cs="Arial"/>
          <w:b/>
          <w:bCs/>
          <w:sz w:val="28"/>
          <w:lang w:eastAsia="ja-JP"/>
        </w:rPr>
        <w:t>, 2023</w:t>
      </w:r>
      <w:bookmarkEnd w:id="0"/>
    </w:p>
    <w:p w14:paraId="2CF51AFF" w14:textId="718F4C9A" w:rsidR="008768FE" w:rsidRPr="001D3F32" w:rsidRDefault="008768FE" w:rsidP="00932CF4">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1" w:name="Source"/>
      <w:bookmarkEnd w:id="1"/>
      <w:r w:rsidR="002572BF">
        <w:rPr>
          <w:b/>
          <w:noProof/>
          <w:sz w:val="22"/>
          <w:szCs w:val="22"/>
          <w:lang w:val="en-US"/>
        </w:rPr>
        <w:t>8.7</w:t>
      </w:r>
      <w:r w:rsidR="004D07ED">
        <w:rPr>
          <w:b/>
          <w:noProof/>
          <w:sz w:val="22"/>
          <w:szCs w:val="22"/>
          <w:lang w:val="en-US"/>
        </w:rPr>
        <w:t>.</w:t>
      </w:r>
      <w:r w:rsidR="007E484D">
        <w:rPr>
          <w:b/>
          <w:noProof/>
          <w:sz w:val="22"/>
          <w:szCs w:val="22"/>
          <w:lang w:val="en-US"/>
        </w:rPr>
        <w:t>1</w:t>
      </w:r>
    </w:p>
    <w:p w14:paraId="5219645B" w14:textId="77777777" w:rsidR="008768FE" w:rsidRPr="001D3F32" w:rsidRDefault="008768FE" w:rsidP="00932CF4">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63EFE51F" w:rsidR="008768FE" w:rsidRPr="001D3F32" w:rsidRDefault="008768FE" w:rsidP="00932CF4">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2" w:name="OLE_LINK45"/>
      <w:bookmarkStart w:id="3" w:name="OLE_LINK46"/>
      <w:bookmarkStart w:id="4" w:name="OLE_LINK3"/>
      <w:r w:rsidR="00234234" w:rsidRPr="00234234">
        <w:rPr>
          <w:b/>
          <w:noProof/>
          <w:sz w:val="22"/>
          <w:szCs w:val="22"/>
          <w:lang w:val="en-US"/>
        </w:rPr>
        <w:t xml:space="preserve">Remaining issues </w:t>
      </w:r>
      <w:r w:rsidR="003079C4">
        <w:rPr>
          <w:b/>
          <w:noProof/>
          <w:sz w:val="22"/>
          <w:szCs w:val="22"/>
          <w:lang w:val="en-US"/>
        </w:rPr>
        <w:t xml:space="preserve">on </w:t>
      </w:r>
      <w:bookmarkEnd w:id="2"/>
      <w:r w:rsidR="007E484D" w:rsidRPr="007E484D">
        <w:rPr>
          <w:b/>
          <w:noProof/>
          <w:sz w:val="22"/>
          <w:szCs w:val="22"/>
          <w:lang w:val="en-US"/>
        </w:rPr>
        <w:t>L1 enhancements for inter-cell beam management</w:t>
      </w:r>
    </w:p>
    <w:bookmarkEnd w:id="3"/>
    <w:bookmarkEnd w:id="4"/>
    <w:p w14:paraId="31A3C89E" w14:textId="77777777" w:rsidR="008768FE" w:rsidRPr="001D3F32" w:rsidRDefault="008768FE" w:rsidP="00932CF4">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932CF4">
      <w:pPr>
        <w:pStyle w:val="1"/>
        <w:tabs>
          <w:tab w:val="num" w:pos="426"/>
        </w:tabs>
        <w:ind w:left="426" w:hanging="426"/>
        <w:jc w:val="both"/>
        <w:rPr>
          <w:szCs w:val="36"/>
          <w:lang w:eastAsia="ja-JP"/>
        </w:rPr>
      </w:pPr>
      <w:r w:rsidRPr="001D3F32">
        <w:rPr>
          <w:rFonts w:hint="eastAsia"/>
          <w:szCs w:val="36"/>
          <w:lang w:eastAsia="ja-JP"/>
        </w:rPr>
        <w:t>Introduction</w:t>
      </w:r>
    </w:p>
    <w:p w14:paraId="304E414A" w14:textId="32079BB7" w:rsidR="00927531" w:rsidRDefault="00927531" w:rsidP="00932CF4">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486EF5">
        <w:rPr>
          <w:rFonts w:eastAsia="宋体"/>
          <w:lang w:eastAsia="zh-CN"/>
        </w:rPr>
        <w:t>further</w:t>
      </w:r>
      <w:r w:rsidRPr="001D3F32">
        <w:rPr>
          <w:rFonts w:eastAsia="宋体"/>
          <w:lang w:eastAsia="zh-CN"/>
        </w:rPr>
        <w:t xml:space="preserve"> considerations </w:t>
      </w:r>
      <w:r w:rsidR="0015472D">
        <w:rPr>
          <w:rFonts w:eastAsia="宋体"/>
          <w:lang w:eastAsia="zh-CN"/>
        </w:rPr>
        <w:t xml:space="preserve">of remaining issues </w:t>
      </w:r>
      <w:r w:rsidRPr="001D3F32">
        <w:rPr>
          <w:rFonts w:eastAsia="宋体"/>
          <w:lang w:eastAsia="zh-CN"/>
        </w:rPr>
        <w:t>on</w:t>
      </w:r>
      <w:r w:rsidR="00483151">
        <w:rPr>
          <w:rFonts w:eastAsia="宋体"/>
          <w:lang w:eastAsia="zh-CN"/>
        </w:rPr>
        <w:t xml:space="preserve"> </w:t>
      </w:r>
      <w:r w:rsidR="00C33DE2" w:rsidRPr="00C33DE2">
        <w:rPr>
          <w:rFonts w:eastAsia="宋体"/>
          <w:lang w:eastAsia="zh-CN"/>
        </w:rPr>
        <w:t xml:space="preserve">L1 enhancements for </w:t>
      </w:r>
      <w:r w:rsidR="00C33DE2">
        <w:rPr>
          <w:bCs/>
          <w:lang w:val="en-US"/>
        </w:rPr>
        <w:t>inter-cell beam management</w:t>
      </w:r>
      <w:r w:rsidR="00483151">
        <w:rPr>
          <w:rFonts w:eastAsia="宋体"/>
          <w:lang w:eastAsia="zh-CN"/>
        </w:rPr>
        <w:t>.</w:t>
      </w:r>
    </w:p>
    <w:p w14:paraId="3D033E90" w14:textId="7A7849DC" w:rsidR="00927531" w:rsidRDefault="00927531" w:rsidP="00932CF4">
      <w:pPr>
        <w:pStyle w:val="1"/>
        <w:tabs>
          <w:tab w:val="num" w:pos="426"/>
        </w:tabs>
        <w:ind w:left="426" w:hanging="426"/>
        <w:jc w:val="both"/>
        <w:rPr>
          <w:rFonts w:eastAsia="宋体"/>
          <w:szCs w:val="36"/>
          <w:lang w:eastAsia="zh-CN"/>
        </w:rPr>
      </w:pPr>
      <w:bookmarkStart w:id="6" w:name="OLE_LINK33"/>
      <w:bookmarkStart w:id="7" w:name="OLE_LINK34"/>
      <w:r>
        <w:rPr>
          <w:rFonts w:eastAsia="宋体" w:hint="eastAsia"/>
          <w:szCs w:val="36"/>
          <w:lang w:eastAsia="zh-CN"/>
        </w:rPr>
        <w:t>D</w:t>
      </w:r>
      <w:r>
        <w:rPr>
          <w:rFonts w:eastAsia="宋体"/>
          <w:szCs w:val="36"/>
          <w:lang w:eastAsia="zh-CN"/>
        </w:rPr>
        <w:t>iscussion</w:t>
      </w:r>
    </w:p>
    <w:p w14:paraId="11DF319D" w14:textId="77777777" w:rsidR="00DC16CD" w:rsidRDefault="00804781" w:rsidP="002F1AEC">
      <w:pPr>
        <w:pStyle w:val="2"/>
        <w:widowControl w:val="0"/>
        <w:adjustRightInd/>
        <w:spacing w:before="120" w:after="120" w:line="415" w:lineRule="auto"/>
        <w:ind w:left="578" w:hanging="578"/>
        <w:jc w:val="both"/>
      </w:pPr>
      <w:r w:rsidRPr="00804781">
        <w:t xml:space="preserve">L1 measurement </w:t>
      </w:r>
    </w:p>
    <w:p w14:paraId="7BCC022E" w14:textId="373D633C" w:rsidR="00804781" w:rsidRPr="00804781" w:rsidRDefault="00DC16CD" w:rsidP="00DC16CD">
      <w:pPr>
        <w:pStyle w:val="3"/>
      </w:pPr>
      <w:r>
        <w:t xml:space="preserve">LTM CSI </w:t>
      </w:r>
      <w:r w:rsidR="00804781" w:rsidRPr="00804781">
        <w:t>reporting</w:t>
      </w:r>
      <w:r w:rsidR="00CC4CDD">
        <w:t xml:space="preserve"> priority</w:t>
      </w:r>
    </w:p>
    <w:p w14:paraId="0FBE2E1F" w14:textId="51F763D0" w:rsidR="00FE69CC" w:rsidRPr="00C558C0" w:rsidRDefault="00C34378" w:rsidP="00C558C0">
      <w:pPr>
        <w:jc w:val="both"/>
      </w:pPr>
      <w:r w:rsidRPr="00C558C0">
        <w:t xml:space="preserve">Regarding </w:t>
      </w:r>
      <w:r w:rsidR="00804781" w:rsidRPr="00C558C0">
        <w:t xml:space="preserve">priority </w:t>
      </w:r>
      <w:r w:rsidRPr="00C558C0">
        <w:t xml:space="preserve">between </w:t>
      </w:r>
      <w:r w:rsidR="00804781" w:rsidRPr="00C558C0">
        <w:t>LTM CSI report</w:t>
      </w:r>
      <w:r w:rsidR="00FE69CC" w:rsidRPr="00C558C0">
        <w:t xml:space="preserve"> and legacy CSI report, there is a possibility that LTM CSI report and legacy CSI report share a same </w:t>
      </w:r>
      <w:r w:rsidR="009678CD" w:rsidRPr="00C558C0">
        <w:t xml:space="preserve">CSI report </w:t>
      </w:r>
      <w:r w:rsidR="00FE69CC" w:rsidRPr="00C558C0">
        <w:t>priority</w:t>
      </w:r>
      <w:r w:rsidR="009678CD" w:rsidRPr="00C558C0">
        <w:t xml:space="preserve"> value</w:t>
      </w:r>
      <w:r w:rsidR="00FE69CC" w:rsidRPr="00C558C0">
        <w:t xml:space="preserve"> due to Option 2 is adopted. </w:t>
      </w:r>
      <w:r w:rsidRPr="00C558C0">
        <w:t xml:space="preserve"> </w:t>
      </w:r>
    </w:p>
    <w:tbl>
      <w:tblPr>
        <w:tblStyle w:val="aff"/>
        <w:tblW w:w="0" w:type="auto"/>
        <w:tblLook w:val="04A0" w:firstRow="1" w:lastRow="0" w:firstColumn="1" w:lastColumn="0" w:noHBand="0" w:noVBand="1"/>
      </w:tblPr>
      <w:tblGrid>
        <w:gridCol w:w="9630"/>
      </w:tblGrid>
      <w:tr w:rsidR="00FE69CC" w:rsidRPr="00C558C0" w14:paraId="3CE49BEB" w14:textId="77777777" w:rsidTr="00FE69CC">
        <w:tc>
          <w:tcPr>
            <w:tcW w:w="9630" w:type="dxa"/>
          </w:tcPr>
          <w:p w14:paraId="6F020E1F" w14:textId="71D96FEF" w:rsidR="00FE69CC" w:rsidRPr="00C558C0" w:rsidRDefault="00FE69CC" w:rsidP="00C558C0">
            <w:pPr>
              <w:pStyle w:val="Agreement"/>
              <w:numPr>
                <w:ilvl w:val="0"/>
                <w:numId w:val="32"/>
              </w:numPr>
              <w:tabs>
                <w:tab w:val="num" w:pos="1619"/>
              </w:tabs>
              <w:ind w:left="1619"/>
              <w:jc w:val="both"/>
              <w:rPr>
                <w:rFonts w:ascii="Times New Roman" w:hAnsi="Times New Roman"/>
                <w:szCs w:val="20"/>
              </w:rPr>
            </w:pPr>
            <w:r w:rsidRPr="00C558C0">
              <w:rPr>
                <w:rFonts w:ascii="Times New Roman" w:hAnsi="Times New Roman"/>
                <w:szCs w:val="20"/>
              </w:rPr>
              <w:t>For the model of CSI report configuration, RAN2 to implement Option 2 (as in current RRC running CR).</w:t>
            </w:r>
          </w:p>
        </w:tc>
      </w:tr>
    </w:tbl>
    <w:p w14:paraId="1A01F802" w14:textId="43371B23" w:rsidR="00FE69CC" w:rsidRPr="00C558C0" w:rsidRDefault="00FE69CC" w:rsidP="00C558C0">
      <w:pPr>
        <w:jc w:val="both"/>
      </w:pPr>
    </w:p>
    <w:p w14:paraId="55FEB7A9" w14:textId="02EC384E" w:rsidR="00470F18" w:rsidRPr="00C558C0" w:rsidRDefault="004A1450" w:rsidP="00C558C0">
      <w:pPr>
        <w:jc w:val="both"/>
        <w:rPr>
          <w:lang w:val="en-US"/>
        </w:rPr>
      </w:pPr>
      <w:r w:rsidRPr="00C558C0">
        <w:t xml:space="preserve">According to the formula of CSI reports priority value, if multiple CSI report </w:t>
      </w:r>
      <w:r w:rsidR="00131503" w:rsidRPr="00C558C0">
        <w:t xml:space="preserve">with same time domain behaviour </w:t>
      </w:r>
      <w:r w:rsidRPr="00C558C0">
        <w:t>belonging to a</w:t>
      </w:r>
      <w:r w:rsidR="00131503" w:rsidRPr="00C558C0">
        <w:t xml:space="preserve"> same serving cell, it depends on CSI report ID. </w:t>
      </w:r>
      <w:r w:rsidR="009678CD" w:rsidRPr="00C558C0">
        <w:t xml:space="preserve">If LTM CSI report and legacy CSI report have separate ID assignment, </w:t>
      </w:r>
      <w:r w:rsidR="00963BB6" w:rsidRPr="00C558C0">
        <w:t xml:space="preserve">when they have same report ID, the CSI report priority derived by the formula will be same. </w:t>
      </w:r>
      <w:r w:rsidR="001C4A04" w:rsidRPr="00C558C0">
        <w:t>Our suggest</w:t>
      </w:r>
      <w:r w:rsidR="00086333">
        <w:t>ion</w:t>
      </w:r>
      <w:r w:rsidR="001C4A04" w:rsidRPr="00C558C0">
        <w:t xml:space="preserve"> is </w:t>
      </w:r>
      <w:bookmarkStart w:id="8" w:name="OLE_LINK135"/>
      <w:bookmarkStart w:id="9" w:name="OLE_LINK136"/>
      <w:r w:rsidR="001C4A04" w:rsidRPr="00C558C0">
        <w:t xml:space="preserve">not to change the formula, but only define a UE behaviour that </w:t>
      </w:r>
      <w:r w:rsidR="001C4A04" w:rsidRPr="00C558C0">
        <w:rPr>
          <w:lang w:val="en-US"/>
        </w:rPr>
        <w:t>a</w:t>
      </w:r>
      <w:r w:rsidR="00470F18" w:rsidRPr="00C558C0">
        <w:rPr>
          <w:lang w:val="en-US"/>
        </w:rPr>
        <w:t xml:space="preserve">n LTM report is prioritized over a </w:t>
      </w:r>
      <w:r w:rsidR="001C4A04" w:rsidRPr="00C558C0">
        <w:rPr>
          <w:lang w:val="en-US"/>
        </w:rPr>
        <w:t>legacy CSI report</w:t>
      </w:r>
      <w:bookmarkEnd w:id="8"/>
      <w:bookmarkEnd w:id="9"/>
      <w:r w:rsidR="001C4A04" w:rsidRPr="00C558C0">
        <w:rPr>
          <w:lang w:val="en-US"/>
        </w:rPr>
        <w:t xml:space="preserve">, if the PUCCH/PUSCH resource for LTM report same or overlapping resources with a legacy CSI report.  </w:t>
      </w:r>
    </w:p>
    <w:p w14:paraId="40D12F03" w14:textId="53A79776" w:rsidR="007B04F7" w:rsidRPr="00C558C0" w:rsidRDefault="00086333" w:rsidP="00C558C0">
      <w:pPr>
        <w:pStyle w:val="aff8"/>
        <w:numPr>
          <w:ilvl w:val="0"/>
          <w:numId w:val="26"/>
        </w:numPr>
        <w:snapToGrid w:val="0"/>
        <w:ind w:leftChars="0"/>
        <w:jc w:val="both"/>
        <w:rPr>
          <w:b/>
          <w:i/>
          <w:color w:val="000000" w:themeColor="text1"/>
        </w:rPr>
      </w:pPr>
      <w:bookmarkStart w:id="10" w:name="OLE_LINK55"/>
      <w:bookmarkStart w:id="11" w:name="OLE_LINK57"/>
      <w:bookmarkStart w:id="12" w:name="OLE_LINK58"/>
      <w:r>
        <w:rPr>
          <w:b/>
          <w:i/>
          <w:color w:val="000000" w:themeColor="text1"/>
        </w:rPr>
        <w:t>D</w:t>
      </w:r>
      <w:r w:rsidR="001C4A04" w:rsidRPr="00C558C0">
        <w:rPr>
          <w:b/>
          <w:i/>
          <w:color w:val="000000" w:themeColor="text1"/>
        </w:rPr>
        <w:t xml:space="preserve">efine </w:t>
      </w:r>
      <w:r w:rsidR="00B94D5A" w:rsidRPr="00C558C0">
        <w:rPr>
          <w:b/>
          <w:i/>
          <w:color w:val="000000" w:themeColor="text1"/>
        </w:rPr>
        <w:t>the</w:t>
      </w:r>
      <w:r w:rsidR="001C4A04" w:rsidRPr="00C558C0">
        <w:rPr>
          <w:b/>
          <w:i/>
          <w:color w:val="000000" w:themeColor="text1"/>
        </w:rPr>
        <w:t xml:space="preserve"> UE behaviour that an LTM report is prioritized over a legacy CSI report</w:t>
      </w:r>
      <w:r w:rsidR="00B94D5A" w:rsidRPr="00C558C0">
        <w:rPr>
          <w:b/>
          <w:i/>
          <w:color w:val="000000" w:themeColor="text1"/>
        </w:rPr>
        <w:t xml:space="preserve"> if the</w:t>
      </w:r>
      <w:r w:rsidR="00DC16CD" w:rsidRPr="00C558C0">
        <w:rPr>
          <w:b/>
          <w:i/>
          <w:color w:val="000000" w:themeColor="text1"/>
        </w:rPr>
        <w:t>re</w:t>
      </w:r>
      <w:r w:rsidR="00B94D5A" w:rsidRPr="00C558C0">
        <w:rPr>
          <w:b/>
          <w:i/>
          <w:color w:val="000000" w:themeColor="text1"/>
        </w:rPr>
        <w:t xml:space="preserve"> </w:t>
      </w:r>
      <w:r w:rsidR="00DC16CD" w:rsidRPr="00C558C0">
        <w:rPr>
          <w:b/>
          <w:i/>
          <w:color w:val="000000" w:themeColor="text1"/>
        </w:rPr>
        <w:t>is a</w:t>
      </w:r>
      <w:r w:rsidR="00B94D5A" w:rsidRPr="00C558C0">
        <w:rPr>
          <w:b/>
          <w:i/>
          <w:color w:val="000000" w:themeColor="text1"/>
        </w:rPr>
        <w:t xml:space="preserve"> collision</w:t>
      </w:r>
      <w:r>
        <w:rPr>
          <w:b/>
          <w:i/>
          <w:color w:val="000000" w:themeColor="text1"/>
        </w:rPr>
        <w:t>, without change of the formula.</w:t>
      </w:r>
      <w:r w:rsidR="00B94D5A" w:rsidRPr="00C558C0">
        <w:rPr>
          <w:b/>
          <w:i/>
          <w:color w:val="000000" w:themeColor="text1"/>
        </w:rPr>
        <w:t xml:space="preserve"> </w:t>
      </w:r>
    </w:p>
    <w:bookmarkEnd w:id="10"/>
    <w:bookmarkEnd w:id="11"/>
    <w:bookmarkEnd w:id="12"/>
    <w:p w14:paraId="4CA8DC90" w14:textId="277529C5" w:rsidR="007B04F7" w:rsidRDefault="007B04F7" w:rsidP="00DC16CD">
      <w:pPr>
        <w:pStyle w:val="3"/>
      </w:pPr>
      <w:r w:rsidRPr="007B04F7">
        <w:t xml:space="preserve">Number of CPU occupied by </w:t>
      </w:r>
      <w:r w:rsidR="00DC16CD">
        <w:t>an LTM CSI report</w:t>
      </w:r>
    </w:p>
    <w:p w14:paraId="54D0210A" w14:textId="5845C619" w:rsidR="00887A89" w:rsidRDefault="00F91C78" w:rsidP="00C558C0">
      <w:pPr>
        <w:jc w:val="both"/>
        <w:rPr>
          <w:lang w:eastAsia="ja-JP"/>
        </w:rPr>
      </w:pPr>
      <w:r>
        <w:rPr>
          <w:lang w:eastAsia="ja-JP"/>
        </w:rPr>
        <w:t xml:space="preserve">Since </w:t>
      </w:r>
      <w:r w:rsidR="001C2F64">
        <w:rPr>
          <w:lang w:eastAsia="ja-JP"/>
        </w:rPr>
        <w:t>LTM CSI report</w:t>
      </w:r>
      <w:r>
        <w:rPr>
          <w:lang w:eastAsia="ja-JP"/>
        </w:rPr>
        <w:t xml:space="preserve"> contains SSB index and L1-RSRP, number of CPU occupied by an LTM CSI report is 1. </w:t>
      </w:r>
    </w:p>
    <w:p w14:paraId="07CD9ADB" w14:textId="3B80744A" w:rsidR="00C549E0" w:rsidRPr="00C549E0" w:rsidRDefault="00C549E0" w:rsidP="00C558C0">
      <w:pPr>
        <w:pStyle w:val="aff8"/>
        <w:numPr>
          <w:ilvl w:val="0"/>
          <w:numId w:val="26"/>
        </w:numPr>
        <w:ind w:leftChars="0"/>
        <w:jc w:val="both"/>
        <w:rPr>
          <w:b/>
          <w:i/>
          <w:lang w:eastAsia="ja-JP"/>
        </w:rPr>
      </w:pPr>
      <w:r>
        <w:rPr>
          <w:b/>
          <w:i/>
          <w:lang w:eastAsia="ja-JP"/>
        </w:rPr>
        <w:t>N</w:t>
      </w:r>
      <w:r w:rsidRPr="00C549E0">
        <w:rPr>
          <w:b/>
          <w:i/>
          <w:lang w:eastAsia="ja-JP"/>
        </w:rPr>
        <w:t>umber of CPU occupied by an LTM CSI report is 1</w:t>
      </w:r>
      <w:r w:rsidR="0042762E">
        <w:rPr>
          <w:b/>
          <w:i/>
          <w:lang w:eastAsia="ja-JP"/>
        </w:rPr>
        <w:t>.</w:t>
      </w:r>
    </w:p>
    <w:p w14:paraId="1DA319DE" w14:textId="50B9BCCF" w:rsidR="00C07835" w:rsidRDefault="00C07835" w:rsidP="002F1AEC">
      <w:pPr>
        <w:pStyle w:val="2"/>
        <w:widowControl w:val="0"/>
        <w:adjustRightInd/>
        <w:spacing w:before="120" w:after="120" w:line="415" w:lineRule="auto"/>
        <w:ind w:left="578" w:hanging="578"/>
        <w:jc w:val="both"/>
      </w:pPr>
      <w:r>
        <w:t>Beam indication</w:t>
      </w:r>
    </w:p>
    <w:p w14:paraId="008D1FA7" w14:textId="429924D6" w:rsidR="003C7726" w:rsidRPr="003C7726" w:rsidRDefault="003C7726" w:rsidP="003C7726">
      <w:pPr>
        <w:pStyle w:val="3"/>
      </w:pPr>
      <w:r>
        <w:rPr>
          <w:rFonts w:hint="eastAsia"/>
          <w:lang w:val="en-US"/>
        </w:rPr>
        <w:t>C</w:t>
      </w:r>
      <w:r>
        <w:rPr>
          <w:lang w:val="en-US"/>
        </w:rPr>
        <w:t xml:space="preserve">ORESET#0 and </w:t>
      </w:r>
      <w:r>
        <w:t>CORESET</w:t>
      </w:r>
      <w:r>
        <w:rPr>
          <w:rFonts w:hint="eastAsia"/>
        </w:rPr>
        <w:t>s</w:t>
      </w:r>
      <w:r>
        <w:t xml:space="preserve"> (other than CORESET#0) associated with </w:t>
      </w:r>
      <w:r>
        <w:rPr>
          <w:rFonts w:hint="eastAsia"/>
        </w:rPr>
        <w:t>CSS sets</w:t>
      </w:r>
    </w:p>
    <w:p w14:paraId="7C1F491F" w14:textId="455DA9F1" w:rsidR="00077D06" w:rsidRDefault="00CC5276" w:rsidP="00C558C0">
      <w:pPr>
        <w:jc w:val="both"/>
      </w:pPr>
      <w:r>
        <w:t>Beam indication mechanism based o</w:t>
      </w:r>
      <w:r w:rsidR="00622778">
        <w:t xml:space="preserve">n Rel-17 unified TCI framework was agreed to use TCI state index. A leftover issue is </w:t>
      </w:r>
      <w:bookmarkStart w:id="13" w:name="OLE_LINK140"/>
      <w:r w:rsidR="00622778">
        <w:rPr>
          <w:rFonts w:hint="eastAsia"/>
          <w:color w:val="000000" w:themeColor="text1"/>
          <w:lang w:val="en-US"/>
        </w:rPr>
        <w:t>C</w:t>
      </w:r>
      <w:r w:rsidR="00622778">
        <w:rPr>
          <w:color w:val="000000" w:themeColor="text1"/>
          <w:lang w:val="en-US"/>
        </w:rPr>
        <w:t xml:space="preserve">ORESET#0 and </w:t>
      </w:r>
      <w:r w:rsidR="00622778">
        <w:rPr>
          <w:rFonts w:eastAsia="宋体"/>
          <w:color w:val="000000" w:themeColor="text1"/>
          <w:lang w:eastAsia="zh-CN"/>
        </w:rPr>
        <w:t>CORESET</w:t>
      </w:r>
      <w:r w:rsidR="00622778">
        <w:rPr>
          <w:rFonts w:eastAsia="宋体" w:hint="eastAsia"/>
          <w:color w:val="000000" w:themeColor="text1"/>
          <w:lang w:eastAsia="zh-CN"/>
        </w:rPr>
        <w:t>s</w:t>
      </w:r>
      <w:r w:rsidR="00622778">
        <w:rPr>
          <w:rFonts w:eastAsia="宋体"/>
          <w:color w:val="000000" w:themeColor="text1"/>
          <w:lang w:eastAsia="zh-CN"/>
        </w:rPr>
        <w:t xml:space="preserve"> (other than CORESET#0) associated with </w:t>
      </w:r>
      <w:r w:rsidR="00622778">
        <w:rPr>
          <w:rFonts w:hint="eastAsia"/>
          <w:color w:val="000000" w:themeColor="text1"/>
        </w:rPr>
        <w:t>Type 0A/1/2-PDCCH CSS sets</w:t>
      </w:r>
      <w:bookmarkEnd w:id="13"/>
      <w:r w:rsidR="00622778">
        <w:rPr>
          <w:color w:val="000000" w:themeColor="text1"/>
        </w:rPr>
        <w:t xml:space="preserve">. </w:t>
      </w:r>
    </w:p>
    <w:tbl>
      <w:tblPr>
        <w:tblStyle w:val="aff"/>
        <w:tblW w:w="0" w:type="auto"/>
        <w:tblLook w:val="04A0" w:firstRow="1" w:lastRow="0" w:firstColumn="1" w:lastColumn="0" w:noHBand="0" w:noVBand="1"/>
      </w:tblPr>
      <w:tblGrid>
        <w:gridCol w:w="9630"/>
      </w:tblGrid>
      <w:tr w:rsidR="000E51D0" w:rsidRPr="008231FC" w14:paraId="4506EF62" w14:textId="77777777" w:rsidTr="000E51D0">
        <w:tc>
          <w:tcPr>
            <w:tcW w:w="9630" w:type="dxa"/>
          </w:tcPr>
          <w:p w14:paraId="23AC8AAA" w14:textId="77777777" w:rsidR="008E5992" w:rsidRPr="0081290C" w:rsidRDefault="008E5992" w:rsidP="00C558C0">
            <w:pPr>
              <w:pStyle w:val="aff8"/>
              <w:tabs>
                <w:tab w:val="left" w:pos="720"/>
                <w:tab w:val="left" w:pos="1440"/>
                <w:tab w:val="left" w:pos="2160"/>
              </w:tabs>
              <w:snapToGrid w:val="0"/>
              <w:ind w:leftChars="0" w:left="0"/>
              <w:jc w:val="both"/>
              <w:rPr>
                <w:i/>
                <w:highlight w:val="green"/>
              </w:rPr>
            </w:pPr>
            <w:r w:rsidRPr="0081290C">
              <w:rPr>
                <w:rFonts w:eastAsia="等线"/>
                <w:i/>
                <w:highlight w:val="green"/>
                <w:lang w:eastAsia="zh-CN"/>
              </w:rPr>
              <w:t>Agreement</w:t>
            </w:r>
          </w:p>
          <w:p w14:paraId="2D506D22" w14:textId="77777777" w:rsidR="008E5992" w:rsidRPr="0081290C" w:rsidRDefault="008E5992" w:rsidP="00C558C0">
            <w:pPr>
              <w:pStyle w:val="aff8"/>
              <w:numPr>
                <w:ilvl w:val="0"/>
                <w:numId w:val="27"/>
              </w:numPr>
              <w:tabs>
                <w:tab w:val="left" w:pos="720"/>
              </w:tabs>
              <w:snapToGrid w:val="0"/>
              <w:spacing w:after="0"/>
              <w:ind w:leftChars="0"/>
              <w:jc w:val="both"/>
              <w:rPr>
                <w:i/>
                <w:lang w:val="en-US"/>
              </w:rPr>
            </w:pPr>
            <w:r w:rsidRPr="0081290C">
              <w:rPr>
                <w:i/>
              </w:rPr>
              <w:t xml:space="preserve">Adopt Alt.2 for beam indication of target cell(s) and TCI state activation for candidate cell(s) (if supported) , </w:t>
            </w:r>
          </w:p>
          <w:p w14:paraId="01776EDF" w14:textId="77777777" w:rsidR="008E5992" w:rsidRPr="0081290C" w:rsidRDefault="008E5992" w:rsidP="00C558C0">
            <w:pPr>
              <w:pStyle w:val="aff8"/>
              <w:numPr>
                <w:ilvl w:val="1"/>
                <w:numId w:val="27"/>
              </w:numPr>
              <w:tabs>
                <w:tab w:val="left" w:pos="1440"/>
              </w:tabs>
              <w:snapToGrid w:val="0"/>
              <w:spacing w:after="0"/>
              <w:ind w:leftChars="0"/>
              <w:jc w:val="both"/>
              <w:rPr>
                <w:i/>
                <w:lang w:val="en-US"/>
              </w:rPr>
            </w:pPr>
            <w:r w:rsidRPr="0081290C">
              <w:rPr>
                <w:i/>
                <w:lang w:val="en-US"/>
              </w:rPr>
              <w:lastRenderedPageBreak/>
              <w:t>Alt. 1: By indicating RS identifier, i.e. mapping between RS identifier and Rel-17 unified TCI state is done by a UE</w:t>
            </w:r>
          </w:p>
          <w:p w14:paraId="5DE5195B" w14:textId="77777777" w:rsidR="008E5992" w:rsidRPr="0081290C" w:rsidRDefault="008E5992" w:rsidP="00C558C0">
            <w:pPr>
              <w:pStyle w:val="aff8"/>
              <w:numPr>
                <w:ilvl w:val="1"/>
                <w:numId w:val="27"/>
              </w:numPr>
              <w:tabs>
                <w:tab w:val="left" w:pos="1440"/>
              </w:tabs>
              <w:snapToGrid w:val="0"/>
              <w:spacing w:after="0"/>
              <w:ind w:leftChars="0"/>
              <w:jc w:val="both"/>
              <w:rPr>
                <w:i/>
              </w:rPr>
            </w:pPr>
            <w:r w:rsidRPr="0081290C">
              <w:rPr>
                <w:i/>
                <w:lang w:val="en-US"/>
              </w:rPr>
              <w:t>Alt. 2: By indicating Rel-17 TCI state index</w:t>
            </w:r>
          </w:p>
          <w:p w14:paraId="69800DC6" w14:textId="77777777" w:rsidR="00CC5276" w:rsidRPr="0081290C" w:rsidRDefault="008E5992" w:rsidP="00C558C0">
            <w:pPr>
              <w:jc w:val="both"/>
              <w:rPr>
                <w:i/>
              </w:rPr>
            </w:pPr>
            <w:r w:rsidRPr="0081290C">
              <w:rPr>
                <w:i/>
              </w:rPr>
              <w:t xml:space="preserve"> </w:t>
            </w:r>
          </w:p>
          <w:p w14:paraId="5FA62DA3" w14:textId="45CD2137" w:rsidR="000E51D0" w:rsidRPr="0081290C" w:rsidRDefault="000E51D0" w:rsidP="00C558C0">
            <w:pPr>
              <w:jc w:val="both"/>
              <w:rPr>
                <w:i/>
              </w:rPr>
            </w:pPr>
            <w:r w:rsidRPr="0081290C">
              <w:rPr>
                <w:i/>
              </w:rPr>
              <w:t xml:space="preserve">[FL Proposal 5-3-1a-v5 </w:t>
            </w:r>
            <w:r w:rsidRPr="0081290C">
              <w:rPr>
                <w:i/>
                <w:highlight w:val="cyan"/>
              </w:rPr>
              <w:t>for email approval</w:t>
            </w:r>
            <w:r w:rsidRPr="0081290C">
              <w:rPr>
                <w:i/>
              </w:rPr>
              <w:t>]</w:t>
            </w:r>
          </w:p>
          <w:p w14:paraId="0531B2CA" w14:textId="77777777" w:rsidR="000E51D0" w:rsidRPr="0081290C" w:rsidRDefault="000E51D0" w:rsidP="00C558C0">
            <w:pPr>
              <w:pStyle w:val="aff8"/>
              <w:numPr>
                <w:ilvl w:val="0"/>
                <w:numId w:val="25"/>
              </w:numPr>
              <w:snapToGrid w:val="0"/>
              <w:spacing w:after="100" w:afterAutospacing="1"/>
              <w:ind w:leftChars="0"/>
              <w:jc w:val="both"/>
              <w:rPr>
                <w:i/>
                <w:color w:val="000000" w:themeColor="text1"/>
              </w:rPr>
            </w:pPr>
            <w:bookmarkStart w:id="14" w:name="OLE_LINK4"/>
            <w:r w:rsidRPr="0081290C">
              <w:rPr>
                <w:i/>
                <w:color w:val="000000" w:themeColor="text1"/>
              </w:rPr>
              <w:t xml:space="preserve">For beam indication of target cell based on Rel-17 unified TCI framework applied to </w:t>
            </w:r>
            <w:r w:rsidRPr="0081290C">
              <w:rPr>
                <w:i/>
                <w:color w:val="000000" w:themeColor="text1"/>
                <w:lang w:val="en-US"/>
              </w:rPr>
              <w:t xml:space="preserve">CORESET#0 and </w:t>
            </w:r>
            <w:r w:rsidRPr="0081290C">
              <w:rPr>
                <w:rFonts w:eastAsia="宋体"/>
                <w:i/>
                <w:color w:val="000000" w:themeColor="text1"/>
                <w:lang w:eastAsia="zh-CN"/>
              </w:rPr>
              <w:t xml:space="preserve">CORESETs (other than CORESET#0) associated with </w:t>
            </w:r>
            <w:r w:rsidRPr="0081290C">
              <w:rPr>
                <w:i/>
                <w:color w:val="000000" w:themeColor="text1"/>
              </w:rPr>
              <w:t xml:space="preserve">Type 0A/1/2-PDCCH CSS sets where no TCI state activation is provided, </w:t>
            </w:r>
            <w:r w:rsidRPr="0081290C">
              <w:rPr>
                <w:rFonts w:eastAsia="宋体"/>
                <w:i/>
                <w:color w:val="000000" w:themeColor="text1"/>
                <w:lang w:val="en-US" w:eastAsia="zh-CN"/>
              </w:rPr>
              <w:t>followUnifiedTCI-state is not enabled or not provided</w:t>
            </w:r>
            <w:r w:rsidRPr="0081290C">
              <w:rPr>
                <w:i/>
                <w:color w:val="000000" w:themeColor="text1"/>
              </w:rPr>
              <w:t>, the following alternatives are further studied, and one alternative will be down-selected at RAN1#113.</w:t>
            </w:r>
            <w:r w:rsidRPr="008231FC">
              <w:rPr>
                <w:i/>
                <w:iCs/>
                <w:color w:val="000000" w:themeColor="text1"/>
              </w:rPr>
              <w:t xml:space="preserve"> </w:t>
            </w:r>
          </w:p>
          <w:p w14:paraId="5EA4AA6D" w14:textId="77777777" w:rsidR="000E51D0" w:rsidRPr="0081290C" w:rsidRDefault="000E51D0" w:rsidP="00C558C0">
            <w:pPr>
              <w:pStyle w:val="aff8"/>
              <w:numPr>
                <w:ilvl w:val="1"/>
                <w:numId w:val="25"/>
              </w:numPr>
              <w:snapToGrid w:val="0"/>
              <w:spacing w:after="100" w:afterAutospacing="1"/>
              <w:ind w:leftChars="0"/>
              <w:jc w:val="both"/>
              <w:rPr>
                <w:i/>
                <w:color w:val="000000" w:themeColor="text1"/>
                <w:lang w:val="en-US"/>
              </w:rPr>
            </w:pPr>
            <w:r w:rsidRPr="0081290C">
              <w:rPr>
                <w:i/>
                <w:color w:val="000000" w:themeColor="text1"/>
              </w:rPr>
              <w:t>Alt.1: Follow the indicated TCI state until a new TCI state is configured or activated by the target cell</w:t>
            </w:r>
          </w:p>
          <w:bookmarkEnd w:id="14"/>
          <w:p w14:paraId="6E2AF688" w14:textId="77777777" w:rsidR="000E51D0" w:rsidRPr="0081290C" w:rsidRDefault="000E51D0" w:rsidP="00C558C0">
            <w:pPr>
              <w:pStyle w:val="aff8"/>
              <w:numPr>
                <w:ilvl w:val="1"/>
                <w:numId w:val="25"/>
              </w:numPr>
              <w:snapToGrid w:val="0"/>
              <w:spacing w:after="100" w:afterAutospacing="1"/>
              <w:ind w:leftChars="0"/>
              <w:jc w:val="both"/>
              <w:rPr>
                <w:i/>
                <w:color w:val="000000" w:themeColor="text1"/>
                <w:lang w:val="en-US"/>
              </w:rPr>
            </w:pPr>
            <w:r w:rsidRPr="0081290C">
              <w:rPr>
                <w:i/>
                <w:color w:val="000000" w:themeColor="text1"/>
              </w:rPr>
              <w:t xml:space="preserve">Alt.4: No new behaviour is introduced on top of Rel-17 unified TCI </w:t>
            </w:r>
          </w:p>
          <w:p w14:paraId="042CC825" w14:textId="02394613" w:rsidR="00D6745A" w:rsidRPr="0081290C" w:rsidRDefault="000E51D0" w:rsidP="00C558C0">
            <w:pPr>
              <w:pStyle w:val="aff8"/>
              <w:numPr>
                <w:ilvl w:val="2"/>
                <w:numId w:val="25"/>
              </w:numPr>
              <w:snapToGrid w:val="0"/>
              <w:spacing w:after="100" w:afterAutospacing="1"/>
              <w:ind w:leftChars="0"/>
              <w:jc w:val="both"/>
              <w:rPr>
                <w:i/>
                <w:color w:val="000000" w:themeColor="text1"/>
                <w:lang w:val="en-US"/>
              </w:rPr>
            </w:pPr>
            <w:r w:rsidRPr="0081290C">
              <w:rPr>
                <w:i/>
                <w:color w:val="000000" w:themeColor="text1"/>
                <w:lang w:val="en-US"/>
              </w:rPr>
              <w:t xml:space="preserve">i.e. </w:t>
            </w:r>
            <w:r w:rsidRPr="0081290C">
              <w:rPr>
                <w:i/>
                <w:color w:val="000000" w:themeColor="text1"/>
              </w:rPr>
              <w:t xml:space="preserve">the network schedules transmission only based on the CORESET following Rel-17 unified TCI, and/or </w:t>
            </w:r>
            <w:r w:rsidRPr="0081290C">
              <w:rPr>
                <w:i/>
                <w:color w:val="000000" w:themeColor="text1"/>
                <w:lang w:val="en-US"/>
              </w:rPr>
              <w:t>the corresponding beam information would be configured by the target cell after cell switch</w:t>
            </w:r>
          </w:p>
        </w:tc>
      </w:tr>
    </w:tbl>
    <w:p w14:paraId="100D1A0C" w14:textId="7169FA17" w:rsidR="000E51D0" w:rsidRDefault="000E51D0" w:rsidP="00C558C0">
      <w:pPr>
        <w:jc w:val="both"/>
      </w:pPr>
    </w:p>
    <w:p w14:paraId="341B7B37" w14:textId="5927EFA7" w:rsidR="00E40D83" w:rsidRDefault="00C71024" w:rsidP="00C558C0">
      <w:pPr>
        <w:jc w:val="both"/>
      </w:pPr>
      <w:r>
        <w:t>The issue is</w:t>
      </w:r>
      <w:r w:rsidR="00714C41">
        <w:t xml:space="preserve"> UE behaviours, such as how to monitoring CORESET0 and other CSS associated CORESET,</w:t>
      </w:r>
      <w:r>
        <w:t xml:space="preserve"> if we go with Alt 4 and it is interpreted as </w:t>
      </w:r>
      <w:r w:rsidR="007E2DA4">
        <w:t>n</w:t>
      </w:r>
      <w:r w:rsidR="00E40D83" w:rsidRPr="00251175">
        <w:t>etwork schedules transmission only based on the CORESET following Rel-1</w:t>
      </w:r>
      <w:r w:rsidR="00714C41">
        <w:t xml:space="preserve">7 unified TCI after cell switch. Clearly, UE have to monitoring those CORESETs, if they are configured with search space sets. </w:t>
      </w:r>
      <w:r w:rsidR="009A46F3">
        <w:t xml:space="preserve">The result is </w:t>
      </w:r>
      <w:r w:rsidR="00714C41">
        <w:t>UE cannot monitoring those CORESETs</w:t>
      </w:r>
      <w:r w:rsidR="009A46F3">
        <w:t xml:space="preserve"> although UE is required to do</w:t>
      </w:r>
      <w:r w:rsidR="00714C41">
        <w:t xml:space="preserve">, </w:t>
      </w:r>
      <w:r w:rsidR="009A46F3">
        <w:t>since</w:t>
      </w:r>
      <w:r w:rsidR="00714C41">
        <w:t xml:space="preserve"> there </w:t>
      </w:r>
      <w:r w:rsidR="001D5B1B">
        <w:t xml:space="preserve">are </w:t>
      </w:r>
      <w:r w:rsidR="00714C41">
        <w:t>n</w:t>
      </w:r>
      <w:r w:rsidR="007E2DA4">
        <w:t>o TCI assumptions, even if n</w:t>
      </w:r>
      <w:r w:rsidR="007E2DA4" w:rsidRPr="00251175">
        <w:t>etwork schedules transmission only based on the CORESET following Rel-1</w:t>
      </w:r>
      <w:r w:rsidR="007E2DA4">
        <w:t xml:space="preserve">7 unified TCI after cell switch. </w:t>
      </w:r>
      <w:r w:rsidR="008C3D1B">
        <w:t xml:space="preserve">In summary, we think Alt 4 is also not a complete solution. As many companies commented, Alt 1 is a new behaviour, it requires significant impacts to CORESET’s TCI state. </w:t>
      </w:r>
      <w:r w:rsidR="004B0375">
        <w:t xml:space="preserve">But it can work according to this assumption. </w:t>
      </w:r>
      <w:r w:rsidR="009A5500">
        <w:t>So we support Alt 1 to have a smooth PDCCH monitoring for CORESET0 and other CSS associated CORESETs.</w:t>
      </w:r>
    </w:p>
    <w:p w14:paraId="6C21CB2F" w14:textId="01905315" w:rsidR="00FD29F1" w:rsidRDefault="00FD29F1" w:rsidP="00C558C0">
      <w:pPr>
        <w:jc w:val="both"/>
      </w:pPr>
      <w:r>
        <w:t>For the types of common search space, the l</w:t>
      </w:r>
      <w:r w:rsidR="00AC503C">
        <w:t xml:space="preserve">egacy definition can be reused, which is </w:t>
      </w:r>
      <w:r w:rsidR="00AC503C" w:rsidRPr="00F415B1">
        <w:t xml:space="preserve">associated </w:t>
      </w:r>
      <w:r w:rsidR="00AC503C" w:rsidRPr="00037243">
        <w:t>at least</w:t>
      </w:r>
      <w:r w:rsidR="00AC503C">
        <w:t xml:space="preserve"> </w:t>
      </w:r>
      <w:r w:rsidR="00AC503C" w:rsidRPr="00F415B1">
        <w:t>with CSS set</w:t>
      </w:r>
      <w:r w:rsidR="00AC503C">
        <w:t>s</w:t>
      </w:r>
      <w:r w:rsidR="00AC503C" w:rsidRPr="00F415B1">
        <w:t xml:space="preserve"> other than Type3-PDCCH C</w:t>
      </w:r>
      <w:r w:rsidR="00AC503C">
        <w:t>S</w:t>
      </w:r>
      <w:r w:rsidR="00AC503C" w:rsidRPr="00F415B1">
        <w:t>S set</w:t>
      </w:r>
      <w:r w:rsidR="00AC503C">
        <w:t>s.</w:t>
      </w:r>
    </w:p>
    <w:p w14:paraId="0CD4D046" w14:textId="293BBDDE" w:rsidR="004B0375" w:rsidRPr="004B0375" w:rsidRDefault="004B0375" w:rsidP="00C558C0">
      <w:pPr>
        <w:pStyle w:val="aff8"/>
        <w:numPr>
          <w:ilvl w:val="0"/>
          <w:numId w:val="26"/>
        </w:numPr>
        <w:snapToGrid w:val="0"/>
        <w:ind w:leftChars="0"/>
        <w:jc w:val="both"/>
        <w:rPr>
          <w:b/>
          <w:i/>
          <w:color w:val="000000" w:themeColor="text1"/>
        </w:rPr>
      </w:pPr>
      <w:r w:rsidRPr="004B0375">
        <w:rPr>
          <w:b/>
          <w:i/>
          <w:color w:val="000000" w:themeColor="text1"/>
        </w:rPr>
        <w:t xml:space="preserve">For beam indication of target cell based on Rel-17 unified TCI framework applied to </w:t>
      </w:r>
      <w:r w:rsidRPr="004B0375">
        <w:rPr>
          <w:b/>
          <w:i/>
          <w:color w:val="000000" w:themeColor="text1"/>
          <w:lang w:val="en-US"/>
        </w:rPr>
        <w:t xml:space="preserve">CORESET#0 and </w:t>
      </w:r>
      <w:r w:rsidRPr="004B0375">
        <w:rPr>
          <w:rFonts w:eastAsia="宋体"/>
          <w:b/>
          <w:i/>
          <w:color w:val="000000" w:themeColor="text1"/>
          <w:lang w:eastAsia="zh-CN"/>
        </w:rPr>
        <w:t xml:space="preserve">CORESETs (other than CORESET#0) associated </w:t>
      </w:r>
      <w:r w:rsidRPr="00AC503C">
        <w:rPr>
          <w:rFonts w:eastAsia="宋体"/>
          <w:b/>
          <w:i/>
          <w:strike/>
          <w:color w:val="FF0000"/>
          <w:lang w:eastAsia="zh-CN"/>
        </w:rPr>
        <w:t xml:space="preserve">with </w:t>
      </w:r>
      <w:r w:rsidR="00AC503C" w:rsidRPr="00AC503C">
        <w:rPr>
          <w:b/>
          <w:i/>
          <w:strike/>
          <w:color w:val="FF0000"/>
        </w:rPr>
        <w:t>Type 0A/1/2-PDCCH CSS sets</w:t>
      </w:r>
      <w:r w:rsidR="00AC503C" w:rsidRPr="00AC503C">
        <w:rPr>
          <w:b/>
          <w:i/>
          <w:color w:val="FF0000"/>
        </w:rPr>
        <w:t xml:space="preserve"> </w:t>
      </w:r>
      <w:r w:rsidR="00AC503C" w:rsidRPr="00AC503C">
        <w:rPr>
          <w:b/>
          <w:i/>
          <w:color w:val="000000" w:themeColor="text1"/>
        </w:rPr>
        <w:t xml:space="preserve">at least with CSS sets other than Type3-PDCCH CSS sets </w:t>
      </w:r>
      <w:r w:rsidRPr="004B0375">
        <w:rPr>
          <w:b/>
          <w:i/>
          <w:color w:val="000000" w:themeColor="text1"/>
        </w:rPr>
        <w:t xml:space="preserve">where no TCI state activation is provided, </w:t>
      </w:r>
      <w:r w:rsidRPr="004B0375">
        <w:rPr>
          <w:rFonts w:eastAsia="宋体"/>
          <w:b/>
          <w:i/>
          <w:color w:val="000000" w:themeColor="text1"/>
          <w:lang w:val="en-US" w:eastAsia="zh-CN"/>
        </w:rPr>
        <w:t>followUnifiedTCI-state is not enabled or not provided</w:t>
      </w:r>
      <w:r w:rsidRPr="004B0375">
        <w:rPr>
          <w:b/>
          <w:i/>
          <w:color w:val="000000" w:themeColor="text1"/>
        </w:rPr>
        <w:t>,</w:t>
      </w:r>
      <w:r w:rsidRPr="004B0375">
        <w:rPr>
          <w:b/>
          <w:i/>
          <w:iCs/>
          <w:color w:val="000000" w:themeColor="text1"/>
        </w:rPr>
        <w:t xml:space="preserve"> </w:t>
      </w:r>
    </w:p>
    <w:p w14:paraId="5B46B956" w14:textId="3015B990" w:rsidR="004B0375" w:rsidRPr="003C7726" w:rsidRDefault="004B0375" w:rsidP="00C558C0">
      <w:pPr>
        <w:pStyle w:val="aff8"/>
        <w:numPr>
          <w:ilvl w:val="1"/>
          <w:numId w:val="26"/>
        </w:numPr>
        <w:snapToGrid w:val="0"/>
        <w:ind w:leftChars="0"/>
        <w:jc w:val="both"/>
        <w:rPr>
          <w:b/>
          <w:i/>
          <w:color w:val="000000" w:themeColor="text1"/>
          <w:lang w:val="en-US"/>
        </w:rPr>
      </w:pPr>
      <w:r w:rsidRPr="004B0375">
        <w:rPr>
          <w:b/>
          <w:i/>
          <w:color w:val="000000" w:themeColor="text1"/>
        </w:rPr>
        <w:t>Alt.1: Follow the indicated TCI state until a new TCI state is configured or activated by the target cell</w:t>
      </w:r>
    </w:p>
    <w:p w14:paraId="4C7CA2B4" w14:textId="4E462E2F" w:rsidR="003C7726" w:rsidRDefault="003C7726" w:rsidP="003C7726">
      <w:pPr>
        <w:pStyle w:val="3"/>
        <w:rPr>
          <w:lang w:val="en-US"/>
        </w:rPr>
      </w:pPr>
      <w:r w:rsidRPr="003C7726">
        <w:rPr>
          <w:lang w:val="en-US"/>
        </w:rPr>
        <w:t>TCI states used during and after cell</w:t>
      </w:r>
      <w:r>
        <w:rPr>
          <w:lang w:val="en-US"/>
        </w:rPr>
        <w:t xml:space="preserve"> </w:t>
      </w:r>
      <w:r w:rsidRPr="003C7726">
        <w:rPr>
          <w:lang w:val="en-US"/>
        </w:rPr>
        <w:t xml:space="preserve">switch </w:t>
      </w:r>
      <w:r>
        <w:rPr>
          <w:lang w:val="en-US"/>
        </w:rPr>
        <w:t>command for RACH based LTM</w:t>
      </w:r>
    </w:p>
    <w:p w14:paraId="14C4355F" w14:textId="6F70C012" w:rsidR="003C7726" w:rsidRDefault="007E1445" w:rsidP="003C7726">
      <w:pPr>
        <w:jc w:val="both"/>
      </w:pPr>
      <w:r>
        <w:t>A</w:t>
      </w:r>
      <w:r w:rsidR="003C7726" w:rsidRPr="001F7BEE">
        <w:t xml:space="preserve"> field to indicate 1 joint or 1 pair of UL and DL unified TCI State in</w:t>
      </w:r>
      <w:r w:rsidR="003C7726">
        <w:t>dex for the target cell field should</w:t>
      </w:r>
      <w:r w:rsidR="003C7726" w:rsidRPr="001F7BEE">
        <w:t xml:space="preserve"> always present in the cell switch command</w:t>
      </w:r>
      <w:r w:rsidR="003C7726">
        <w:t xml:space="preserve">, no matter RACH-based or RACH-less handover scenario after cell switch command. </w:t>
      </w:r>
      <w:r w:rsidR="008F2B8F">
        <w:t xml:space="preserve">During the RACH procedure, UE should following the SSB of the indicated TCI-state in the CSC as legacy rule. But after RACH procedure, </w:t>
      </w:r>
      <w:r w:rsidR="003C7726">
        <w:t xml:space="preserve">from the beam indication in cell switching command to </w:t>
      </w:r>
      <w:r w:rsidR="008F2B8F">
        <w:t xml:space="preserve">finish </w:t>
      </w:r>
      <w:r w:rsidR="003C7726">
        <w:t>RACH procedure, the time domain gap is not too long to change. So there is low probability to change the beam according to RACH procedure</w:t>
      </w:r>
      <w:r w:rsidR="008F2B8F">
        <w:t xml:space="preserve"> after RACH procedure</w:t>
      </w:r>
      <w:r w:rsidR="003C7726">
        <w:t xml:space="preserve">. Last, RACH procedure is with SSB, which is wide beam. So it has lower beam refinement performance than TRS. It is not sure whether it is better than the original beam indication. </w:t>
      </w:r>
      <w:r w:rsidR="002B5070">
        <w:t xml:space="preserve">Thus, </w:t>
      </w:r>
      <w:r w:rsidR="008F2B8F">
        <w:t xml:space="preserve">we support Opt 5. </w:t>
      </w:r>
    </w:p>
    <w:p w14:paraId="5542B3A9" w14:textId="70B7D7E4" w:rsidR="002B5070" w:rsidRPr="008F2B8F" w:rsidRDefault="002B5070" w:rsidP="008F2B8F">
      <w:pPr>
        <w:pStyle w:val="aff8"/>
        <w:numPr>
          <w:ilvl w:val="0"/>
          <w:numId w:val="36"/>
        </w:numPr>
        <w:ind w:leftChars="0"/>
        <w:jc w:val="both"/>
      </w:pPr>
      <w:r w:rsidRPr="008F2B8F">
        <w:t xml:space="preserve">During RACH procedure, a UE follows the SSB of the indicated TCI-state in the cell switch command. </w:t>
      </w:r>
    </w:p>
    <w:p w14:paraId="774AFCE9" w14:textId="28CC0AAD" w:rsidR="002B5070" w:rsidRPr="008F2B8F" w:rsidRDefault="008F2B8F" w:rsidP="008F2B8F">
      <w:pPr>
        <w:pStyle w:val="aff8"/>
        <w:numPr>
          <w:ilvl w:val="0"/>
          <w:numId w:val="36"/>
        </w:numPr>
        <w:ind w:leftChars="0"/>
        <w:jc w:val="both"/>
      </w:pPr>
      <w:r>
        <w:t>A</w:t>
      </w:r>
      <w:r w:rsidR="002B5070" w:rsidRPr="008F2B8F">
        <w:t>fter RACH procedure until a new TCI state is indicated by the target cell, a UE follows the indicated TCI-state in the cell switch command</w:t>
      </w:r>
    </w:p>
    <w:p w14:paraId="27FA67B4" w14:textId="20C3208D" w:rsidR="003C7726" w:rsidRDefault="003C7726" w:rsidP="003C7726">
      <w:pPr>
        <w:pStyle w:val="aff8"/>
        <w:numPr>
          <w:ilvl w:val="0"/>
          <w:numId w:val="26"/>
        </w:numPr>
        <w:ind w:leftChars="0"/>
        <w:jc w:val="both"/>
        <w:rPr>
          <w:b/>
          <w:i/>
        </w:rPr>
      </w:pPr>
      <w:r w:rsidRPr="00B963F6">
        <w:rPr>
          <w:b/>
          <w:i/>
        </w:rPr>
        <w:t>In R18 LTM and when beam is indicated together with cell switch command, for the scenario where the UE needs to perform RACH-based handover after receiving cell switch command,</w:t>
      </w:r>
    </w:p>
    <w:p w14:paraId="53C8B8E1" w14:textId="77777777" w:rsidR="008F2B8F" w:rsidRPr="008F2B8F" w:rsidRDefault="008F2B8F" w:rsidP="008F2B8F">
      <w:pPr>
        <w:pStyle w:val="aff8"/>
        <w:numPr>
          <w:ilvl w:val="0"/>
          <w:numId w:val="35"/>
        </w:numPr>
        <w:ind w:leftChars="0"/>
        <w:jc w:val="both"/>
        <w:rPr>
          <w:b/>
          <w:i/>
        </w:rPr>
      </w:pPr>
      <w:r w:rsidRPr="008F2B8F">
        <w:rPr>
          <w:b/>
          <w:i/>
        </w:rPr>
        <w:t xml:space="preserve">During RACH procedure, a UE follows the SSB of the indicated TCI-state in the cell switch command. </w:t>
      </w:r>
    </w:p>
    <w:p w14:paraId="56698261" w14:textId="77777777" w:rsidR="008F2B8F" w:rsidRPr="008F2B8F" w:rsidRDefault="008F2B8F" w:rsidP="008F2B8F">
      <w:pPr>
        <w:pStyle w:val="aff8"/>
        <w:numPr>
          <w:ilvl w:val="0"/>
          <w:numId w:val="35"/>
        </w:numPr>
        <w:ind w:leftChars="0"/>
        <w:jc w:val="both"/>
        <w:rPr>
          <w:b/>
          <w:i/>
        </w:rPr>
      </w:pPr>
      <w:r w:rsidRPr="008F2B8F">
        <w:rPr>
          <w:b/>
          <w:i/>
        </w:rPr>
        <w:t>After RACH procedure until a new TCI state is indicated by the target cell, a UE follows the indicated TCI-state in the cell switch command</w:t>
      </w:r>
    </w:p>
    <w:p w14:paraId="1E8D905B" w14:textId="0A8BFC27" w:rsidR="008F2B8F" w:rsidRPr="008F2B8F" w:rsidRDefault="008F2B8F" w:rsidP="008F2B8F">
      <w:pPr>
        <w:pStyle w:val="3"/>
        <w:rPr>
          <w:lang w:val="en-US"/>
        </w:rPr>
      </w:pPr>
      <w:r w:rsidRPr="008F2B8F">
        <w:rPr>
          <w:lang w:val="en-US"/>
        </w:rPr>
        <w:lastRenderedPageBreak/>
        <w:t>Association of TCI state indica</w:t>
      </w:r>
      <w:r>
        <w:rPr>
          <w:lang w:val="en-US"/>
        </w:rPr>
        <w:t>tion in the cell switch command</w:t>
      </w:r>
    </w:p>
    <w:p w14:paraId="1FDF3F2E" w14:textId="59174CE5" w:rsidR="008B4CAB" w:rsidRPr="008F2B8F" w:rsidRDefault="008F2B8F" w:rsidP="00186BCF">
      <w:pPr>
        <w:jc w:val="both"/>
        <w:rPr>
          <w:lang w:val="en-US" w:eastAsia="ja-JP"/>
        </w:rPr>
      </w:pPr>
      <w:r>
        <w:rPr>
          <w:lang w:val="en-US" w:eastAsia="ja-JP"/>
        </w:rPr>
        <w:t xml:space="preserve">One open issue is the TCI state indication in the cell switch command. </w:t>
      </w:r>
      <w:r w:rsidR="00B74502">
        <w:rPr>
          <w:lang w:val="en-US" w:eastAsia="ja-JP"/>
        </w:rPr>
        <w:t>We support the following proposal, also open to reduce UE complexity to manage two TCI state pool. The method can associate the two TCI state pool with same TCI state list, or TCI states in LTM TCI state pool is only a subset of BM TCI state pool, but with totally same TCI state configuration.</w:t>
      </w:r>
    </w:p>
    <w:tbl>
      <w:tblPr>
        <w:tblStyle w:val="aff"/>
        <w:tblW w:w="0" w:type="auto"/>
        <w:tblLook w:val="04A0" w:firstRow="1" w:lastRow="0" w:firstColumn="1" w:lastColumn="0" w:noHBand="0" w:noVBand="1"/>
      </w:tblPr>
      <w:tblGrid>
        <w:gridCol w:w="9630"/>
      </w:tblGrid>
      <w:tr w:rsidR="00DE0490" w14:paraId="1BDBE16F" w14:textId="77777777" w:rsidTr="00DE0490">
        <w:tc>
          <w:tcPr>
            <w:tcW w:w="9630" w:type="dxa"/>
          </w:tcPr>
          <w:p w14:paraId="621931EC" w14:textId="77777777" w:rsidR="00A43028" w:rsidRPr="00742DAA" w:rsidRDefault="00A43028" w:rsidP="00186BCF">
            <w:pPr>
              <w:jc w:val="both"/>
              <w:rPr>
                <w:b/>
                <w:bCs/>
              </w:rPr>
            </w:pPr>
            <w:bookmarkStart w:id="15" w:name="OLE_LINK145"/>
            <w:r w:rsidRPr="00742DAA">
              <w:rPr>
                <w:b/>
                <w:bCs/>
              </w:rPr>
              <w:t>[FL Proposal 5-4-1c-v4]</w:t>
            </w:r>
          </w:p>
          <w:bookmarkEnd w:id="15"/>
          <w:p w14:paraId="7B9D070B" w14:textId="77777777" w:rsidR="00A43028" w:rsidRPr="00B74502" w:rsidRDefault="00A43028" w:rsidP="00186BCF">
            <w:pPr>
              <w:pStyle w:val="aff8"/>
              <w:numPr>
                <w:ilvl w:val="0"/>
                <w:numId w:val="34"/>
              </w:numPr>
              <w:tabs>
                <w:tab w:val="left" w:pos="1440"/>
              </w:tabs>
              <w:snapToGrid w:val="0"/>
              <w:spacing w:after="100" w:afterAutospacing="1"/>
              <w:ind w:leftChars="0"/>
              <w:jc w:val="both"/>
            </w:pPr>
            <w:r w:rsidRPr="00B74502">
              <w:t>The TCI state indicated in the cell switch command is associated with</w:t>
            </w:r>
          </w:p>
          <w:p w14:paraId="522428CE" w14:textId="77777777" w:rsidR="00A43028" w:rsidRPr="00B74502" w:rsidRDefault="00A43028" w:rsidP="00186BCF">
            <w:pPr>
              <w:pStyle w:val="aff8"/>
              <w:numPr>
                <w:ilvl w:val="1"/>
                <w:numId w:val="34"/>
              </w:numPr>
              <w:tabs>
                <w:tab w:val="left" w:pos="720"/>
              </w:tabs>
              <w:snapToGrid w:val="0"/>
              <w:spacing w:after="100" w:afterAutospacing="1"/>
              <w:ind w:leftChars="0"/>
              <w:jc w:val="both"/>
            </w:pPr>
            <w:r w:rsidRPr="00B74502">
              <w:t xml:space="preserve">LTM </w:t>
            </w:r>
            <w:bookmarkStart w:id="16" w:name="OLE_LINK56"/>
            <w:r w:rsidRPr="00B74502">
              <w:t>TCI state pool of the target cell</w:t>
            </w:r>
            <w:bookmarkEnd w:id="16"/>
            <w:r w:rsidRPr="00B74502">
              <w:t>, i.e. configured under LTM-Candidate-r18</w:t>
            </w:r>
          </w:p>
          <w:p w14:paraId="503E51C2" w14:textId="77777777" w:rsidR="00A43028" w:rsidRPr="00B74502" w:rsidRDefault="00A43028" w:rsidP="00186BCF">
            <w:pPr>
              <w:pStyle w:val="aff8"/>
              <w:numPr>
                <w:ilvl w:val="0"/>
                <w:numId w:val="34"/>
              </w:numPr>
              <w:tabs>
                <w:tab w:val="left" w:pos="1440"/>
                <w:tab w:val="left" w:pos="2160"/>
              </w:tabs>
              <w:snapToGrid w:val="0"/>
              <w:spacing w:after="100" w:afterAutospacing="1"/>
              <w:ind w:leftChars="0"/>
              <w:jc w:val="both"/>
            </w:pPr>
            <w:r w:rsidRPr="00B74502">
              <w:t>UE uses the TCI state provided in the cell switch command after receiving cell switch command until a TCI state [in the new serving cell] is indicated</w:t>
            </w:r>
          </w:p>
          <w:p w14:paraId="01D3610A" w14:textId="77777777" w:rsidR="00A43028" w:rsidRDefault="00A43028" w:rsidP="00186BCF">
            <w:pPr>
              <w:pStyle w:val="aff8"/>
              <w:numPr>
                <w:ilvl w:val="1"/>
                <w:numId w:val="34"/>
              </w:numPr>
              <w:tabs>
                <w:tab w:val="left" w:pos="2160"/>
              </w:tabs>
              <w:snapToGrid w:val="0"/>
              <w:spacing w:after="100" w:afterAutospacing="1"/>
              <w:ind w:leftChars="0"/>
              <w:jc w:val="both"/>
            </w:pPr>
            <w:r>
              <w:t>Note: after TCI in the new serving cell is indicated, legacy BM is used.</w:t>
            </w:r>
          </w:p>
          <w:p w14:paraId="71A9D84C" w14:textId="4595DE04" w:rsidR="002949CF" w:rsidRPr="008F2B8F" w:rsidRDefault="00A43028" w:rsidP="00186BCF">
            <w:pPr>
              <w:pStyle w:val="aff8"/>
              <w:numPr>
                <w:ilvl w:val="0"/>
                <w:numId w:val="34"/>
              </w:numPr>
              <w:tabs>
                <w:tab w:val="left" w:pos="1440"/>
                <w:tab w:val="left" w:pos="2160"/>
              </w:tabs>
              <w:snapToGrid w:val="0"/>
              <w:spacing w:after="100" w:afterAutospacing="1"/>
              <w:ind w:leftChars="0"/>
              <w:jc w:val="both"/>
            </w:pPr>
            <w:r>
              <w:t>FFS: whether and how to retain LTM activated TCI states for candidate cell</w:t>
            </w:r>
          </w:p>
        </w:tc>
      </w:tr>
    </w:tbl>
    <w:p w14:paraId="425A3DD9" w14:textId="262BFA5E" w:rsidR="00DE0490" w:rsidRDefault="00DE0490" w:rsidP="00186BCF">
      <w:pPr>
        <w:jc w:val="both"/>
      </w:pPr>
    </w:p>
    <w:p w14:paraId="0030B52E" w14:textId="121E5155" w:rsidR="00B74502" w:rsidRPr="00B74502" w:rsidRDefault="00B74502" w:rsidP="00186BCF">
      <w:pPr>
        <w:pStyle w:val="aff8"/>
        <w:numPr>
          <w:ilvl w:val="0"/>
          <w:numId w:val="26"/>
        </w:numPr>
        <w:ind w:leftChars="0"/>
        <w:jc w:val="both"/>
        <w:rPr>
          <w:b/>
          <w:i/>
        </w:rPr>
      </w:pPr>
      <w:r w:rsidRPr="00B74502">
        <w:rPr>
          <w:b/>
          <w:i/>
        </w:rPr>
        <w:t>Support [FL Proposal 5-4-1c-v4]</w:t>
      </w:r>
      <w:r w:rsidR="008057A5" w:rsidRPr="008057A5">
        <w:rPr>
          <w:b/>
          <w:i/>
        </w:rPr>
        <w:t xml:space="preserve"> </w:t>
      </w:r>
      <w:r w:rsidR="008057A5">
        <w:rPr>
          <w:b/>
          <w:i/>
        </w:rPr>
        <w:t>with remove the bracket</w:t>
      </w:r>
    </w:p>
    <w:p w14:paraId="46EFCD3A" w14:textId="77777777" w:rsidR="00B74502" w:rsidRPr="00B74502" w:rsidRDefault="00B74502" w:rsidP="00186BCF">
      <w:pPr>
        <w:pStyle w:val="aff8"/>
        <w:numPr>
          <w:ilvl w:val="0"/>
          <w:numId w:val="34"/>
        </w:numPr>
        <w:tabs>
          <w:tab w:val="left" w:pos="1440"/>
        </w:tabs>
        <w:snapToGrid w:val="0"/>
        <w:spacing w:after="100" w:afterAutospacing="1"/>
        <w:ind w:leftChars="0"/>
        <w:jc w:val="both"/>
        <w:rPr>
          <w:b/>
          <w:i/>
        </w:rPr>
      </w:pPr>
      <w:r w:rsidRPr="00B74502">
        <w:rPr>
          <w:b/>
          <w:i/>
        </w:rPr>
        <w:t>The TCI state indicated in the cell switch command is associated with</w:t>
      </w:r>
    </w:p>
    <w:p w14:paraId="78A10DF2" w14:textId="77777777" w:rsidR="00B74502" w:rsidRPr="00B74502" w:rsidRDefault="00B74502" w:rsidP="00186BCF">
      <w:pPr>
        <w:pStyle w:val="aff8"/>
        <w:numPr>
          <w:ilvl w:val="1"/>
          <w:numId w:val="34"/>
        </w:numPr>
        <w:tabs>
          <w:tab w:val="left" w:pos="720"/>
        </w:tabs>
        <w:snapToGrid w:val="0"/>
        <w:spacing w:after="100" w:afterAutospacing="1"/>
        <w:ind w:leftChars="0"/>
        <w:jc w:val="both"/>
        <w:rPr>
          <w:b/>
          <w:i/>
        </w:rPr>
      </w:pPr>
      <w:r w:rsidRPr="00B74502">
        <w:rPr>
          <w:b/>
          <w:i/>
        </w:rPr>
        <w:t>LTM TCI state pool of the target cell, i.e. configured under LTM-Candidate-r18</w:t>
      </w:r>
    </w:p>
    <w:p w14:paraId="55A101FC" w14:textId="77777777" w:rsidR="00B74502" w:rsidRPr="00B74502" w:rsidRDefault="00B74502" w:rsidP="00186BCF">
      <w:pPr>
        <w:pStyle w:val="aff8"/>
        <w:numPr>
          <w:ilvl w:val="0"/>
          <w:numId w:val="34"/>
        </w:numPr>
        <w:tabs>
          <w:tab w:val="left" w:pos="1440"/>
          <w:tab w:val="left" w:pos="2160"/>
        </w:tabs>
        <w:snapToGrid w:val="0"/>
        <w:spacing w:after="100" w:afterAutospacing="1"/>
        <w:ind w:leftChars="0"/>
        <w:jc w:val="both"/>
        <w:rPr>
          <w:b/>
          <w:i/>
        </w:rPr>
      </w:pPr>
      <w:r w:rsidRPr="00B74502">
        <w:rPr>
          <w:b/>
          <w:i/>
        </w:rPr>
        <w:t xml:space="preserve">UE uses the TCI state provided in the cell switch command after receiving cell switch command until a TCI state </w:t>
      </w:r>
      <w:r w:rsidRPr="009C68B7">
        <w:rPr>
          <w:b/>
          <w:i/>
          <w:strike/>
          <w:color w:val="FF0000"/>
        </w:rPr>
        <w:t>[</w:t>
      </w:r>
      <w:r w:rsidRPr="00B74502">
        <w:rPr>
          <w:b/>
          <w:i/>
        </w:rPr>
        <w:t>in the new serving cell</w:t>
      </w:r>
      <w:r w:rsidRPr="009C68B7">
        <w:rPr>
          <w:b/>
          <w:i/>
          <w:strike/>
          <w:color w:val="FF0000"/>
        </w:rPr>
        <w:t>]</w:t>
      </w:r>
      <w:r w:rsidRPr="00B74502">
        <w:rPr>
          <w:b/>
          <w:i/>
        </w:rPr>
        <w:t xml:space="preserve"> is indicated</w:t>
      </w:r>
    </w:p>
    <w:p w14:paraId="1CD6112B" w14:textId="77777777" w:rsidR="00B74502" w:rsidRPr="00B74502" w:rsidRDefault="00B74502" w:rsidP="00186BCF">
      <w:pPr>
        <w:pStyle w:val="aff8"/>
        <w:numPr>
          <w:ilvl w:val="1"/>
          <w:numId w:val="34"/>
        </w:numPr>
        <w:tabs>
          <w:tab w:val="left" w:pos="2160"/>
        </w:tabs>
        <w:snapToGrid w:val="0"/>
        <w:spacing w:after="100" w:afterAutospacing="1"/>
        <w:ind w:leftChars="0"/>
        <w:jc w:val="both"/>
        <w:rPr>
          <w:b/>
          <w:i/>
        </w:rPr>
      </w:pPr>
      <w:r w:rsidRPr="00B74502">
        <w:rPr>
          <w:b/>
          <w:i/>
        </w:rPr>
        <w:t>Note: after TCI in the new serving cell is indicated, legacy BM is used.</w:t>
      </w:r>
    </w:p>
    <w:p w14:paraId="5B5D5252" w14:textId="77777777" w:rsidR="00B74502" w:rsidRPr="00B74502" w:rsidRDefault="00B74502" w:rsidP="00186BCF">
      <w:pPr>
        <w:pStyle w:val="aff8"/>
        <w:numPr>
          <w:ilvl w:val="0"/>
          <w:numId w:val="34"/>
        </w:numPr>
        <w:tabs>
          <w:tab w:val="left" w:pos="1440"/>
          <w:tab w:val="left" w:pos="2160"/>
        </w:tabs>
        <w:snapToGrid w:val="0"/>
        <w:spacing w:after="100" w:afterAutospacing="1"/>
        <w:ind w:leftChars="0"/>
        <w:jc w:val="both"/>
        <w:rPr>
          <w:b/>
          <w:i/>
        </w:rPr>
      </w:pPr>
      <w:r w:rsidRPr="00B74502">
        <w:rPr>
          <w:b/>
          <w:i/>
        </w:rPr>
        <w:t>FFS: whether and how to retain LTM activated TCI states for candidate cell</w:t>
      </w:r>
    </w:p>
    <w:p w14:paraId="6E1B0926" w14:textId="2A8A4FF7" w:rsidR="007D09E1" w:rsidRDefault="007D09E1" w:rsidP="002F1AEC">
      <w:pPr>
        <w:pStyle w:val="2"/>
        <w:jc w:val="both"/>
      </w:pPr>
      <w:r w:rsidRPr="007D09E1">
        <w:t>Preparation for LTM before cell switch command</w:t>
      </w:r>
    </w:p>
    <w:p w14:paraId="2598A0BF" w14:textId="0D83CFA5" w:rsidR="00B74502" w:rsidRDefault="00B74502" w:rsidP="00B74502">
      <w:pPr>
        <w:pStyle w:val="3"/>
        <w:rPr>
          <w:lang w:val="en-US"/>
        </w:rPr>
      </w:pPr>
      <w:r w:rsidRPr="00B74502">
        <w:rPr>
          <w:lang w:val="en-US"/>
        </w:rPr>
        <w:t xml:space="preserve">Deactivation </w:t>
      </w:r>
      <w:r>
        <w:rPr>
          <w:lang w:val="en-US"/>
        </w:rPr>
        <w:t>of activated TCI states for LTM</w:t>
      </w:r>
    </w:p>
    <w:p w14:paraId="14C19901" w14:textId="1DF7F679" w:rsidR="005A7597" w:rsidRPr="005A7597" w:rsidRDefault="005A7597" w:rsidP="00186BCF">
      <w:pPr>
        <w:jc w:val="both"/>
        <w:rPr>
          <w:lang w:val="en-US" w:eastAsia="ja-JP"/>
        </w:rPr>
      </w:pPr>
      <w:r w:rsidRPr="00C12E36">
        <w:t xml:space="preserve">Candidate cell </w:t>
      </w:r>
      <w:bookmarkStart w:id="17" w:name="OLE_LINK149"/>
      <w:bookmarkStart w:id="18" w:name="OLE_LINK150"/>
      <w:r w:rsidRPr="00C12E36">
        <w:t xml:space="preserve">TCI state activation/deactivation </w:t>
      </w:r>
      <w:r>
        <w:t xml:space="preserve">MAC-CE </w:t>
      </w:r>
      <w:bookmarkEnd w:id="17"/>
      <w:bookmarkEnd w:id="18"/>
      <w:r w:rsidRPr="00C12E36">
        <w:t>command</w:t>
      </w:r>
      <w:r>
        <w:t xml:space="preserve"> was captured in 38.321, which is </w:t>
      </w:r>
      <w:r w:rsidR="006177E6">
        <w:t xml:space="preserve">operated per candidate cell. So according to deactivation of activated LTM TCI states, the </w:t>
      </w:r>
      <w:r w:rsidR="006177E6" w:rsidRPr="00C12E36">
        <w:t xml:space="preserve">TCI state activation/deactivation </w:t>
      </w:r>
      <w:r w:rsidR="006177E6">
        <w:t xml:space="preserve">MAC-CE can be applied to deactivate one or more LTM TCI states for a candidate cell. This solution is without RAN2 specification impact.  </w:t>
      </w:r>
      <w:r>
        <w:t xml:space="preserve"> </w:t>
      </w:r>
    </w:p>
    <w:p w14:paraId="172A7659" w14:textId="09200971" w:rsidR="00B74502" w:rsidRPr="00E82927" w:rsidRDefault="006177E6" w:rsidP="00186BCF">
      <w:pPr>
        <w:pStyle w:val="aff8"/>
        <w:numPr>
          <w:ilvl w:val="0"/>
          <w:numId w:val="26"/>
        </w:numPr>
        <w:ind w:leftChars="0"/>
        <w:jc w:val="both"/>
        <w:rPr>
          <w:b/>
          <w:i/>
          <w:lang w:eastAsia="ja-JP"/>
        </w:rPr>
      </w:pPr>
      <w:r w:rsidRPr="00E82927">
        <w:rPr>
          <w:b/>
          <w:i/>
        </w:rPr>
        <w:t xml:space="preserve">TCI state activation/deactivation MAC-CE can be used to deactivate one or more LTM TCI states for a candidate cell. </w:t>
      </w:r>
    </w:p>
    <w:p w14:paraId="1B599D93" w14:textId="1720BA2B" w:rsidR="00E82927" w:rsidRDefault="00E82927" w:rsidP="007E108A">
      <w:pPr>
        <w:pStyle w:val="3"/>
      </w:pPr>
      <w:r>
        <w:t xml:space="preserve">UE </w:t>
      </w:r>
      <w:r w:rsidR="00D70569">
        <w:t>behaviour</w:t>
      </w:r>
      <w:r>
        <w:t xml:space="preserve"> when TRS configuration is provided under LTM Candidate r18 for</w:t>
      </w:r>
      <w:r w:rsidR="00D70569">
        <w:t xml:space="preserve"> </w:t>
      </w:r>
      <w:r>
        <w:t>candidate cells</w:t>
      </w:r>
    </w:p>
    <w:p w14:paraId="4D38AD2F" w14:textId="6AA5F993" w:rsidR="00735E2C" w:rsidRDefault="00735E2C" w:rsidP="00186BCF">
      <w:pPr>
        <w:jc w:val="both"/>
        <w:rPr>
          <w:lang w:eastAsia="ja-JP"/>
        </w:rPr>
      </w:pPr>
      <w:r>
        <w:rPr>
          <w:lang w:eastAsia="ja-JP"/>
        </w:rPr>
        <w:t>It was agreed TRS can be configured in a TCI state for the candidate cell before or during cell switc</w:t>
      </w:r>
      <w:r w:rsidR="008C3D8D">
        <w:rPr>
          <w:lang w:eastAsia="ja-JP"/>
        </w:rPr>
        <w:t xml:space="preserve">h command. Also </w:t>
      </w:r>
      <w:bookmarkStart w:id="19" w:name="OLE_LINK154"/>
      <w:r w:rsidR="008C3D8D">
        <w:rPr>
          <w:lang w:eastAsia="ja-JP"/>
        </w:rPr>
        <w:t>there is no consensus to introduce additional mechanism to support TRS tracking for candidate cells prior to and joint with the reception of L1/L2 CSC</w:t>
      </w:r>
      <w:bookmarkEnd w:id="19"/>
      <w:r w:rsidR="008C3D8D">
        <w:rPr>
          <w:lang w:eastAsia="ja-JP"/>
        </w:rPr>
        <w:t>.</w:t>
      </w:r>
      <w:r w:rsidR="00C16A3B">
        <w:rPr>
          <w:lang w:eastAsia="ja-JP"/>
        </w:rPr>
        <w:t xml:space="preserve"> However, the corresponding UE </w:t>
      </w:r>
      <w:r w:rsidR="00743AEE">
        <w:rPr>
          <w:lang w:eastAsia="ja-JP"/>
        </w:rPr>
        <w:t>behaviour</w:t>
      </w:r>
      <w:r w:rsidR="00C16A3B">
        <w:rPr>
          <w:lang w:eastAsia="ja-JP"/>
        </w:rPr>
        <w:t xml:space="preserve"> has not been c</w:t>
      </w:r>
      <w:r w:rsidR="00743AEE">
        <w:rPr>
          <w:lang w:eastAsia="ja-JP"/>
        </w:rPr>
        <w:t xml:space="preserve">lear. As provided in </w:t>
      </w:r>
      <w:r w:rsidR="004427D2">
        <w:rPr>
          <w:lang w:eastAsia="ja-JP"/>
        </w:rPr>
        <w:t>[5], a table contains gNB and UE behaviour for TRS.</w:t>
      </w:r>
    </w:p>
    <w:p w14:paraId="7C647855" w14:textId="2BA3CD89" w:rsidR="004427D2" w:rsidRDefault="004427D2" w:rsidP="00186BCF">
      <w:pPr>
        <w:jc w:val="both"/>
        <w:rPr>
          <w:lang w:eastAsia="ja-JP"/>
        </w:rPr>
      </w:pPr>
      <w:r>
        <w:rPr>
          <w:lang w:eastAsia="ja-JP"/>
        </w:rPr>
        <w:t>Since there is no consensus to introduce additional mechanism to support TRS tracking for candidate cells prior to and joint with the reception of L1/L2 CSC, UE can track SSB in Rel-18 LTM, with no restriction for TRS transmission or not.</w:t>
      </w:r>
    </w:p>
    <w:p w14:paraId="4610CF7B" w14:textId="00B2DF05" w:rsidR="004427D2" w:rsidRDefault="004427D2" w:rsidP="00186BCF">
      <w:pPr>
        <w:jc w:val="both"/>
        <w:rPr>
          <w:lang w:eastAsia="ja-JP"/>
        </w:rPr>
      </w:pPr>
      <w:bookmarkStart w:id="20" w:name="OLE_LINK157"/>
      <w:bookmarkStart w:id="21" w:name="OLE_LINK155"/>
      <w:bookmarkStart w:id="22" w:name="OLE_LINK156"/>
      <w:r>
        <w:rPr>
          <w:lang w:eastAsia="ja-JP"/>
        </w:rPr>
        <w:t xml:space="preserve">After cell switch, UE can track TRS </w:t>
      </w:r>
      <w:bookmarkEnd w:id="20"/>
      <w:r>
        <w:rPr>
          <w:lang w:eastAsia="ja-JP"/>
        </w:rPr>
        <w:t>due to it has been to a new serving cell. And UE can assume there is TRS transmission.</w:t>
      </w:r>
    </w:p>
    <w:bookmarkEnd w:id="21"/>
    <w:bookmarkEnd w:id="22"/>
    <w:p w14:paraId="29D3E544" w14:textId="78C5D7E7" w:rsidR="004427D2" w:rsidRPr="004171CA" w:rsidRDefault="004427D2" w:rsidP="00186BCF">
      <w:pPr>
        <w:pStyle w:val="aff8"/>
        <w:numPr>
          <w:ilvl w:val="0"/>
          <w:numId w:val="26"/>
        </w:numPr>
        <w:ind w:leftChars="0"/>
        <w:jc w:val="both"/>
        <w:rPr>
          <w:b/>
          <w:i/>
          <w:lang w:eastAsia="ja-JP"/>
        </w:rPr>
      </w:pPr>
      <w:r w:rsidRPr="004171CA">
        <w:rPr>
          <w:b/>
          <w:i/>
          <w:lang w:eastAsia="ja-JP"/>
        </w:rPr>
        <w:t>Prior to and joint with the reception of L1/L2 CSC, UE can track SSB in Rel-18 LTM, with no restriction for TRS transmission or not.</w:t>
      </w:r>
    </w:p>
    <w:p w14:paraId="58F8B00E" w14:textId="60DF7D34" w:rsidR="004427D2" w:rsidRPr="004171CA" w:rsidRDefault="004427D2" w:rsidP="00186BCF">
      <w:pPr>
        <w:pStyle w:val="aff8"/>
        <w:numPr>
          <w:ilvl w:val="0"/>
          <w:numId w:val="26"/>
        </w:numPr>
        <w:ind w:leftChars="0"/>
        <w:jc w:val="both"/>
        <w:rPr>
          <w:b/>
          <w:i/>
          <w:lang w:eastAsia="ja-JP"/>
        </w:rPr>
      </w:pPr>
      <w:r w:rsidRPr="004171CA">
        <w:rPr>
          <w:b/>
          <w:i/>
          <w:lang w:eastAsia="ja-JP"/>
        </w:rPr>
        <w:t>After cell switch, UE can track TRS with its presence assumption.</w:t>
      </w:r>
    </w:p>
    <w:p w14:paraId="01D2D8BC" w14:textId="356A8B10" w:rsidR="005A1277" w:rsidRDefault="004171CA" w:rsidP="004171CA">
      <w:pPr>
        <w:pStyle w:val="3"/>
      </w:pPr>
      <w:r w:rsidRPr="004171CA">
        <w:t xml:space="preserve">3: Retain or deactivate TCI states </w:t>
      </w:r>
      <w:r>
        <w:t>after cell switch</w:t>
      </w:r>
    </w:p>
    <w:p w14:paraId="10D1644A" w14:textId="12D762C1" w:rsidR="005A1277" w:rsidRDefault="00767529" w:rsidP="00186BCF">
      <w:pPr>
        <w:jc w:val="both"/>
        <w:rPr>
          <w:lang w:eastAsia="ja-JP"/>
        </w:rPr>
      </w:pPr>
      <w:r>
        <w:rPr>
          <w:lang w:eastAsia="ja-JP"/>
        </w:rPr>
        <w:t xml:space="preserve">The open issue is the </w:t>
      </w:r>
      <w:r w:rsidRPr="004B4178">
        <w:t>UE assumption on the active TCI states for LTM other than the indicated TCI state after the reception of the cell switch command</w:t>
      </w:r>
      <w:r>
        <w:t>.</w:t>
      </w:r>
    </w:p>
    <w:tbl>
      <w:tblPr>
        <w:tblStyle w:val="aff"/>
        <w:tblW w:w="0" w:type="auto"/>
        <w:tblLook w:val="04A0" w:firstRow="1" w:lastRow="0" w:firstColumn="1" w:lastColumn="0" w:noHBand="0" w:noVBand="1"/>
      </w:tblPr>
      <w:tblGrid>
        <w:gridCol w:w="9630"/>
      </w:tblGrid>
      <w:tr w:rsidR="00046C80" w:rsidRPr="00046C80" w14:paraId="4F3160BA" w14:textId="77777777" w:rsidTr="000359F1">
        <w:tc>
          <w:tcPr>
            <w:tcW w:w="9630" w:type="dxa"/>
          </w:tcPr>
          <w:p w14:paraId="521A83A2" w14:textId="77777777" w:rsidR="00AA72A1" w:rsidRPr="00F55B3D" w:rsidRDefault="00AA72A1" w:rsidP="00186BCF">
            <w:pPr>
              <w:jc w:val="both"/>
            </w:pPr>
            <w:r w:rsidRPr="00F55B3D">
              <w:lastRenderedPageBreak/>
              <w:t>[FL Proposal 5-5-1b-v</w:t>
            </w:r>
            <w:r>
              <w:t>2</w:t>
            </w:r>
            <w:r w:rsidRPr="00F55B3D">
              <w:t>]</w:t>
            </w:r>
          </w:p>
          <w:p w14:paraId="5E38D1EA" w14:textId="77777777" w:rsidR="00AA72A1" w:rsidRDefault="00AA72A1" w:rsidP="00186BCF">
            <w:pPr>
              <w:tabs>
                <w:tab w:val="left" w:pos="720"/>
                <w:tab w:val="left" w:pos="1440"/>
              </w:tabs>
              <w:jc w:val="both"/>
            </w:pPr>
            <w:bookmarkStart w:id="23" w:name="OLE_LINK158"/>
            <w:r>
              <w:t xml:space="preserve">After cell switch, for the activated LTM TCI states, </w:t>
            </w:r>
          </w:p>
          <w:p w14:paraId="44D9E5B5" w14:textId="77777777" w:rsidR="00AA72A1" w:rsidRDefault="00AA72A1" w:rsidP="00186BCF">
            <w:pPr>
              <w:pStyle w:val="aff8"/>
              <w:numPr>
                <w:ilvl w:val="0"/>
                <w:numId w:val="34"/>
              </w:numPr>
              <w:tabs>
                <w:tab w:val="left" w:pos="1440"/>
              </w:tabs>
              <w:snapToGrid w:val="0"/>
              <w:spacing w:after="100" w:afterAutospacing="1"/>
              <w:ind w:leftChars="0"/>
              <w:jc w:val="both"/>
            </w:pPr>
            <w:r>
              <w:t>Option 1: UE retains the activated LTM TCI states only for the target cell</w:t>
            </w:r>
          </w:p>
          <w:p w14:paraId="127D5260" w14:textId="77777777" w:rsidR="00AA72A1" w:rsidRDefault="00AA72A1" w:rsidP="00186BCF">
            <w:pPr>
              <w:pStyle w:val="aff8"/>
              <w:numPr>
                <w:ilvl w:val="0"/>
                <w:numId w:val="34"/>
              </w:numPr>
              <w:tabs>
                <w:tab w:val="left" w:pos="1440"/>
              </w:tabs>
              <w:snapToGrid w:val="0"/>
              <w:spacing w:after="100" w:afterAutospacing="1"/>
              <w:ind w:leftChars="0"/>
              <w:jc w:val="both"/>
            </w:pPr>
            <w:r>
              <w:t>Option 3: UE retains the activated LTM TCI states for all candidate cells (may need RRC configuration / MAC CE to deactivate– FFS condition)</w:t>
            </w:r>
          </w:p>
          <w:p w14:paraId="255F2C40" w14:textId="7C20448C" w:rsidR="00DE0490" w:rsidRPr="0033310C" w:rsidRDefault="00AA72A1" w:rsidP="00186BCF">
            <w:pPr>
              <w:pStyle w:val="aff8"/>
              <w:numPr>
                <w:ilvl w:val="0"/>
                <w:numId w:val="34"/>
              </w:numPr>
              <w:tabs>
                <w:tab w:val="left" w:pos="1440"/>
              </w:tabs>
              <w:snapToGrid w:val="0"/>
              <w:spacing w:after="100" w:afterAutospacing="1"/>
              <w:ind w:leftChars="0"/>
              <w:jc w:val="both"/>
            </w:pPr>
            <w:r>
              <w:t>Option 4: UE deactivates all activated LTM TCI states other than indicated TCI state</w:t>
            </w:r>
            <w:bookmarkEnd w:id="23"/>
          </w:p>
        </w:tc>
      </w:tr>
    </w:tbl>
    <w:p w14:paraId="3458925E" w14:textId="062EE20E" w:rsidR="005A1277" w:rsidRDefault="005A1277" w:rsidP="00186BCF">
      <w:pPr>
        <w:jc w:val="both"/>
        <w:rPr>
          <w:lang w:eastAsia="ja-JP"/>
        </w:rPr>
      </w:pPr>
    </w:p>
    <w:p w14:paraId="0DE399AA" w14:textId="77777777" w:rsidR="00AA72A1" w:rsidRDefault="00901DF5" w:rsidP="00186BCF">
      <w:pPr>
        <w:jc w:val="both"/>
        <w:rPr>
          <w:lang w:eastAsia="ja-JP"/>
        </w:rPr>
      </w:pPr>
      <w:r>
        <w:rPr>
          <w:lang w:eastAsia="ja-JP"/>
        </w:rPr>
        <w:t xml:space="preserve">For the </w:t>
      </w:r>
      <w:r w:rsidRPr="00901DF5">
        <w:rPr>
          <w:lang w:eastAsia="ja-JP"/>
        </w:rPr>
        <w:t>assumption on the active TCI states other than the indicated TCI state after the recep</w:t>
      </w:r>
      <w:r>
        <w:rPr>
          <w:lang w:eastAsia="ja-JP"/>
        </w:rPr>
        <w:t xml:space="preserve">tion of the cell switch command, after cell switching command, </w:t>
      </w:r>
      <w:r w:rsidR="00F36B18">
        <w:rPr>
          <w:lang w:eastAsia="ja-JP"/>
        </w:rPr>
        <w:t xml:space="preserve">if the TCI state </w:t>
      </w:r>
      <w:r w:rsidR="00511991">
        <w:rPr>
          <w:lang w:eastAsia="ja-JP"/>
        </w:rPr>
        <w:t xml:space="preserve">does not </w:t>
      </w:r>
      <w:r w:rsidR="00F36B18">
        <w:rPr>
          <w:lang w:eastAsia="ja-JP"/>
        </w:rPr>
        <w:t>belong</w:t>
      </w:r>
      <w:r w:rsidR="00511991">
        <w:rPr>
          <w:lang w:eastAsia="ja-JP"/>
        </w:rPr>
        <w:t xml:space="preserve"> to the target cell, </w:t>
      </w:r>
      <w:r w:rsidR="006A48B2">
        <w:rPr>
          <w:lang w:eastAsia="ja-JP"/>
        </w:rPr>
        <w:t xml:space="preserve">the basic feature should </w:t>
      </w:r>
      <w:r w:rsidR="005C2F1D">
        <w:rPr>
          <w:lang w:eastAsia="ja-JP"/>
        </w:rPr>
        <w:t xml:space="preserve">UE </w:t>
      </w:r>
      <w:r w:rsidR="00511991">
        <w:rPr>
          <w:lang w:eastAsia="ja-JP"/>
        </w:rPr>
        <w:t>assume</w:t>
      </w:r>
      <w:r w:rsidR="005C2F1D">
        <w:rPr>
          <w:lang w:eastAsia="ja-JP"/>
        </w:rPr>
        <w:t xml:space="preserve"> those TCI state </w:t>
      </w:r>
      <w:r w:rsidR="00511991">
        <w:rPr>
          <w:lang w:eastAsia="ja-JP"/>
        </w:rPr>
        <w:t>are dis-active after CSC.</w:t>
      </w:r>
      <w:r w:rsidR="00767529">
        <w:rPr>
          <w:lang w:eastAsia="ja-JP"/>
        </w:rPr>
        <w:t xml:space="preserve"> So</w:t>
      </w:r>
      <w:r w:rsidR="00511991">
        <w:rPr>
          <w:lang w:eastAsia="ja-JP"/>
        </w:rPr>
        <w:t xml:space="preserve"> </w:t>
      </w:r>
      <w:r w:rsidR="00AA72A1">
        <w:rPr>
          <w:lang w:eastAsia="ja-JP"/>
        </w:rPr>
        <w:t>we support Option 1 and Option 4. T</w:t>
      </w:r>
      <w:r w:rsidR="00511991">
        <w:rPr>
          <w:lang w:eastAsia="ja-JP"/>
        </w:rPr>
        <w:t>he TCI state belongs to the target cell but they are not indic</w:t>
      </w:r>
      <w:r w:rsidR="00AA72A1">
        <w:rPr>
          <w:lang w:eastAsia="ja-JP"/>
        </w:rPr>
        <w:t>ated in the beam, they can retain</w:t>
      </w:r>
      <w:r w:rsidR="00511991">
        <w:rPr>
          <w:lang w:eastAsia="ja-JP"/>
        </w:rPr>
        <w:t xml:space="preserve"> active</w:t>
      </w:r>
      <w:r w:rsidR="00AA72A1">
        <w:rPr>
          <w:lang w:eastAsia="ja-JP"/>
        </w:rPr>
        <w:t xml:space="preserve">, or deactivate. But the LTM TCI state indicated by CSC should be active.  </w:t>
      </w:r>
    </w:p>
    <w:p w14:paraId="4FA2D9C0" w14:textId="626FFF04" w:rsidR="00901DF5" w:rsidRDefault="00AA72A1" w:rsidP="00186BCF">
      <w:pPr>
        <w:jc w:val="both"/>
        <w:rPr>
          <w:lang w:eastAsia="ja-JP"/>
        </w:rPr>
      </w:pPr>
      <w:r>
        <w:rPr>
          <w:lang w:eastAsia="ja-JP"/>
        </w:rPr>
        <w:t>Option 3 is too aggressive, but without any benefit. Since aft</w:t>
      </w:r>
      <w:r w:rsidR="00DE5963">
        <w:rPr>
          <w:lang w:eastAsia="ja-JP"/>
        </w:rPr>
        <w:t xml:space="preserve">er cell switch to the target cell, LTM TCI state activation/deactivation MAC-CE can be received on the new serving cell, to update LTM TCI states for better selection of candidate cell and best beams. It is very doubtful that retain all candidate cells only complex UE implementation and power consumption with without clear gain.  </w:t>
      </w:r>
    </w:p>
    <w:p w14:paraId="4FB65EA8" w14:textId="15BFD846" w:rsidR="006D08A2" w:rsidRPr="00AA72A1" w:rsidRDefault="006D08A2" w:rsidP="00186BCF">
      <w:pPr>
        <w:pStyle w:val="aff8"/>
        <w:numPr>
          <w:ilvl w:val="0"/>
          <w:numId w:val="26"/>
        </w:numPr>
        <w:snapToGrid w:val="0"/>
        <w:spacing w:after="100" w:afterAutospacing="1"/>
        <w:ind w:leftChars="0"/>
        <w:jc w:val="both"/>
        <w:rPr>
          <w:b/>
          <w:bCs/>
          <w:i/>
        </w:rPr>
      </w:pPr>
      <w:bookmarkStart w:id="24" w:name="OLE_LINK59"/>
      <w:r w:rsidRPr="00F449A7">
        <w:rPr>
          <w:b/>
          <w:i/>
        </w:rPr>
        <w:t xml:space="preserve">For UE assumption on the active TCI states for LTM other than the indicated TCI state after the reception of the cell switch command, </w:t>
      </w:r>
      <w:r w:rsidR="0042762E">
        <w:rPr>
          <w:b/>
          <w:i/>
        </w:rPr>
        <w:t>support either Option 1 or Option 4.</w:t>
      </w:r>
    </w:p>
    <w:p w14:paraId="0B107606" w14:textId="77777777" w:rsidR="00AA72A1" w:rsidRPr="00107EF6" w:rsidRDefault="00AA72A1" w:rsidP="00186BCF">
      <w:pPr>
        <w:pStyle w:val="aff8"/>
        <w:numPr>
          <w:ilvl w:val="0"/>
          <w:numId w:val="35"/>
        </w:numPr>
        <w:ind w:leftChars="0"/>
        <w:jc w:val="both"/>
        <w:rPr>
          <w:b/>
          <w:i/>
        </w:rPr>
      </w:pPr>
      <w:r w:rsidRPr="00107EF6">
        <w:rPr>
          <w:b/>
          <w:i/>
        </w:rPr>
        <w:t>Option 1: UE retains the activated LTM TCI states only for the target cell</w:t>
      </w:r>
    </w:p>
    <w:p w14:paraId="118C738A" w14:textId="77777777" w:rsidR="00AA72A1" w:rsidRPr="00107EF6" w:rsidRDefault="00AA72A1" w:rsidP="00186BCF">
      <w:pPr>
        <w:pStyle w:val="aff8"/>
        <w:numPr>
          <w:ilvl w:val="0"/>
          <w:numId w:val="35"/>
        </w:numPr>
        <w:ind w:leftChars="0"/>
        <w:jc w:val="both"/>
        <w:rPr>
          <w:b/>
          <w:i/>
        </w:rPr>
      </w:pPr>
      <w:r w:rsidRPr="00107EF6">
        <w:rPr>
          <w:b/>
          <w:i/>
        </w:rPr>
        <w:t>Option 4: UE deactivates all activated LTM TCI states other than indicated TCI state</w:t>
      </w:r>
    </w:p>
    <w:bookmarkEnd w:id="24"/>
    <w:p w14:paraId="0886DEFB" w14:textId="65A31902" w:rsidR="00BD1E4F" w:rsidRPr="001D3F32" w:rsidRDefault="00BD1E4F" w:rsidP="002F1AEC">
      <w:pPr>
        <w:pStyle w:val="1"/>
        <w:tabs>
          <w:tab w:val="num" w:pos="426"/>
        </w:tabs>
        <w:ind w:left="426" w:hanging="426"/>
        <w:jc w:val="both"/>
        <w:rPr>
          <w:szCs w:val="36"/>
          <w:lang w:eastAsia="ja-JP"/>
        </w:rPr>
      </w:pPr>
      <w:r w:rsidRPr="001D3F32">
        <w:rPr>
          <w:szCs w:val="36"/>
          <w:lang w:eastAsia="ja-JP"/>
        </w:rPr>
        <w:t>Conclusion</w:t>
      </w:r>
    </w:p>
    <w:p w14:paraId="392502A6" w14:textId="719650CB" w:rsidR="00BD1E4F" w:rsidRDefault="00BD1E4F" w:rsidP="002F1AEC">
      <w:pPr>
        <w:jc w:val="both"/>
        <w:textAlignment w:val="center"/>
      </w:pPr>
      <w:r w:rsidRPr="001D3F32">
        <w:rPr>
          <w:rFonts w:hint="eastAsia"/>
        </w:rPr>
        <w:t>I</w:t>
      </w:r>
      <w:r w:rsidRPr="001D3F32">
        <w:t>n this contribution, we made the following</w:t>
      </w:r>
      <w:r w:rsidR="00E73E2F">
        <w:t xml:space="preserve"> </w:t>
      </w:r>
      <w:r w:rsidRPr="001D3F32">
        <w:t>proposals.</w:t>
      </w:r>
    </w:p>
    <w:p w14:paraId="2A7DFDD3" w14:textId="77777777" w:rsidR="00140DFA" w:rsidRPr="00C558C0" w:rsidRDefault="00140DFA" w:rsidP="00140DFA">
      <w:pPr>
        <w:pStyle w:val="aff8"/>
        <w:numPr>
          <w:ilvl w:val="0"/>
          <w:numId w:val="41"/>
        </w:numPr>
        <w:snapToGrid w:val="0"/>
        <w:ind w:leftChars="0"/>
        <w:jc w:val="both"/>
        <w:rPr>
          <w:b/>
          <w:i/>
          <w:color w:val="000000" w:themeColor="text1"/>
        </w:rPr>
      </w:pPr>
      <w:r>
        <w:rPr>
          <w:b/>
          <w:i/>
          <w:color w:val="000000" w:themeColor="text1"/>
        </w:rPr>
        <w:t>D</w:t>
      </w:r>
      <w:r w:rsidRPr="00C558C0">
        <w:rPr>
          <w:b/>
          <w:i/>
          <w:color w:val="000000" w:themeColor="text1"/>
        </w:rPr>
        <w:t>efine the UE behaviour that an LTM report is prioritized over a legacy CSI report if there is a collision</w:t>
      </w:r>
      <w:r>
        <w:rPr>
          <w:b/>
          <w:i/>
          <w:color w:val="000000" w:themeColor="text1"/>
        </w:rPr>
        <w:t>, without change of the formula.</w:t>
      </w:r>
      <w:r w:rsidRPr="00C558C0">
        <w:rPr>
          <w:b/>
          <w:i/>
          <w:color w:val="000000" w:themeColor="text1"/>
        </w:rPr>
        <w:t xml:space="preserve"> </w:t>
      </w:r>
    </w:p>
    <w:p w14:paraId="20677C71" w14:textId="75028624" w:rsidR="00F05E1D" w:rsidRPr="00F05E1D" w:rsidRDefault="00F05E1D" w:rsidP="00F05E1D">
      <w:pPr>
        <w:pStyle w:val="aff8"/>
        <w:numPr>
          <w:ilvl w:val="0"/>
          <w:numId w:val="41"/>
        </w:numPr>
        <w:ind w:leftChars="0"/>
        <w:jc w:val="both"/>
        <w:rPr>
          <w:b/>
          <w:i/>
          <w:lang w:eastAsia="ja-JP"/>
        </w:rPr>
      </w:pPr>
      <w:r w:rsidRPr="00F05E1D">
        <w:rPr>
          <w:b/>
          <w:i/>
          <w:lang w:eastAsia="ja-JP"/>
        </w:rPr>
        <w:t>Number of CPU occupied by an LTM CSI report is 1</w:t>
      </w:r>
      <w:r w:rsidR="00F96E05">
        <w:rPr>
          <w:b/>
          <w:i/>
          <w:lang w:eastAsia="ja-JP"/>
        </w:rPr>
        <w:t>.</w:t>
      </w:r>
      <w:bookmarkStart w:id="25" w:name="_GoBack"/>
      <w:bookmarkEnd w:id="25"/>
    </w:p>
    <w:p w14:paraId="3D1DCD19" w14:textId="77777777" w:rsidR="00F05E1D" w:rsidRPr="00F05E1D" w:rsidRDefault="00F05E1D" w:rsidP="00F05E1D">
      <w:pPr>
        <w:pStyle w:val="aff8"/>
        <w:numPr>
          <w:ilvl w:val="0"/>
          <w:numId w:val="41"/>
        </w:numPr>
        <w:snapToGrid w:val="0"/>
        <w:ind w:leftChars="0"/>
        <w:jc w:val="both"/>
        <w:rPr>
          <w:b/>
          <w:i/>
        </w:rPr>
      </w:pPr>
      <w:r w:rsidRPr="00F05E1D">
        <w:rPr>
          <w:b/>
          <w:i/>
        </w:rPr>
        <w:t xml:space="preserve">For beam indication of target cell based on Rel-17 unified TCI framework applied to </w:t>
      </w:r>
      <w:r w:rsidRPr="00F05E1D">
        <w:rPr>
          <w:b/>
          <w:i/>
          <w:lang w:val="en-US"/>
        </w:rPr>
        <w:t xml:space="preserve">CORESET#0 and </w:t>
      </w:r>
      <w:r w:rsidRPr="00F05E1D">
        <w:rPr>
          <w:rFonts w:eastAsia="宋体"/>
          <w:b/>
          <w:i/>
          <w:lang w:eastAsia="zh-CN"/>
        </w:rPr>
        <w:t xml:space="preserve">CORESETs (other than CORESET#0) associated </w:t>
      </w:r>
      <w:r w:rsidRPr="00F05E1D">
        <w:rPr>
          <w:rFonts w:eastAsia="宋体"/>
          <w:b/>
          <w:i/>
          <w:strike/>
          <w:lang w:eastAsia="zh-CN"/>
        </w:rPr>
        <w:t xml:space="preserve">with </w:t>
      </w:r>
      <w:r w:rsidRPr="00F05E1D">
        <w:rPr>
          <w:b/>
          <w:i/>
          <w:strike/>
        </w:rPr>
        <w:t>Type 0A/1/2-PDCCH CSS sets</w:t>
      </w:r>
      <w:r w:rsidRPr="00F05E1D">
        <w:rPr>
          <w:b/>
          <w:i/>
        </w:rPr>
        <w:t xml:space="preserve"> at least with CSS sets other than Type3-PDCCH CSS sets where no TCI state activation is provided, </w:t>
      </w:r>
      <w:r w:rsidRPr="00F05E1D">
        <w:rPr>
          <w:rFonts w:eastAsia="宋体"/>
          <w:b/>
          <w:i/>
          <w:lang w:val="en-US" w:eastAsia="zh-CN"/>
        </w:rPr>
        <w:t>followUnifiedTCI-state is not enabled or not provided</w:t>
      </w:r>
      <w:r w:rsidRPr="00F05E1D">
        <w:rPr>
          <w:b/>
          <w:i/>
        </w:rPr>
        <w:t>,</w:t>
      </w:r>
      <w:r w:rsidRPr="00F05E1D">
        <w:rPr>
          <w:b/>
          <w:i/>
          <w:iCs/>
        </w:rPr>
        <w:t xml:space="preserve"> </w:t>
      </w:r>
    </w:p>
    <w:p w14:paraId="3B520DF3" w14:textId="77777777" w:rsidR="00F05E1D" w:rsidRPr="00F05E1D" w:rsidRDefault="00F05E1D" w:rsidP="00F05E1D">
      <w:pPr>
        <w:pStyle w:val="aff8"/>
        <w:numPr>
          <w:ilvl w:val="1"/>
          <w:numId w:val="41"/>
        </w:numPr>
        <w:snapToGrid w:val="0"/>
        <w:ind w:leftChars="0"/>
        <w:jc w:val="both"/>
        <w:rPr>
          <w:b/>
          <w:i/>
          <w:lang w:val="en-US"/>
        </w:rPr>
      </w:pPr>
      <w:r w:rsidRPr="00F05E1D">
        <w:rPr>
          <w:b/>
          <w:i/>
        </w:rPr>
        <w:t>Alt.1: Follow the indicated TCI state until a new TCI state is configured or activated by the target cell</w:t>
      </w:r>
    </w:p>
    <w:p w14:paraId="55EE0342" w14:textId="77777777" w:rsidR="00F05E1D" w:rsidRPr="00F05E1D" w:rsidRDefault="00F05E1D" w:rsidP="00F05E1D">
      <w:pPr>
        <w:pStyle w:val="aff8"/>
        <w:numPr>
          <w:ilvl w:val="0"/>
          <w:numId w:val="41"/>
        </w:numPr>
        <w:ind w:leftChars="0"/>
        <w:jc w:val="both"/>
        <w:rPr>
          <w:b/>
          <w:i/>
        </w:rPr>
      </w:pPr>
      <w:r w:rsidRPr="00F05E1D">
        <w:rPr>
          <w:b/>
          <w:i/>
        </w:rPr>
        <w:t>In R18 LTM and when beam is indicated together with cell switch command, for the scenario where the UE needs to perform RACH-based handover after receiving cell switch command,</w:t>
      </w:r>
    </w:p>
    <w:p w14:paraId="26FFEEF8" w14:textId="77777777" w:rsidR="00F05E1D" w:rsidRPr="00F05E1D" w:rsidRDefault="00F05E1D" w:rsidP="00F05E1D">
      <w:pPr>
        <w:pStyle w:val="aff8"/>
        <w:numPr>
          <w:ilvl w:val="0"/>
          <w:numId w:val="35"/>
        </w:numPr>
        <w:ind w:leftChars="0"/>
        <w:jc w:val="both"/>
        <w:rPr>
          <w:b/>
          <w:i/>
        </w:rPr>
      </w:pPr>
      <w:r w:rsidRPr="00F05E1D">
        <w:rPr>
          <w:b/>
          <w:i/>
        </w:rPr>
        <w:t xml:space="preserve">During RACH procedure, a UE follows the SSB of the indicated TCI-state in the cell switch command. </w:t>
      </w:r>
    </w:p>
    <w:p w14:paraId="437F5A77" w14:textId="77777777" w:rsidR="00F05E1D" w:rsidRPr="00F05E1D" w:rsidRDefault="00F05E1D" w:rsidP="00F05E1D">
      <w:pPr>
        <w:pStyle w:val="aff8"/>
        <w:numPr>
          <w:ilvl w:val="0"/>
          <w:numId w:val="35"/>
        </w:numPr>
        <w:ind w:leftChars="0"/>
        <w:jc w:val="both"/>
        <w:rPr>
          <w:b/>
          <w:i/>
        </w:rPr>
      </w:pPr>
      <w:r w:rsidRPr="00F05E1D">
        <w:rPr>
          <w:b/>
          <w:i/>
        </w:rPr>
        <w:t>After RACH procedure until a new TCI state is indicated by the target cell, a UE follows the indicated TCI-state in the cell switch command</w:t>
      </w:r>
    </w:p>
    <w:p w14:paraId="07BE4DD1" w14:textId="771F520D" w:rsidR="00F05E1D" w:rsidRPr="00F05E1D" w:rsidRDefault="00F05E1D" w:rsidP="00F05E1D">
      <w:pPr>
        <w:pStyle w:val="aff8"/>
        <w:numPr>
          <w:ilvl w:val="0"/>
          <w:numId w:val="41"/>
        </w:numPr>
        <w:ind w:leftChars="0"/>
        <w:jc w:val="both"/>
        <w:rPr>
          <w:b/>
          <w:i/>
        </w:rPr>
      </w:pPr>
      <w:r w:rsidRPr="00F05E1D">
        <w:rPr>
          <w:b/>
          <w:i/>
        </w:rPr>
        <w:t>Support [FL Proposal 5-4-1c-v4]</w:t>
      </w:r>
      <w:r w:rsidR="008057A5">
        <w:rPr>
          <w:b/>
          <w:i/>
        </w:rPr>
        <w:t xml:space="preserve"> with remove the bracket.</w:t>
      </w:r>
    </w:p>
    <w:p w14:paraId="2ABC0273" w14:textId="77777777" w:rsidR="00F05E1D" w:rsidRPr="00F05E1D" w:rsidRDefault="00F05E1D" w:rsidP="00F05E1D">
      <w:pPr>
        <w:pStyle w:val="aff8"/>
        <w:numPr>
          <w:ilvl w:val="0"/>
          <w:numId w:val="34"/>
        </w:numPr>
        <w:tabs>
          <w:tab w:val="left" w:pos="1440"/>
        </w:tabs>
        <w:snapToGrid w:val="0"/>
        <w:spacing w:after="100" w:afterAutospacing="1"/>
        <w:ind w:leftChars="0"/>
        <w:jc w:val="both"/>
        <w:rPr>
          <w:b/>
          <w:i/>
        </w:rPr>
      </w:pPr>
      <w:r w:rsidRPr="00F05E1D">
        <w:rPr>
          <w:b/>
          <w:i/>
        </w:rPr>
        <w:t>The TCI state indicated in the cell switch command is associated with</w:t>
      </w:r>
    </w:p>
    <w:p w14:paraId="09B6C01C" w14:textId="77777777" w:rsidR="00F05E1D" w:rsidRPr="00F05E1D" w:rsidRDefault="00F05E1D" w:rsidP="00F05E1D">
      <w:pPr>
        <w:pStyle w:val="aff8"/>
        <w:numPr>
          <w:ilvl w:val="1"/>
          <w:numId w:val="34"/>
        </w:numPr>
        <w:tabs>
          <w:tab w:val="left" w:pos="720"/>
        </w:tabs>
        <w:snapToGrid w:val="0"/>
        <w:spacing w:after="100" w:afterAutospacing="1"/>
        <w:ind w:leftChars="0"/>
        <w:jc w:val="both"/>
        <w:rPr>
          <w:b/>
          <w:i/>
        </w:rPr>
      </w:pPr>
      <w:r w:rsidRPr="00F05E1D">
        <w:rPr>
          <w:b/>
          <w:i/>
        </w:rPr>
        <w:t>LTM TCI state pool of the target cell, i.e. configured under LTM-Candidate-r18</w:t>
      </w:r>
    </w:p>
    <w:p w14:paraId="42F4ACD7" w14:textId="77777777" w:rsidR="00F05E1D" w:rsidRPr="00F05E1D" w:rsidRDefault="00F05E1D" w:rsidP="00F05E1D">
      <w:pPr>
        <w:pStyle w:val="aff8"/>
        <w:numPr>
          <w:ilvl w:val="0"/>
          <w:numId w:val="34"/>
        </w:numPr>
        <w:tabs>
          <w:tab w:val="left" w:pos="1440"/>
          <w:tab w:val="left" w:pos="2160"/>
        </w:tabs>
        <w:snapToGrid w:val="0"/>
        <w:spacing w:after="100" w:afterAutospacing="1"/>
        <w:ind w:leftChars="0"/>
        <w:jc w:val="both"/>
        <w:rPr>
          <w:b/>
          <w:i/>
        </w:rPr>
      </w:pPr>
      <w:r w:rsidRPr="00F05E1D">
        <w:rPr>
          <w:b/>
          <w:i/>
        </w:rPr>
        <w:t xml:space="preserve">UE uses the TCI state provided in the cell switch command after receiving cell switch command until a TCI state </w:t>
      </w:r>
      <w:r w:rsidRPr="00F05E1D">
        <w:rPr>
          <w:b/>
          <w:i/>
          <w:strike/>
        </w:rPr>
        <w:t>[</w:t>
      </w:r>
      <w:r w:rsidRPr="00F05E1D">
        <w:rPr>
          <w:b/>
          <w:i/>
        </w:rPr>
        <w:t>in the new serving cell</w:t>
      </w:r>
      <w:r w:rsidRPr="00F05E1D">
        <w:rPr>
          <w:b/>
          <w:i/>
          <w:strike/>
        </w:rPr>
        <w:t>]</w:t>
      </w:r>
      <w:r w:rsidRPr="00F05E1D">
        <w:rPr>
          <w:b/>
          <w:i/>
        </w:rPr>
        <w:t xml:space="preserve"> is indicated</w:t>
      </w:r>
    </w:p>
    <w:p w14:paraId="3F979690" w14:textId="77777777" w:rsidR="00F05E1D" w:rsidRPr="00F05E1D" w:rsidRDefault="00F05E1D" w:rsidP="00F05E1D">
      <w:pPr>
        <w:pStyle w:val="aff8"/>
        <w:numPr>
          <w:ilvl w:val="1"/>
          <w:numId w:val="34"/>
        </w:numPr>
        <w:tabs>
          <w:tab w:val="left" w:pos="2160"/>
        </w:tabs>
        <w:snapToGrid w:val="0"/>
        <w:spacing w:after="100" w:afterAutospacing="1"/>
        <w:ind w:leftChars="0"/>
        <w:jc w:val="both"/>
        <w:rPr>
          <w:b/>
          <w:i/>
        </w:rPr>
      </w:pPr>
      <w:r w:rsidRPr="00F05E1D">
        <w:rPr>
          <w:b/>
          <w:i/>
        </w:rPr>
        <w:t>Note: after TCI in the new serving cell is indicated, legacy BM is used.</w:t>
      </w:r>
    </w:p>
    <w:p w14:paraId="3577DFB7" w14:textId="77777777" w:rsidR="00F05E1D" w:rsidRPr="00F05E1D" w:rsidRDefault="00F05E1D" w:rsidP="00F05E1D">
      <w:pPr>
        <w:pStyle w:val="aff8"/>
        <w:numPr>
          <w:ilvl w:val="0"/>
          <w:numId w:val="34"/>
        </w:numPr>
        <w:tabs>
          <w:tab w:val="left" w:pos="1440"/>
          <w:tab w:val="left" w:pos="2160"/>
        </w:tabs>
        <w:snapToGrid w:val="0"/>
        <w:spacing w:after="100" w:afterAutospacing="1"/>
        <w:ind w:leftChars="0"/>
        <w:jc w:val="both"/>
        <w:rPr>
          <w:b/>
          <w:i/>
        </w:rPr>
      </w:pPr>
      <w:r w:rsidRPr="00F05E1D">
        <w:rPr>
          <w:b/>
          <w:i/>
        </w:rPr>
        <w:t>FFS: whether and how to retain LTM activated TCI states for candidate cell</w:t>
      </w:r>
    </w:p>
    <w:p w14:paraId="52CE3B4F" w14:textId="77777777" w:rsidR="00F05E1D" w:rsidRPr="00F05E1D" w:rsidRDefault="00F05E1D" w:rsidP="00F05E1D">
      <w:pPr>
        <w:pStyle w:val="aff8"/>
        <w:numPr>
          <w:ilvl w:val="0"/>
          <w:numId w:val="41"/>
        </w:numPr>
        <w:ind w:leftChars="0"/>
        <w:jc w:val="both"/>
        <w:rPr>
          <w:b/>
          <w:i/>
          <w:lang w:eastAsia="ja-JP"/>
        </w:rPr>
      </w:pPr>
      <w:r w:rsidRPr="00F05E1D">
        <w:rPr>
          <w:b/>
          <w:i/>
        </w:rPr>
        <w:lastRenderedPageBreak/>
        <w:t xml:space="preserve">TCI state activation/deactivation MAC-CE can be used to deactivate one or more LTM TCI states for a candidate cell. </w:t>
      </w:r>
    </w:p>
    <w:p w14:paraId="4CC618A5" w14:textId="77777777" w:rsidR="00F05E1D" w:rsidRPr="00F05E1D" w:rsidRDefault="00F05E1D" w:rsidP="00F05E1D">
      <w:pPr>
        <w:pStyle w:val="aff8"/>
        <w:numPr>
          <w:ilvl w:val="0"/>
          <w:numId w:val="41"/>
        </w:numPr>
        <w:ind w:leftChars="0"/>
        <w:jc w:val="both"/>
        <w:rPr>
          <w:b/>
          <w:i/>
          <w:lang w:eastAsia="ja-JP"/>
        </w:rPr>
      </w:pPr>
      <w:r w:rsidRPr="00F05E1D">
        <w:rPr>
          <w:b/>
          <w:i/>
          <w:lang w:eastAsia="ja-JP"/>
        </w:rPr>
        <w:t>Prior to and joint with the reception of L1/L2 CSC, UE can track SSB in Rel-18 LTM, with no restriction for TRS transmission or not.</w:t>
      </w:r>
    </w:p>
    <w:p w14:paraId="66AC4EB3" w14:textId="77777777" w:rsidR="00F05E1D" w:rsidRPr="00F05E1D" w:rsidRDefault="00F05E1D" w:rsidP="00F05E1D">
      <w:pPr>
        <w:pStyle w:val="aff8"/>
        <w:numPr>
          <w:ilvl w:val="0"/>
          <w:numId w:val="41"/>
        </w:numPr>
        <w:ind w:leftChars="0"/>
        <w:jc w:val="both"/>
        <w:rPr>
          <w:b/>
          <w:i/>
          <w:lang w:eastAsia="ja-JP"/>
        </w:rPr>
      </w:pPr>
      <w:r w:rsidRPr="00F05E1D">
        <w:rPr>
          <w:b/>
          <w:i/>
          <w:lang w:eastAsia="ja-JP"/>
        </w:rPr>
        <w:t>After cell switch, UE can track TRS with its presence assumption.</w:t>
      </w:r>
    </w:p>
    <w:bookmarkEnd w:id="6"/>
    <w:bookmarkEnd w:id="7"/>
    <w:p w14:paraId="39B1C432" w14:textId="77777777" w:rsidR="008057A5" w:rsidRDefault="008057A5" w:rsidP="008057A5">
      <w:pPr>
        <w:pStyle w:val="aff8"/>
        <w:numPr>
          <w:ilvl w:val="0"/>
          <w:numId w:val="42"/>
        </w:numPr>
        <w:snapToGrid w:val="0"/>
        <w:ind w:leftChars="0"/>
        <w:jc w:val="both"/>
        <w:rPr>
          <w:b/>
          <w:bCs/>
          <w:i/>
        </w:rPr>
      </w:pPr>
      <w:r>
        <w:rPr>
          <w:b/>
          <w:i/>
        </w:rPr>
        <w:t>For UE assumption on the active TCI states for LTM other than the indicated TCI state after the reception of the cell switch command, support either Option 1 or Option 4.</w:t>
      </w:r>
    </w:p>
    <w:p w14:paraId="73C09764" w14:textId="77777777" w:rsidR="008057A5" w:rsidRDefault="008057A5" w:rsidP="008057A5">
      <w:pPr>
        <w:pStyle w:val="aff8"/>
        <w:numPr>
          <w:ilvl w:val="0"/>
          <w:numId w:val="43"/>
        </w:numPr>
        <w:ind w:leftChars="0"/>
        <w:jc w:val="both"/>
        <w:rPr>
          <w:b/>
          <w:i/>
        </w:rPr>
      </w:pPr>
      <w:r>
        <w:rPr>
          <w:b/>
          <w:i/>
        </w:rPr>
        <w:t>Option 1: UE retains the activated LTM TCI states only for the target cell</w:t>
      </w:r>
    </w:p>
    <w:p w14:paraId="3E7CC061" w14:textId="77777777" w:rsidR="008057A5" w:rsidRDefault="008057A5" w:rsidP="008057A5">
      <w:pPr>
        <w:pStyle w:val="aff8"/>
        <w:numPr>
          <w:ilvl w:val="0"/>
          <w:numId w:val="43"/>
        </w:numPr>
        <w:ind w:leftChars="0"/>
        <w:jc w:val="both"/>
        <w:rPr>
          <w:b/>
          <w:i/>
        </w:rPr>
      </w:pPr>
      <w:r>
        <w:rPr>
          <w:b/>
          <w:i/>
        </w:rPr>
        <w:t>Option 4: UE deactivates all activated LTM TCI states other than indicated TCI state</w:t>
      </w:r>
    </w:p>
    <w:p w14:paraId="06277EA8" w14:textId="77777777" w:rsidR="0045740A" w:rsidRPr="001D3F32" w:rsidRDefault="00FC0E47" w:rsidP="00932CF4">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41E3FECB" w:rsidR="006B4BF3" w:rsidRDefault="007B6245" w:rsidP="007B6245">
      <w:pPr>
        <w:pStyle w:val="References"/>
      </w:pPr>
      <w:r w:rsidRPr="007B6245">
        <w:t>RP-231475</w:t>
      </w:r>
      <w:r>
        <w:t xml:space="preserve"> </w:t>
      </w:r>
      <w:r w:rsidR="00E33635" w:rsidRPr="00E33635">
        <w:t>Revised WID on Further NR mobility enhancements</w:t>
      </w:r>
    </w:p>
    <w:p w14:paraId="22642A15" w14:textId="77777777" w:rsidR="002B5070" w:rsidRPr="009D61CE" w:rsidRDefault="002B5070" w:rsidP="002B5070">
      <w:pPr>
        <w:pStyle w:val="References"/>
        <w:rPr>
          <w:rFonts w:eastAsia="等线"/>
          <w:lang w:eastAsia="zh-CN"/>
        </w:rPr>
      </w:pPr>
      <w:r w:rsidRPr="00301CC1">
        <w:t>R1-</w:t>
      </w:r>
      <w:bookmarkStart w:id="26" w:name="OLE_LINK20"/>
      <w:bookmarkStart w:id="27" w:name="OLE_LINK21"/>
      <w:r w:rsidRPr="00301CC1">
        <w:t>23</w:t>
      </w:r>
      <w:r>
        <w:t>10642</w:t>
      </w:r>
      <w:bookmarkEnd w:id="26"/>
      <w:bookmarkEnd w:id="27"/>
      <w:r w:rsidRPr="00301CC1">
        <w:tab/>
        <w:t xml:space="preserve">FL summary </w:t>
      </w:r>
      <w:r>
        <w:t>3</w:t>
      </w:r>
      <w:r w:rsidRPr="00301CC1">
        <w:t xml:space="preserve"> on L1 enhancements for inter-cell beam management</w:t>
      </w:r>
      <w:r>
        <w:t xml:space="preserve"> RAN1#11</w:t>
      </w:r>
      <w:r>
        <w:rPr>
          <w:rFonts w:asciiTheme="minorEastAsia" w:eastAsiaTheme="minorEastAsia" w:hAnsiTheme="minorEastAsia" w:hint="eastAsia"/>
          <w:lang w:eastAsia="zh-CN"/>
        </w:rPr>
        <w:t>4</w:t>
      </w:r>
      <w:r>
        <w:rPr>
          <w:rFonts w:asciiTheme="minorEastAsia" w:eastAsiaTheme="minorEastAsia" w:hAnsiTheme="minorEastAsia"/>
          <w:lang w:eastAsia="zh-CN"/>
        </w:rPr>
        <w:t>b</w:t>
      </w:r>
      <w:r w:rsidRPr="00301CC1">
        <w:tab/>
        <w:t>Moderator (Fujitsu, MediaTek)</w:t>
      </w:r>
    </w:p>
    <w:p w14:paraId="30577D1D" w14:textId="5DD3D0DB" w:rsidR="00905F96" w:rsidRDefault="00905F96" w:rsidP="00905F96">
      <w:pPr>
        <w:pStyle w:val="References"/>
      </w:pPr>
      <w:r w:rsidRPr="00905F96">
        <w:t>R1-</w:t>
      </w:r>
      <w:bookmarkStart w:id="28" w:name="OLE_LINK68"/>
      <w:r w:rsidRPr="00905F96">
        <w:t>2310795</w:t>
      </w:r>
      <w:bookmarkEnd w:id="28"/>
      <w:r w:rsidRPr="00905F96">
        <w:tab/>
        <w:t>Reply LS on beam application time for LTM</w:t>
      </w:r>
      <w:r w:rsidRPr="00905F96">
        <w:tab/>
        <w:t>RAN4, Ericsson</w:t>
      </w:r>
    </w:p>
    <w:p w14:paraId="220037A7" w14:textId="684B227B" w:rsidR="00905F96" w:rsidRDefault="00905F96" w:rsidP="00905F96">
      <w:pPr>
        <w:pStyle w:val="References"/>
      </w:pPr>
      <w:r w:rsidRPr="00905F96">
        <w:t>R1-</w:t>
      </w:r>
      <w:bookmarkStart w:id="29" w:name="OLE_LINK69"/>
      <w:bookmarkStart w:id="30" w:name="OLE_LINK70"/>
      <w:r w:rsidRPr="00905F96">
        <w:t>2310809</w:t>
      </w:r>
      <w:bookmarkEnd w:id="29"/>
      <w:bookmarkEnd w:id="30"/>
      <w:r w:rsidRPr="00905F96">
        <w:tab/>
        <w:t>LS on L1 measurements for LTM</w:t>
      </w:r>
      <w:r w:rsidRPr="00905F96">
        <w:tab/>
        <w:t>RAN2, Ericsson</w:t>
      </w:r>
    </w:p>
    <w:p w14:paraId="2576BCD3" w14:textId="3175CE40" w:rsidR="00743AEE" w:rsidRDefault="00E97F34" w:rsidP="00E97F34">
      <w:pPr>
        <w:pStyle w:val="References"/>
      </w:pPr>
      <w:r w:rsidRPr="00E97F34">
        <w:t>R1-2311034</w:t>
      </w:r>
      <w:r>
        <w:t xml:space="preserve"> FL plan</w:t>
      </w:r>
    </w:p>
    <w:sectPr w:rsidR="00743AEE"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8F50D" w14:textId="77777777" w:rsidR="00615E65" w:rsidRDefault="00615E65">
      <w:r>
        <w:separator/>
      </w:r>
    </w:p>
  </w:endnote>
  <w:endnote w:type="continuationSeparator" w:id="0">
    <w:p w14:paraId="3D1612B7" w14:textId="77777777" w:rsidR="00615E65" w:rsidRDefault="00615E65">
      <w:r>
        <w:continuationSeparator/>
      </w:r>
    </w:p>
  </w:endnote>
  <w:endnote w:type="continuationNotice" w:id="1">
    <w:p w14:paraId="227D6E4F" w14:textId="77777777" w:rsidR="00615E65" w:rsidRDefault="00615E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EF746" w14:textId="77777777" w:rsidR="00615E65" w:rsidRDefault="00615E65">
      <w:r>
        <w:separator/>
      </w:r>
    </w:p>
  </w:footnote>
  <w:footnote w:type="continuationSeparator" w:id="0">
    <w:p w14:paraId="62D3DF2B" w14:textId="77777777" w:rsidR="00615E65" w:rsidRDefault="00615E65">
      <w:r>
        <w:continuationSeparator/>
      </w:r>
    </w:p>
  </w:footnote>
  <w:footnote w:type="continuationNotice" w:id="1">
    <w:p w14:paraId="35FA571D" w14:textId="77777777" w:rsidR="00615E65" w:rsidRDefault="00615E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3" w15:restartNumberingAfterBreak="0">
    <w:nsid w:val="10107643"/>
    <w:multiLevelType w:val="hybridMultilevel"/>
    <w:tmpl w:val="82EAC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C302D5"/>
    <w:multiLevelType w:val="hybridMultilevel"/>
    <w:tmpl w:val="C5C24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7EF4027"/>
    <w:multiLevelType w:val="hybridMultilevel"/>
    <w:tmpl w:val="E95E5E6C"/>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E0502181">
      <w:start w:val="1"/>
      <w:numFmt w:val="bullet"/>
      <w:lvlText w:val="•"/>
      <w:lvlJc w:val="left"/>
      <w:pPr>
        <w:ind w:left="1260" w:hanging="420"/>
      </w:pPr>
      <w:rPr>
        <w:rFonts w:ascii="Arial" w:hAnsi="Arial" w:cs="Aria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040901"/>
    <w:multiLevelType w:val="hybridMultilevel"/>
    <w:tmpl w:val="13063AEA"/>
    <w:lvl w:ilvl="0" w:tplc="9456146A">
      <w:start w:val="1"/>
      <w:numFmt w:val="bullet"/>
      <w:lvlText w:val="-"/>
      <w:lvlJc w:val="left"/>
      <w:pPr>
        <w:tabs>
          <w:tab w:val="num" w:pos="720"/>
        </w:tabs>
        <w:ind w:left="720" w:hanging="360"/>
      </w:pPr>
      <w:rPr>
        <w:rFonts w:ascii="Times New Roman" w:hAnsi="Times New Roman" w:hint="default"/>
      </w:rPr>
    </w:lvl>
    <w:lvl w:ilvl="1" w:tplc="81506FC2">
      <w:numFmt w:val="bullet"/>
      <w:lvlText w:val="-"/>
      <w:lvlJc w:val="left"/>
      <w:pPr>
        <w:tabs>
          <w:tab w:val="num" w:pos="1440"/>
        </w:tabs>
        <w:ind w:left="1440" w:hanging="360"/>
      </w:pPr>
      <w:rPr>
        <w:rFonts w:ascii="Yu Gothic" w:hAnsi="Yu Gothic" w:hint="default"/>
      </w:rPr>
    </w:lvl>
    <w:lvl w:ilvl="2" w:tplc="04047BEC">
      <w:numFmt w:val="bullet"/>
      <w:lvlText w:val="-"/>
      <w:lvlJc w:val="left"/>
      <w:pPr>
        <w:tabs>
          <w:tab w:val="num" w:pos="2160"/>
        </w:tabs>
        <w:ind w:left="2160" w:hanging="360"/>
      </w:pPr>
      <w:rPr>
        <w:rFonts w:ascii="Yu Gothic" w:hAnsi="Yu Gothic" w:hint="default"/>
      </w:rPr>
    </w:lvl>
    <w:lvl w:ilvl="3" w:tplc="71F8B9A0">
      <w:numFmt w:val="bullet"/>
      <w:lvlText w:val="-"/>
      <w:lvlJc w:val="left"/>
      <w:pPr>
        <w:tabs>
          <w:tab w:val="num" w:pos="2880"/>
        </w:tabs>
        <w:ind w:left="2880" w:hanging="360"/>
      </w:pPr>
      <w:rPr>
        <w:rFonts w:ascii="Yu Gothic" w:hAnsi="Yu Gothic" w:hint="default"/>
      </w:rPr>
    </w:lvl>
    <w:lvl w:ilvl="4" w:tplc="BFA47C98" w:tentative="1">
      <w:start w:val="1"/>
      <w:numFmt w:val="bullet"/>
      <w:lvlText w:val="-"/>
      <w:lvlJc w:val="left"/>
      <w:pPr>
        <w:tabs>
          <w:tab w:val="num" w:pos="3600"/>
        </w:tabs>
        <w:ind w:left="3600" w:hanging="360"/>
      </w:pPr>
      <w:rPr>
        <w:rFonts w:ascii="Times New Roman" w:hAnsi="Times New Roman" w:hint="default"/>
      </w:rPr>
    </w:lvl>
    <w:lvl w:ilvl="5" w:tplc="4C2A45DE" w:tentative="1">
      <w:start w:val="1"/>
      <w:numFmt w:val="bullet"/>
      <w:lvlText w:val="-"/>
      <w:lvlJc w:val="left"/>
      <w:pPr>
        <w:tabs>
          <w:tab w:val="num" w:pos="4320"/>
        </w:tabs>
        <w:ind w:left="4320" w:hanging="360"/>
      </w:pPr>
      <w:rPr>
        <w:rFonts w:ascii="Times New Roman" w:hAnsi="Times New Roman" w:hint="default"/>
      </w:rPr>
    </w:lvl>
    <w:lvl w:ilvl="6" w:tplc="CBDA00F8" w:tentative="1">
      <w:start w:val="1"/>
      <w:numFmt w:val="bullet"/>
      <w:lvlText w:val="-"/>
      <w:lvlJc w:val="left"/>
      <w:pPr>
        <w:tabs>
          <w:tab w:val="num" w:pos="5040"/>
        </w:tabs>
        <w:ind w:left="5040" w:hanging="360"/>
      </w:pPr>
      <w:rPr>
        <w:rFonts w:ascii="Times New Roman" w:hAnsi="Times New Roman" w:hint="default"/>
      </w:rPr>
    </w:lvl>
    <w:lvl w:ilvl="7" w:tplc="6B702BF4" w:tentative="1">
      <w:start w:val="1"/>
      <w:numFmt w:val="bullet"/>
      <w:lvlText w:val="-"/>
      <w:lvlJc w:val="left"/>
      <w:pPr>
        <w:tabs>
          <w:tab w:val="num" w:pos="5760"/>
        </w:tabs>
        <w:ind w:left="5760" w:hanging="360"/>
      </w:pPr>
      <w:rPr>
        <w:rFonts w:ascii="Times New Roman" w:hAnsi="Times New Roman" w:hint="default"/>
      </w:rPr>
    </w:lvl>
    <w:lvl w:ilvl="8" w:tplc="8436A2B0"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4FB4408"/>
    <w:multiLevelType w:val="hybridMultilevel"/>
    <w:tmpl w:val="E95E5E6C"/>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E0502181">
      <w:start w:val="1"/>
      <w:numFmt w:val="bullet"/>
      <w:lvlText w:val="•"/>
      <w:lvlJc w:val="left"/>
      <w:pPr>
        <w:ind w:left="1260" w:hanging="420"/>
      </w:pPr>
      <w:rPr>
        <w:rFonts w:ascii="Arial" w:hAnsi="Arial" w:cs="Aria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E7E2A98"/>
    <w:multiLevelType w:val="hybridMultilevel"/>
    <w:tmpl w:val="174E58FE"/>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E0502181">
      <w:start w:val="1"/>
      <w:numFmt w:val="bullet"/>
      <w:lvlText w:val="•"/>
      <w:lvlJc w:val="left"/>
      <w:pPr>
        <w:ind w:left="1260" w:hanging="420"/>
      </w:pPr>
      <w:rPr>
        <w:rFonts w:ascii="Arial" w:hAnsi="Arial" w:cs="Aria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5453"/>
        </w:tabs>
        <w:ind w:left="5453" w:hanging="360"/>
      </w:pPr>
      <w:rPr>
        <w:rFonts w:ascii="Symbol" w:hAnsi="Symbol" w:hint="default"/>
        <w:b/>
        <w:i w:val="0"/>
        <w:color w:val="auto"/>
        <w:sz w:val="22"/>
      </w:rPr>
    </w:lvl>
    <w:lvl w:ilvl="1">
      <w:start w:val="1"/>
      <w:numFmt w:val="bullet"/>
      <w:lvlText w:val="o"/>
      <w:lvlJc w:val="left"/>
      <w:pPr>
        <w:tabs>
          <w:tab w:val="num" w:pos="-555"/>
        </w:tabs>
        <w:ind w:left="-555" w:hanging="360"/>
      </w:pPr>
      <w:rPr>
        <w:rFonts w:ascii="Courier New" w:hAnsi="Courier New" w:cs="Courier New" w:hint="default"/>
      </w:rPr>
    </w:lvl>
    <w:lvl w:ilvl="2">
      <w:start w:val="1"/>
      <w:numFmt w:val="bullet"/>
      <w:lvlText w:val=""/>
      <w:lvlJc w:val="left"/>
      <w:pPr>
        <w:tabs>
          <w:tab w:val="num" w:pos="165"/>
        </w:tabs>
        <w:ind w:left="165" w:hanging="360"/>
      </w:pPr>
      <w:rPr>
        <w:rFonts w:ascii="Wingdings" w:hAnsi="Wingdings" w:hint="default"/>
      </w:rPr>
    </w:lvl>
    <w:lvl w:ilvl="3">
      <w:start w:val="1"/>
      <w:numFmt w:val="bullet"/>
      <w:lvlText w:val=""/>
      <w:lvlJc w:val="left"/>
      <w:pPr>
        <w:tabs>
          <w:tab w:val="num" w:pos="885"/>
        </w:tabs>
        <w:ind w:left="885" w:hanging="360"/>
      </w:pPr>
      <w:rPr>
        <w:rFonts w:ascii="Symbol" w:hAnsi="Symbol" w:hint="default"/>
      </w:rPr>
    </w:lvl>
    <w:lvl w:ilvl="4">
      <w:start w:val="1"/>
      <w:numFmt w:val="bullet"/>
      <w:lvlText w:val="o"/>
      <w:lvlJc w:val="left"/>
      <w:pPr>
        <w:tabs>
          <w:tab w:val="num" w:pos="1605"/>
        </w:tabs>
        <w:ind w:left="1605" w:hanging="360"/>
      </w:pPr>
      <w:rPr>
        <w:rFonts w:ascii="Courier New" w:hAnsi="Courier New" w:cs="Courier New" w:hint="default"/>
      </w:rPr>
    </w:lvl>
    <w:lvl w:ilvl="5">
      <w:start w:val="1"/>
      <w:numFmt w:val="bullet"/>
      <w:lvlText w:val=""/>
      <w:lvlJc w:val="left"/>
      <w:pPr>
        <w:tabs>
          <w:tab w:val="num" w:pos="2325"/>
        </w:tabs>
        <w:ind w:left="2325" w:hanging="360"/>
      </w:pPr>
      <w:rPr>
        <w:rFonts w:ascii="Wingdings" w:hAnsi="Wingdings" w:hint="default"/>
      </w:rPr>
    </w:lvl>
    <w:lvl w:ilvl="6">
      <w:start w:val="1"/>
      <w:numFmt w:val="bullet"/>
      <w:lvlText w:val=""/>
      <w:lvlJc w:val="left"/>
      <w:pPr>
        <w:tabs>
          <w:tab w:val="num" w:pos="3045"/>
        </w:tabs>
        <w:ind w:left="3045" w:hanging="360"/>
      </w:pPr>
      <w:rPr>
        <w:rFonts w:ascii="Symbol" w:hAnsi="Symbol" w:hint="default"/>
      </w:rPr>
    </w:lvl>
    <w:lvl w:ilvl="7">
      <w:start w:val="1"/>
      <w:numFmt w:val="bullet"/>
      <w:lvlText w:val="o"/>
      <w:lvlJc w:val="left"/>
      <w:pPr>
        <w:tabs>
          <w:tab w:val="num" w:pos="3765"/>
        </w:tabs>
        <w:ind w:left="3765" w:hanging="360"/>
      </w:pPr>
      <w:rPr>
        <w:rFonts w:ascii="Courier New" w:hAnsi="Courier New" w:cs="Courier New" w:hint="default"/>
      </w:rPr>
    </w:lvl>
    <w:lvl w:ilvl="8">
      <w:start w:val="1"/>
      <w:numFmt w:val="bullet"/>
      <w:lvlText w:val=""/>
      <w:lvlJc w:val="left"/>
      <w:pPr>
        <w:tabs>
          <w:tab w:val="num" w:pos="4485"/>
        </w:tabs>
        <w:ind w:left="4485" w:hanging="360"/>
      </w:pPr>
      <w:rPr>
        <w:rFonts w:ascii="Wingdings" w:hAnsi="Wingdings" w:hint="default"/>
      </w:rPr>
    </w:lvl>
  </w:abstractNum>
  <w:abstractNum w:abstractNumId="2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2" w15:restartNumberingAfterBreak="0">
    <w:nsid w:val="74DF619D"/>
    <w:multiLevelType w:val="multilevel"/>
    <w:tmpl w:val="78306A1C"/>
    <w:lvl w:ilvl="0">
      <w:start w:val="1"/>
      <w:numFmt w:val="decimal"/>
      <w:pStyle w:val="1"/>
      <w:lvlText w:val="%1"/>
      <w:lvlJc w:val="left"/>
      <w:pPr>
        <w:ind w:left="432" w:hanging="432"/>
      </w:pPr>
    </w:lvl>
    <w:lvl w:ilvl="1">
      <w:start w:val="1"/>
      <w:numFmt w:val="decimal"/>
      <w:pStyle w:val="2"/>
      <w:lvlText w:val="%1.%2"/>
      <w:lvlJc w:val="left"/>
      <w:pPr>
        <w:ind w:left="576" w:hanging="576"/>
      </w:pPr>
      <w:rPr>
        <w:lang w:val="en-G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DD51FD0"/>
    <w:multiLevelType w:val="multilevel"/>
    <w:tmpl w:val="7DD51FD0"/>
    <w:lvl w:ilvl="0">
      <w:start w:val="5"/>
      <w:numFmt w:val="bullet"/>
      <w:lvlText w:val=""/>
      <w:lvlJc w:val="left"/>
      <w:pPr>
        <w:ind w:left="420" w:hanging="420"/>
      </w:pPr>
      <w:rPr>
        <w:rFonts w:ascii="Symbol" w:eastAsia="宋体"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34"/>
  </w:num>
  <w:num w:numId="2">
    <w:abstractNumId w:val="37"/>
  </w:num>
  <w:num w:numId="3">
    <w:abstractNumId w:val="14"/>
  </w:num>
  <w:num w:numId="4">
    <w:abstractNumId w:val="26"/>
  </w:num>
  <w:num w:numId="5">
    <w:abstractNumId w:val="17"/>
  </w:num>
  <w:num w:numId="6">
    <w:abstractNumId w:val="18"/>
  </w:num>
  <w:num w:numId="7">
    <w:abstractNumId w:val="16"/>
  </w:num>
  <w:num w:numId="8">
    <w:abstractNumId w:val="35"/>
  </w:num>
  <w:num w:numId="9">
    <w:abstractNumId w:val="12"/>
  </w:num>
  <w:num w:numId="10">
    <w:abstractNumId w:val="9"/>
  </w:num>
  <w:num w:numId="11">
    <w:abstractNumId w:val="32"/>
  </w:num>
  <w:num w:numId="12">
    <w:abstractNumId w:val="13"/>
  </w:num>
  <w:num w:numId="13">
    <w:abstractNumId w:val="0"/>
  </w:num>
  <w:num w:numId="14">
    <w:abstractNumId w:val="7"/>
  </w:num>
  <w:num w:numId="15">
    <w:abstractNumId w:val="24"/>
  </w:num>
  <w:num w:numId="16">
    <w:abstractNumId w:val="36"/>
  </w:num>
  <w:num w:numId="17">
    <w:abstractNumId w:val="5"/>
  </w:num>
  <w:num w:numId="18">
    <w:abstractNumId w:val="21"/>
  </w:num>
  <w:num w:numId="19">
    <w:abstractNumId w:val="6"/>
  </w:num>
  <w:num w:numId="20">
    <w:abstractNumId w:val="15"/>
  </w:num>
  <w:num w:numId="21">
    <w:abstractNumId w:val="30"/>
  </w:num>
  <w:num w:numId="22">
    <w:abstractNumId w:val="8"/>
  </w:num>
  <w:num w:numId="23">
    <w:abstractNumId w:val="19"/>
  </w:num>
  <w:num w:numId="24">
    <w:abstractNumId w:val="27"/>
  </w:num>
  <w:num w:numId="25">
    <w:abstractNumId w:val="28"/>
  </w:num>
  <w:num w:numId="26">
    <w:abstractNumId w:val="20"/>
  </w:num>
  <w:num w:numId="27">
    <w:abstractNumId w:val="22"/>
  </w:num>
  <w:num w:numId="28">
    <w:abstractNumId w:val="29"/>
  </w:num>
  <w:num w:numId="29">
    <w:abstractNumId w:val="39"/>
  </w:num>
  <w:num w:numId="30">
    <w:abstractNumId w:val="1"/>
  </w:num>
  <w:num w:numId="31">
    <w:abstractNumId w:val="25"/>
  </w:num>
  <w:num w:numId="32">
    <w:abstractNumId w:val="27"/>
  </w:num>
  <w:num w:numId="33">
    <w:abstractNumId w:val="38"/>
  </w:num>
  <w:num w:numId="34">
    <w:abstractNumId w:val="33"/>
  </w:num>
  <w:num w:numId="35">
    <w:abstractNumId w:val="3"/>
  </w:num>
  <w:num w:numId="36">
    <w:abstractNumId w:val="4"/>
  </w:num>
  <w:num w:numId="37">
    <w:abstractNumId w:val="2"/>
  </w:num>
  <w:num w:numId="38">
    <w:abstractNumId w:val="31"/>
  </w:num>
  <w:num w:numId="39">
    <w:abstractNumId w:val="10"/>
  </w:num>
  <w:num w:numId="40">
    <w:abstractNumId w:val="11"/>
  </w:num>
  <w:num w:numId="41">
    <w:abstractNumId w:val="23"/>
  </w:num>
  <w:num w:numId="42">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lvlOverride w:ilvl="1"/>
    <w:lvlOverride w:ilvl="2"/>
    <w:lvlOverride w:ilvl="3"/>
    <w:lvlOverride w:ilvl="4"/>
    <w:lvlOverride w:ilvl="5"/>
    <w:lvlOverride w:ilvl="6"/>
    <w:lvlOverride w:ilvl="7"/>
    <w:lvlOverride w:ilv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0F5"/>
    <w:rsid w:val="000032D0"/>
    <w:rsid w:val="000038AF"/>
    <w:rsid w:val="0000399C"/>
    <w:rsid w:val="00003BCD"/>
    <w:rsid w:val="0000497D"/>
    <w:rsid w:val="00004A27"/>
    <w:rsid w:val="00004A8B"/>
    <w:rsid w:val="00004A92"/>
    <w:rsid w:val="00004C4A"/>
    <w:rsid w:val="000052EB"/>
    <w:rsid w:val="000054DF"/>
    <w:rsid w:val="00005BA8"/>
    <w:rsid w:val="00006891"/>
    <w:rsid w:val="00006EA1"/>
    <w:rsid w:val="000071A7"/>
    <w:rsid w:val="0000722C"/>
    <w:rsid w:val="0000747B"/>
    <w:rsid w:val="00007483"/>
    <w:rsid w:val="00007C43"/>
    <w:rsid w:val="00007EE2"/>
    <w:rsid w:val="00010102"/>
    <w:rsid w:val="0001017D"/>
    <w:rsid w:val="000107D5"/>
    <w:rsid w:val="000109E1"/>
    <w:rsid w:val="00010A55"/>
    <w:rsid w:val="00010D87"/>
    <w:rsid w:val="0001135F"/>
    <w:rsid w:val="0001175D"/>
    <w:rsid w:val="000118BA"/>
    <w:rsid w:val="00011A2C"/>
    <w:rsid w:val="00011D9F"/>
    <w:rsid w:val="00011F63"/>
    <w:rsid w:val="00012351"/>
    <w:rsid w:val="000129F9"/>
    <w:rsid w:val="00012CA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532"/>
    <w:rsid w:val="00025853"/>
    <w:rsid w:val="00025C56"/>
    <w:rsid w:val="00026578"/>
    <w:rsid w:val="0002662E"/>
    <w:rsid w:val="00026B2D"/>
    <w:rsid w:val="00027609"/>
    <w:rsid w:val="0003018A"/>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0ED"/>
    <w:rsid w:val="00034166"/>
    <w:rsid w:val="00034302"/>
    <w:rsid w:val="00034307"/>
    <w:rsid w:val="000348FF"/>
    <w:rsid w:val="00034A3A"/>
    <w:rsid w:val="00034A72"/>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092"/>
    <w:rsid w:val="00046137"/>
    <w:rsid w:val="00046355"/>
    <w:rsid w:val="000465B5"/>
    <w:rsid w:val="00046C80"/>
    <w:rsid w:val="00047BB6"/>
    <w:rsid w:val="00047D22"/>
    <w:rsid w:val="00047D51"/>
    <w:rsid w:val="00047F74"/>
    <w:rsid w:val="0005007B"/>
    <w:rsid w:val="00050189"/>
    <w:rsid w:val="000501A0"/>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87A"/>
    <w:rsid w:val="00061B2D"/>
    <w:rsid w:val="00061BCF"/>
    <w:rsid w:val="0006224C"/>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11"/>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2AF"/>
    <w:rsid w:val="00073318"/>
    <w:rsid w:val="00073475"/>
    <w:rsid w:val="000739E1"/>
    <w:rsid w:val="00073D9B"/>
    <w:rsid w:val="00074024"/>
    <w:rsid w:val="00074060"/>
    <w:rsid w:val="0007478E"/>
    <w:rsid w:val="00075059"/>
    <w:rsid w:val="00075BB7"/>
    <w:rsid w:val="0007690F"/>
    <w:rsid w:val="000775BB"/>
    <w:rsid w:val="00077A73"/>
    <w:rsid w:val="00077D06"/>
    <w:rsid w:val="000800CA"/>
    <w:rsid w:val="000803A0"/>
    <w:rsid w:val="0008051C"/>
    <w:rsid w:val="00080715"/>
    <w:rsid w:val="00080EF7"/>
    <w:rsid w:val="000812CC"/>
    <w:rsid w:val="00081405"/>
    <w:rsid w:val="000814C2"/>
    <w:rsid w:val="00082506"/>
    <w:rsid w:val="00082BCC"/>
    <w:rsid w:val="00083B28"/>
    <w:rsid w:val="00083C62"/>
    <w:rsid w:val="00084476"/>
    <w:rsid w:val="00084C8B"/>
    <w:rsid w:val="00084E90"/>
    <w:rsid w:val="00085101"/>
    <w:rsid w:val="00085A5C"/>
    <w:rsid w:val="00086333"/>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6AF"/>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0E0"/>
    <w:rsid w:val="000A11AD"/>
    <w:rsid w:val="000A1408"/>
    <w:rsid w:val="000A19AB"/>
    <w:rsid w:val="000A219B"/>
    <w:rsid w:val="000A2457"/>
    <w:rsid w:val="000A2458"/>
    <w:rsid w:val="000A2F81"/>
    <w:rsid w:val="000A3132"/>
    <w:rsid w:val="000A34D2"/>
    <w:rsid w:val="000A3512"/>
    <w:rsid w:val="000A3644"/>
    <w:rsid w:val="000A391A"/>
    <w:rsid w:val="000A3A30"/>
    <w:rsid w:val="000A3C0F"/>
    <w:rsid w:val="000A42F7"/>
    <w:rsid w:val="000A45A2"/>
    <w:rsid w:val="000A49AA"/>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3F"/>
    <w:rsid w:val="000B2859"/>
    <w:rsid w:val="000B3279"/>
    <w:rsid w:val="000B3F71"/>
    <w:rsid w:val="000B451F"/>
    <w:rsid w:val="000B486A"/>
    <w:rsid w:val="000B4A19"/>
    <w:rsid w:val="000B5228"/>
    <w:rsid w:val="000B53CF"/>
    <w:rsid w:val="000B59D0"/>
    <w:rsid w:val="000B5AA4"/>
    <w:rsid w:val="000B5F4E"/>
    <w:rsid w:val="000B608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4D4B"/>
    <w:rsid w:val="000D5107"/>
    <w:rsid w:val="000D5114"/>
    <w:rsid w:val="000D519A"/>
    <w:rsid w:val="000D52D0"/>
    <w:rsid w:val="000D53FB"/>
    <w:rsid w:val="000D56AE"/>
    <w:rsid w:val="000D57D3"/>
    <w:rsid w:val="000D57EC"/>
    <w:rsid w:val="000D59A5"/>
    <w:rsid w:val="000D59D6"/>
    <w:rsid w:val="000D6024"/>
    <w:rsid w:val="000D65DC"/>
    <w:rsid w:val="000D6A1D"/>
    <w:rsid w:val="000D718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D0"/>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C75"/>
    <w:rsid w:val="000F1D64"/>
    <w:rsid w:val="000F1EAF"/>
    <w:rsid w:val="000F227C"/>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0D"/>
    <w:rsid w:val="000F7713"/>
    <w:rsid w:val="000F7AA6"/>
    <w:rsid w:val="001003D1"/>
    <w:rsid w:val="001004F9"/>
    <w:rsid w:val="0010053A"/>
    <w:rsid w:val="0010062C"/>
    <w:rsid w:val="00100CDE"/>
    <w:rsid w:val="0010155C"/>
    <w:rsid w:val="00101982"/>
    <w:rsid w:val="00101A9B"/>
    <w:rsid w:val="00101AAA"/>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EF6"/>
    <w:rsid w:val="00107F2F"/>
    <w:rsid w:val="0011037F"/>
    <w:rsid w:val="00110451"/>
    <w:rsid w:val="0011050F"/>
    <w:rsid w:val="001105C1"/>
    <w:rsid w:val="00110753"/>
    <w:rsid w:val="00111840"/>
    <w:rsid w:val="00111C13"/>
    <w:rsid w:val="00111ECE"/>
    <w:rsid w:val="00111F36"/>
    <w:rsid w:val="00112E4D"/>
    <w:rsid w:val="001132E6"/>
    <w:rsid w:val="00113C47"/>
    <w:rsid w:val="00113D82"/>
    <w:rsid w:val="00113F08"/>
    <w:rsid w:val="00113FBA"/>
    <w:rsid w:val="001140D2"/>
    <w:rsid w:val="001142A8"/>
    <w:rsid w:val="00114601"/>
    <w:rsid w:val="001149BA"/>
    <w:rsid w:val="00114B5E"/>
    <w:rsid w:val="00114D9D"/>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503"/>
    <w:rsid w:val="00131718"/>
    <w:rsid w:val="00131C62"/>
    <w:rsid w:val="001320FB"/>
    <w:rsid w:val="001322EF"/>
    <w:rsid w:val="00133378"/>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37E78"/>
    <w:rsid w:val="001400FB"/>
    <w:rsid w:val="001404B5"/>
    <w:rsid w:val="00140912"/>
    <w:rsid w:val="00140C2F"/>
    <w:rsid w:val="00140DFA"/>
    <w:rsid w:val="00140E71"/>
    <w:rsid w:val="00141273"/>
    <w:rsid w:val="00141855"/>
    <w:rsid w:val="0014225F"/>
    <w:rsid w:val="00142434"/>
    <w:rsid w:val="001425B7"/>
    <w:rsid w:val="00142719"/>
    <w:rsid w:val="00142F9A"/>
    <w:rsid w:val="00143766"/>
    <w:rsid w:val="00143979"/>
    <w:rsid w:val="00143B0C"/>
    <w:rsid w:val="00143E48"/>
    <w:rsid w:val="00143FB7"/>
    <w:rsid w:val="001444E1"/>
    <w:rsid w:val="00144808"/>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6C4"/>
    <w:rsid w:val="00153D5F"/>
    <w:rsid w:val="0015416B"/>
    <w:rsid w:val="0015472D"/>
    <w:rsid w:val="00154768"/>
    <w:rsid w:val="0015484A"/>
    <w:rsid w:val="00154F8E"/>
    <w:rsid w:val="00155230"/>
    <w:rsid w:val="001552BC"/>
    <w:rsid w:val="001555EE"/>
    <w:rsid w:val="00155620"/>
    <w:rsid w:val="0015596B"/>
    <w:rsid w:val="0015621B"/>
    <w:rsid w:val="001564A4"/>
    <w:rsid w:val="0015654D"/>
    <w:rsid w:val="001565E5"/>
    <w:rsid w:val="00156971"/>
    <w:rsid w:val="00156DC5"/>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590C"/>
    <w:rsid w:val="00165AB9"/>
    <w:rsid w:val="00166026"/>
    <w:rsid w:val="00166356"/>
    <w:rsid w:val="001667AA"/>
    <w:rsid w:val="001669A0"/>
    <w:rsid w:val="00166DA9"/>
    <w:rsid w:val="00166E0D"/>
    <w:rsid w:val="00167CB4"/>
    <w:rsid w:val="00170546"/>
    <w:rsid w:val="00170FA7"/>
    <w:rsid w:val="00170FA8"/>
    <w:rsid w:val="00171466"/>
    <w:rsid w:val="00171507"/>
    <w:rsid w:val="00171A56"/>
    <w:rsid w:val="001720FD"/>
    <w:rsid w:val="001722A3"/>
    <w:rsid w:val="00172424"/>
    <w:rsid w:val="00172B35"/>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5E8A"/>
    <w:rsid w:val="0017645C"/>
    <w:rsid w:val="0017670F"/>
    <w:rsid w:val="00176965"/>
    <w:rsid w:val="00176C74"/>
    <w:rsid w:val="00176DDE"/>
    <w:rsid w:val="00176F4C"/>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860"/>
    <w:rsid w:val="00185992"/>
    <w:rsid w:val="00186179"/>
    <w:rsid w:val="001863D2"/>
    <w:rsid w:val="001863E3"/>
    <w:rsid w:val="00186428"/>
    <w:rsid w:val="001866E9"/>
    <w:rsid w:val="00186BCF"/>
    <w:rsid w:val="00187151"/>
    <w:rsid w:val="00187695"/>
    <w:rsid w:val="0018789C"/>
    <w:rsid w:val="00187DBD"/>
    <w:rsid w:val="00190674"/>
    <w:rsid w:val="00190C74"/>
    <w:rsid w:val="00190D6E"/>
    <w:rsid w:val="00190E33"/>
    <w:rsid w:val="00190EBA"/>
    <w:rsid w:val="00191351"/>
    <w:rsid w:val="00191C14"/>
    <w:rsid w:val="00192332"/>
    <w:rsid w:val="001926EC"/>
    <w:rsid w:val="00193580"/>
    <w:rsid w:val="001936FD"/>
    <w:rsid w:val="0019374E"/>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2EA7"/>
    <w:rsid w:val="001A3319"/>
    <w:rsid w:val="001A3461"/>
    <w:rsid w:val="001A386B"/>
    <w:rsid w:val="001A3AD0"/>
    <w:rsid w:val="001A4364"/>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2A1"/>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6F"/>
    <w:rsid w:val="001B48B1"/>
    <w:rsid w:val="001B4C69"/>
    <w:rsid w:val="001B4F38"/>
    <w:rsid w:val="001B4F89"/>
    <w:rsid w:val="001B4F90"/>
    <w:rsid w:val="001B572F"/>
    <w:rsid w:val="001B584E"/>
    <w:rsid w:val="001B5C03"/>
    <w:rsid w:val="001B61BC"/>
    <w:rsid w:val="001B7243"/>
    <w:rsid w:val="001B735B"/>
    <w:rsid w:val="001B7952"/>
    <w:rsid w:val="001B7A83"/>
    <w:rsid w:val="001B7E74"/>
    <w:rsid w:val="001C01C3"/>
    <w:rsid w:val="001C0569"/>
    <w:rsid w:val="001C0F66"/>
    <w:rsid w:val="001C148B"/>
    <w:rsid w:val="001C1999"/>
    <w:rsid w:val="001C2029"/>
    <w:rsid w:val="001C216F"/>
    <w:rsid w:val="001C2F64"/>
    <w:rsid w:val="001C2F8F"/>
    <w:rsid w:val="001C3363"/>
    <w:rsid w:val="001C3850"/>
    <w:rsid w:val="001C3AD5"/>
    <w:rsid w:val="001C49F8"/>
    <w:rsid w:val="001C4A04"/>
    <w:rsid w:val="001C4FC0"/>
    <w:rsid w:val="001C5878"/>
    <w:rsid w:val="001C5CA7"/>
    <w:rsid w:val="001C64FD"/>
    <w:rsid w:val="001C6A03"/>
    <w:rsid w:val="001C6D32"/>
    <w:rsid w:val="001C6FEE"/>
    <w:rsid w:val="001C71B4"/>
    <w:rsid w:val="001C73EF"/>
    <w:rsid w:val="001C7977"/>
    <w:rsid w:val="001C7B9E"/>
    <w:rsid w:val="001C7E05"/>
    <w:rsid w:val="001D0393"/>
    <w:rsid w:val="001D0726"/>
    <w:rsid w:val="001D0C92"/>
    <w:rsid w:val="001D0E08"/>
    <w:rsid w:val="001D0EC7"/>
    <w:rsid w:val="001D0FEC"/>
    <w:rsid w:val="001D1CBC"/>
    <w:rsid w:val="001D1FE4"/>
    <w:rsid w:val="001D22FD"/>
    <w:rsid w:val="001D24DC"/>
    <w:rsid w:val="001D2552"/>
    <w:rsid w:val="001D2D00"/>
    <w:rsid w:val="001D2E8A"/>
    <w:rsid w:val="001D324D"/>
    <w:rsid w:val="001D3383"/>
    <w:rsid w:val="001D389B"/>
    <w:rsid w:val="001D3BDB"/>
    <w:rsid w:val="001D3F32"/>
    <w:rsid w:val="001D4512"/>
    <w:rsid w:val="001D4538"/>
    <w:rsid w:val="001D4B64"/>
    <w:rsid w:val="001D5157"/>
    <w:rsid w:val="001D51C2"/>
    <w:rsid w:val="001D52BC"/>
    <w:rsid w:val="001D5394"/>
    <w:rsid w:val="001D5ACC"/>
    <w:rsid w:val="001D5B1B"/>
    <w:rsid w:val="001D5F89"/>
    <w:rsid w:val="001D6055"/>
    <w:rsid w:val="001D61C3"/>
    <w:rsid w:val="001D6686"/>
    <w:rsid w:val="001D6FE5"/>
    <w:rsid w:val="001D791C"/>
    <w:rsid w:val="001D7A39"/>
    <w:rsid w:val="001D7BA3"/>
    <w:rsid w:val="001D7EB3"/>
    <w:rsid w:val="001E03AD"/>
    <w:rsid w:val="001E0740"/>
    <w:rsid w:val="001E09BA"/>
    <w:rsid w:val="001E0C3D"/>
    <w:rsid w:val="001E0CF9"/>
    <w:rsid w:val="001E1114"/>
    <w:rsid w:val="001E123D"/>
    <w:rsid w:val="001E17CD"/>
    <w:rsid w:val="001E1CF2"/>
    <w:rsid w:val="001E1F3F"/>
    <w:rsid w:val="001E2469"/>
    <w:rsid w:val="001E307E"/>
    <w:rsid w:val="001E328E"/>
    <w:rsid w:val="001E3678"/>
    <w:rsid w:val="001E451C"/>
    <w:rsid w:val="001E4B35"/>
    <w:rsid w:val="001E5452"/>
    <w:rsid w:val="001E559B"/>
    <w:rsid w:val="001E56B4"/>
    <w:rsid w:val="001E57C1"/>
    <w:rsid w:val="001E5DE0"/>
    <w:rsid w:val="001E63BB"/>
    <w:rsid w:val="001E641D"/>
    <w:rsid w:val="001E644A"/>
    <w:rsid w:val="001E659A"/>
    <w:rsid w:val="001E68E7"/>
    <w:rsid w:val="001E6C25"/>
    <w:rsid w:val="001E6F8B"/>
    <w:rsid w:val="001E7149"/>
    <w:rsid w:val="001E7558"/>
    <w:rsid w:val="001E76A1"/>
    <w:rsid w:val="001E7B7F"/>
    <w:rsid w:val="001E7BCF"/>
    <w:rsid w:val="001E7F71"/>
    <w:rsid w:val="001E7F8E"/>
    <w:rsid w:val="001F0528"/>
    <w:rsid w:val="001F0946"/>
    <w:rsid w:val="001F10AD"/>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BEE"/>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0C7"/>
    <w:rsid w:val="0020685A"/>
    <w:rsid w:val="00206948"/>
    <w:rsid w:val="00206AB0"/>
    <w:rsid w:val="00206AEB"/>
    <w:rsid w:val="00206B58"/>
    <w:rsid w:val="0020727C"/>
    <w:rsid w:val="002076EF"/>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0F27"/>
    <w:rsid w:val="00221270"/>
    <w:rsid w:val="002215AA"/>
    <w:rsid w:val="002217E4"/>
    <w:rsid w:val="00221B2A"/>
    <w:rsid w:val="00221B5F"/>
    <w:rsid w:val="00221CE3"/>
    <w:rsid w:val="00222369"/>
    <w:rsid w:val="00222445"/>
    <w:rsid w:val="002224A9"/>
    <w:rsid w:val="002226F9"/>
    <w:rsid w:val="00222882"/>
    <w:rsid w:val="002229C8"/>
    <w:rsid w:val="00222DE4"/>
    <w:rsid w:val="0022311E"/>
    <w:rsid w:val="002236EE"/>
    <w:rsid w:val="00224630"/>
    <w:rsid w:val="00224B38"/>
    <w:rsid w:val="002252B4"/>
    <w:rsid w:val="00225693"/>
    <w:rsid w:val="00225813"/>
    <w:rsid w:val="00226D83"/>
    <w:rsid w:val="00226E99"/>
    <w:rsid w:val="00227079"/>
    <w:rsid w:val="0022737D"/>
    <w:rsid w:val="00230070"/>
    <w:rsid w:val="00230BC7"/>
    <w:rsid w:val="00230F0D"/>
    <w:rsid w:val="002310F6"/>
    <w:rsid w:val="00231238"/>
    <w:rsid w:val="00231568"/>
    <w:rsid w:val="00231AF0"/>
    <w:rsid w:val="00232883"/>
    <w:rsid w:val="00232E4D"/>
    <w:rsid w:val="00232ED5"/>
    <w:rsid w:val="00233541"/>
    <w:rsid w:val="00234234"/>
    <w:rsid w:val="00234680"/>
    <w:rsid w:val="00234923"/>
    <w:rsid w:val="00234ACA"/>
    <w:rsid w:val="002352CB"/>
    <w:rsid w:val="002353F4"/>
    <w:rsid w:val="00235A56"/>
    <w:rsid w:val="00236370"/>
    <w:rsid w:val="002368D5"/>
    <w:rsid w:val="0023737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28E"/>
    <w:rsid w:val="00246374"/>
    <w:rsid w:val="00246464"/>
    <w:rsid w:val="002464C9"/>
    <w:rsid w:val="00246958"/>
    <w:rsid w:val="00247203"/>
    <w:rsid w:val="0024790A"/>
    <w:rsid w:val="00247B93"/>
    <w:rsid w:val="00247C3A"/>
    <w:rsid w:val="00250043"/>
    <w:rsid w:val="002500FF"/>
    <w:rsid w:val="00250624"/>
    <w:rsid w:val="002508C3"/>
    <w:rsid w:val="00250907"/>
    <w:rsid w:val="00250B63"/>
    <w:rsid w:val="00251467"/>
    <w:rsid w:val="0025153F"/>
    <w:rsid w:val="002515B9"/>
    <w:rsid w:val="002519E5"/>
    <w:rsid w:val="00251B56"/>
    <w:rsid w:val="00251E8E"/>
    <w:rsid w:val="00252069"/>
    <w:rsid w:val="0025238C"/>
    <w:rsid w:val="0025258A"/>
    <w:rsid w:val="00252870"/>
    <w:rsid w:val="00252B6A"/>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2BF"/>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CBC"/>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282"/>
    <w:rsid w:val="0027329A"/>
    <w:rsid w:val="00273361"/>
    <w:rsid w:val="00273630"/>
    <w:rsid w:val="00273C49"/>
    <w:rsid w:val="00273CEC"/>
    <w:rsid w:val="00273E43"/>
    <w:rsid w:val="00273EF4"/>
    <w:rsid w:val="002742D9"/>
    <w:rsid w:val="00274512"/>
    <w:rsid w:val="002746BF"/>
    <w:rsid w:val="00274C57"/>
    <w:rsid w:val="00274D79"/>
    <w:rsid w:val="00275019"/>
    <w:rsid w:val="0027518F"/>
    <w:rsid w:val="002754D7"/>
    <w:rsid w:val="00275882"/>
    <w:rsid w:val="00275A33"/>
    <w:rsid w:val="00276254"/>
    <w:rsid w:val="00276A70"/>
    <w:rsid w:val="00276AE1"/>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87EF1"/>
    <w:rsid w:val="00287F06"/>
    <w:rsid w:val="00290096"/>
    <w:rsid w:val="002900F1"/>
    <w:rsid w:val="002901F7"/>
    <w:rsid w:val="00290293"/>
    <w:rsid w:val="0029076F"/>
    <w:rsid w:val="00290836"/>
    <w:rsid w:val="00291247"/>
    <w:rsid w:val="002913BD"/>
    <w:rsid w:val="0029160B"/>
    <w:rsid w:val="00291A3D"/>
    <w:rsid w:val="00291A3F"/>
    <w:rsid w:val="00291C1A"/>
    <w:rsid w:val="00291DB7"/>
    <w:rsid w:val="002925E7"/>
    <w:rsid w:val="002926A5"/>
    <w:rsid w:val="00292B32"/>
    <w:rsid w:val="0029357C"/>
    <w:rsid w:val="00293670"/>
    <w:rsid w:val="00293872"/>
    <w:rsid w:val="00293B71"/>
    <w:rsid w:val="00293C63"/>
    <w:rsid w:val="002943B0"/>
    <w:rsid w:val="00294774"/>
    <w:rsid w:val="00294861"/>
    <w:rsid w:val="002949CF"/>
    <w:rsid w:val="00294A28"/>
    <w:rsid w:val="002951BB"/>
    <w:rsid w:val="0029584D"/>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0CE7"/>
    <w:rsid w:val="002A143B"/>
    <w:rsid w:val="002A1562"/>
    <w:rsid w:val="002A17B8"/>
    <w:rsid w:val="002A1C08"/>
    <w:rsid w:val="002A1D15"/>
    <w:rsid w:val="002A25D0"/>
    <w:rsid w:val="002A2815"/>
    <w:rsid w:val="002A2B25"/>
    <w:rsid w:val="002A2B5A"/>
    <w:rsid w:val="002A2EF1"/>
    <w:rsid w:val="002A35B2"/>
    <w:rsid w:val="002A3634"/>
    <w:rsid w:val="002A3A69"/>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070"/>
    <w:rsid w:val="002B55AA"/>
    <w:rsid w:val="002B5A12"/>
    <w:rsid w:val="002B5A19"/>
    <w:rsid w:val="002B5D46"/>
    <w:rsid w:val="002B5E4D"/>
    <w:rsid w:val="002B5E92"/>
    <w:rsid w:val="002B5F5B"/>
    <w:rsid w:val="002B5FC1"/>
    <w:rsid w:val="002B605D"/>
    <w:rsid w:val="002B65BF"/>
    <w:rsid w:val="002B68E2"/>
    <w:rsid w:val="002B6B20"/>
    <w:rsid w:val="002B6F5B"/>
    <w:rsid w:val="002B7239"/>
    <w:rsid w:val="002B785D"/>
    <w:rsid w:val="002B7C57"/>
    <w:rsid w:val="002C04A3"/>
    <w:rsid w:val="002C05A3"/>
    <w:rsid w:val="002C0628"/>
    <w:rsid w:val="002C08B5"/>
    <w:rsid w:val="002C09A4"/>
    <w:rsid w:val="002C0D93"/>
    <w:rsid w:val="002C10A8"/>
    <w:rsid w:val="002C1222"/>
    <w:rsid w:val="002C12BF"/>
    <w:rsid w:val="002C1383"/>
    <w:rsid w:val="002C1496"/>
    <w:rsid w:val="002C1516"/>
    <w:rsid w:val="002C1B0A"/>
    <w:rsid w:val="002C1CE6"/>
    <w:rsid w:val="002C1D24"/>
    <w:rsid w:val="002C1F71"/>
    <w:rsid w:val="002C252D"/>
    <w:rsid w:val="002C2652"/>
    <w:rsid w:val="002C2668"/>
    <w:rsid w:val="002C27D6"/>
    <w:rsid w:val="002C32AD"/>
    <w:rsid w:val="002C3326"/>
    <w:rsid w:val="002C3343"/>
    <w:rsid w:val="002C4466"/>
    <w:rsid w:val="002C4E49"/>
    <w:rsid w:val="002C50B6"/>
    <w:rsid w:val="002C5774"/>
    <w:rsid w:val="002C57C5"/>
    <w:rsid w:val="002C592A"/>
    <w:rsid w:val="002C595E"/>
    <w:rsid w:val="002C5B49"/>
    <w:rsid w:val="002C6502"/>
    <w:rsid w:val="002C66F0"/>
    <w:rsid w:val="002C6A79"/>
    <w:rsid w:val="002C7DC6"/>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08B"/>
    <w:rsid w:val="002D7CA0"/>
    <w:rsid w:val="002E0092"/>
    <w:rsid w:val="002E01E3"/>
    <w:rsid w:val="002E1135"/>
    <w:rsid w:val="002E181D"/>
    <w:rsid w:val="002E1B3E"/>
    <w:rsid w:val="002E214C"/>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1AEC"/>
    <w:rsid w:val="002F211B"/>
    <w:rsid w:val="002F253F"/>
    <w:rsid w:val="002F27A4"/>
    <w:rsid w:val="002F2A75"/>
    <w:rsid w:val="002F30AF"/>
    <w:rsid w:val="002F3261"/>
    <w:rsid w:val="002F3621"/>
    <w:rsid w:val="002F38C0"/>
    <w:rsid w:val="002F38DB"/>
    <w:rsid w:val="002F42EF"/>
    <w:rsid w:val="002F4691"/>
    <w:rsid w:val="002F4B44"/>
    <w:rsid w:val="002F4D3E"/>
    <w:rsid w:val="002F6827"/>
    <w:rsid w:val="002F6892"/>
    <w:rsid w:val="002F69F1"/>
    <w:rsid w:val="002F6B9B"/>
    <w:rsid w:val="002F6BC6"/>
    <w:rsid w:val="002F7737"/>
    <w:rsid w:val="002F7839"/>
    <w:rsid w:val="002F784C"/>
    <w:rsid w:val="002F7C4D"/>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AED"/>
    <w:rsid w:val="003065DC"/>
    <w:rsid w:val="003066F9"/>
    <w:rsid w:val="00306A76"/>
    <w:rsid w:val="00306EFD"/>
    <w:rsid w:val="00307434"/>
    <w:rsid w:val="0030776B"/>
    <w:rsid w:val="003079C4"/>
    <w:rsid w:val="00307FB6"/>
    <w:rsid w:val="00310430"/>
    <w:rsid w:val="0031043F"/>
    <w:rsid w:val="00310B73"/>
    <w:rsid w:val="003113FD"/>
    <w:rsid w:val="00311DB9"/>
    <w:rsid w:val="00312700"/>
    <w:rsid w:val="00312AAE"/>
    <w:rsid w:val="00312FB8"/>
    <w:rsid w:val="0031390A"/>
    <w:rsid w:val="00313A22"/>
    <w:rsid w:val="00314218"/>
    <w:rsid w:val="0031425F"/>
    <w:rsid w:val="00315E64"/>
    <w:rsid w:val="00316084"/>
    <w:rsid w:val="00316643"/>
    <w:rsid w:val="0031679D"/>
    <w:rsid w:val="00316C6B"/>
    <w:rsid w:val="00316D51"/>
    <w:rsid w:val="0031720A"/>
    <w:rsid w:val="0031723F"/>
    <w:rsid w:val="00317631"/>
    <w:rsid w:val="00317794"/>
    <w:rsid w:val="00317A50"/>
    <w:rsid w:val="00317B6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3AD"/>
    <w:rsid w:val="0032381D"/>
    <w:rsid w:val="0032413E"/>
    <w:rsid w:val="00324620"/>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79B"/>
    <w:rsid w:val="003318F6"/>
    <w:rsid w:val="00331AEB"/>
    <w:rsid w:val="00331B23"/>
    <w:rsid w:val="00331BBE"/>
    <w:rsid w:val="0033208B"/>
    <w:rsid w:val="0033297A"/>
    <w:rsid w:val="00332E37"/>
    <w:rsid w:val="00332F13"/>
    <w:rsid w:val="0033310C"/>
    <w:rsid w:val="0033328D"/>
    <w:rsid w:val="00335062"/>
    <w:rsid w:val="003351C5"/>
    <w:rsid w:val="00335411"/>
    <w:rsid w:val="003360CF"/>
    <w:rsid w:val="00336266"/>
    <w:rsid w:val="0033629E"/>
    <w:rsid w:val="00336B44"/>
    <w:rsid w:val="00336B9A"/>
    <w:rsid w:val="00336C59"/>
    <w:rsid w:val="00336D93"/>
    <w:rsid w:val="0033715D"/>
    <w:rsid w:val="00337EF2"/>
    <w:rsid w:val="00340428"/>
    <w:rsid w:val="003406E0"/>
    <w:rsid w:val="00340954"/>
    <w:rsid w:val="00340B6E"/>
    <w:rsid w:val="0034144A"/>
    <w:rsid w:val="003414EA"/>
    <w:rsid w:val="0034163E"/>
    <w:rsid w:val="00341862"/>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4DC"/>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46"/>
    <w:rsid w:val="003576A2"/>
    <w:rsid w:val="00357F85"/>
    <w:rsid w:val="003601F7"/>
    <w:rsid w:val="00361270"/>
    <w:rsid w:val="003612FC"/>
    <w:rsid w:val="0036143D"/>
    <w:rsid w:val="00361689"/>
    <w:rsid w:val="003619F3"/>
    <w:rsid w:val="00361E88"/>
    <w:rsid w:val="0036204C"/>
    <w:rsid w:val="003629D3"/>
    <w:rsid w:val="00362ED2"/>
    <w:rsid w:val="00363025"/>
    <w:rsid w:val="003634B1"/>
    <w:rsid w:val="00363612"/>
    <w:rsid w:val="00363AEA"/>
    <w:rsid w:val="00363C74"/>
    <w:rsid w:val="00364365"/>
    <w:rsid w:val="0036468E"/>
    <w:rsid w:val="0036497D"/>
    <w:rsid w:val="003652C3"/>
    <w:rsid w:val="00365954"/>
    <w:rsid w:val="00365C69"/>
    <w:rsid w:val="00365E32"/>
    <w:rsid w:val="00366069"/>
    <w:rsid w:val="0036636D"/>
    <w:rsid w:val="00366527"/>
    <w:rsid w:val="00366844"/>
    <w:rsid w:val="003674A1"/>
    <w:rsid w:val="0036784F"/>
    <w:rsid w:val="00367B88"/>
    <w:rsid w:val="00367C06"/>
    <w:rsid w:val="00367C5D"/>
    <w:rsid w:val="0037064E"/>
    <w:rsid w:val="0037090F"/>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1F0C"/>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06"/>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1DB2"/>
    <w:rsid w:val="003A257F"/>
    <w:rsid w:val="003A273E"/>
    <w:rsid w:val="003A28C5"/>
    <w:rsid w:val="003A28CA"/>
    <w:rsid w:val="003A2A79"/>
    <w:rsid w:val="003A2ECC"/>
    <w:rsid w:val="003A2FEE"/>
    <w:rsid w:val="003A3034"/>
    <w:rsid w:val="003A390E"/>
    <w:rsid w:val="003A480D"/>
    <w:rsid w:val="003A488C"/>
    <w:rsid w:val="003A4E9C"/>
    <w:rsid w:val="003A4F5E"/>
    <w:rsid w:val="003A4F93"/>
    <w:rsid w:val="003A4FAF"/>
    <w:rsid w:val="003A502D"/>
    <w:rsid w:val="003A51D7"/>
    <w:rsid w:val="003A57F2"/>
    <w:rsid w:val="003A5AEE"/>
    <w:rsid w:val="003A5B68"/>
    <w:rsid w:val="003A65B8"/>
    <w:rsid w:val="003A6920"/>
    <w:rsid w:val="003A6E12"/>
    <w:rsid w:val="003A76AF"/>
    <w:rsid w:val="003A76D1"/>
    <w:rsid w:val="003A7E6E"/>
    <w:rsid w:val="003A7EFC"/>
    <w:rsid w:val="003B07D6"/>
    <w:rsid w:val="003B0BBC"/>
    <w:rsid w:val="003B16CD"/>
    <w:rsid w:val="003B1C3E"/>
    <w:rsid w:val="003B231D"/>
    <w:rsid w:val="003B2802"/>
    <w:rsid w:val="003B280E"/>
    <w:rsid w:val="003B2D20"/>
    <w:rsid w:val="003B359C"/>
    <w:rsid w:val="003B3B29"/>
    <w:rsid w:val="003B481A"/>
    <w:rsid w:val="003B4D18"/>
    <w:rsid w:val="003B50EF"/>
    <w:rsid w:val="003B54E5"/>
    <w:rsid w:val="003B58C5"/>
    <w:rsid w:val="003B5BAA"/>
    <w:rsid w:val="003B5C47"/>
    <w:rsid w:val="003B5E1E"/>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26FC"/>
    <w:rsid w:val="003C3109"/>
    <w:rsid w:val="003C310E"/>
    <w:rsid w:val="003C31A0"/>
    <w:rsid w:val="003C35AC"/>
    <w:rsid w:val="003C3601"/>
    <w:rsid w:val="003C3637"/>
    <w:rsid w:val="003C396F"/>
    <w:rsid w:val="003C3EE1"/>
    <w:rsid w:val="003C41BE"/>
    <w:rsid w:val="003C465D"/>
    <w:rsid w:val="003C482B"/>
    <w:rsid w:val="003C4B4E"/>
    <w:rsid w:val="003C5025"/>
    <w:rsid w:val="003C54FD"/>
    <w:rsid w:val="003C56D7"/>
    <w:rsid w:val="003C58A2"/>
    <w:rsid w:val="003C5C78"/>
    <w:rsid w:val="003C5D60"/>
    <w:rsid w:val="003C616C"/>
    <w:rsid w:val="003C675E"/>
    <w:rsid w:val="003C676E"/>
    <w:rsid w:val="003C6B97"/>
    <w:rsid w:val="003C7194"/>
    <w:rsid w:val="003C72CE"/>
    <w:rsid w:val="003C7726"/>
    <w:rsid w:val="003C7EB8"/>
    <w:rsid w:val="003D0095"/>
    <w:rsid w:val="003D09A3"/>
    <w:rsid w:val="003D0AA0"/>
    <w:rsid w:val="003D0D85"/>
    <w:rsid w:val="003D1842"/>
    <w:rsid w:val="003D25C5"/>
    <w:rsid w:val="003D2953"/>
    <w:rsid w:val="003D2B44"/>
    <w:rsid w:val="003D3A66"/>
    <w:rsid w:val="003D4826"/>
    <w:rsid w:val="003D4A20"/>
    <w:rsid w:val="003D4E6F"/>
    <w:rsid w:val="003D5B08"/>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6DA"/>
    <w:rsid w:val="003E380A"/>
    <w:rsid w:val="003E4559"/>
    <w:rsid w:val="003E47DA"/>
    <w:rsid w:val="003E5079"/>
    <w:rsid w:val="003E5099"/>
    <w:rsid w:val="003E5200"/>
    <w:rsid w:val="003E528A"/>
    <w:rsid w:val="003E53B2"/>
    <w:rsid w:val="003E570B"/>
    <w:rsid w:val="003E5D22"/>
    <w:rsid w:val="003E5E4F"/>
    <w:rsid w:val="003E5E6C"/>
    <w:rsid w:val="003E60CE"/>
    <w:rsid w:val="003E657F"/>
    <w:rsid w:val="003E6653"/>
    <w:rsid w:val="003E6E55"/>
    <w:rsid w:val="003E6E6D"/>
    <w:rsid w:val="003E6F8E"/>
    <w:rsid w:val="003E7840"/>
    <w:rsid w:val="003E7B17"/>
    <w:rsid w:val="003E7D4C"/>
    <w:rsid w:val="003F00EF"/>
    <w:rsid w:val="003F01E1"/>
    <w:rsid w:val="003F04C9"/>
    <w:rsid w:val="003F0A26"/>
    <w:rsid w:val="003F11ED"/>
    <w:rsid w:val="003F1C39"/>
    <w:rsid w:val="003F2122"/>
    <w:rsid w:val="003F23B7"/>
    <w:rsid w:val="003F23C5"/>
    <w:rsid w:val="003F28C6"/>
    <w:rsid w:val="003F2AC0"/>
    <w:rsid w:val="003F330C"/>
    <w:rsid w:val="003F3D28"/>
    <w:rsid w:val="003F4319"/>
    <w:rsid w:val="003F4603"/>
    <w:rsid w:val="003F489A"/>
    <w:rsid w:val="003F49A7"/>
    <w:rsid w:val="003F4CE9"/>
    <w:rsid w:val="003F50B7"/>
    <w:rsid w:val="003F54FE"/>
    <w:rsid w:val="003F6436"/>
    <w:rsid w:val="003F6F52"/>
    <w:rsid w:val="003F73FF"/>
    <w:rsid w:val="003F7C34"/>
    <w:rsid w:val="0040016F"/>
    <w:rsid w:val="004005AC"/>
    <w:rsid w:val="00400913"/>
    <w:rsid w:val="004009BA"/>
    <w:rsid w:val="00400B59"/>
    <w:rsid w:val="00400C3F"/>
    <w:rsid w:val="00400CCA"/>
    <w:rsid w:val="00400ED6"/>
    <w:rsid w:val="00402589"/>
    <w:rsid w:val="004027E7"/>
    <w:rsid w:val="00402FC7"/>
    <w:rsid w:val="004034D6"/>
    <w:rsid w:val="00403722"/>
    <w:rsid w:val="004037BE"/>
    <w:rsid w:val="0040382E"/>
    <w:rsid w:val="00403861"/>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312"/>
    <w:rsid w:val="00412693"/>
    <w:rsid w:val="0041271A"/>
    <w:rsid w:val="00412781"/>
    <w:rsid w:val="004128B8"/>
    <w:rsid w:val="00412C39"/>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1CA"/>
    <w:rsid w:val="0041728C"/>
    <w:rsid w:val="0041747B"/>
    <w:rsid w:val="0041791C"/>
    <w:rsid w:val="0041797D"/>
    <w:rsid w:val="004200D6"/>
    <w:rsid w:val="00420927"/>
    <w:rsid w:val="00420A79"/>
    <w:rsid w:val="00420C29"/>
    <w:rsid w:val="00420D35"/>
    <w:rsid w:val="00420EE5"/>
    <w:rsid w:val="00421067"/>
    <w:rsid w:val="0042114A"/>
    <w:rsid w:val="004213EB"/>
    <w:rsid w:val="004221F2"/>
    <w:rsid w:val="0042268C"/>
    <w:rsid w:val="00422760"/>
    <w:rsid w:val="004228A6"/>
    <w:rsid w:val="0042299B"/>
    <w:rsid w:val="00422A10"/>
    <w:rsid w:val="00422E11"/>
    <w:rsid w:val="004230E9"/>
    <w:rsid w:val="0042351A"/>
    <w:rsid w:val="00423A2B"/>
    <w:rsid w:val="00423CAA"/>
    <w:rsid w:val="004246B1"/>
    <w:rsid w:val="00424B42"/>
    <w:rsid w:val="004258B3"/>
    <w:rsid w:val="00425988"/>
    <w:rsid w:val="00426805"/>
    <w:rsid w:val="00427358"/>
    <w:rsid w:val="004274E3"/>
    <w:rsid w:val="0042762E"/>
    <w:rsid w:val="004300FE"/>
    <w:rsid w:val="004304E9"/>
    <w:rsid w:val="0043064B"/>
    <w:rsid w:val="00430B72"/>
    <w:rsid w:val="00430ECB"/>
    <w:rsid w:val="0043100B"/>
    <w:rsid w:val="00431013"/>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D23"/>
    <w:rsid w:val="00441EBE"/>
    <w:rsid w:val="004427D2"/>
    <w:rsid w:val="00442DD2"/>
    <w:rsid w:val="00442FC4"/>
    <w:rsid w:val="004430E2"/>
    <w:rsid w:val="004434FE"/>
    <w:rsid w:val="00443832"/>
    <w:rsid w:val="00443942"/>
    <w:rsid w:val="00443A3B"/>
    <w:rsid w:val="00443B1F"/>
    <w:rsid w:val="00443C2A"/>
    <w:rsid w:val="00443F8A"/>
    <w:rsid w:val="0044454A"/>
    <w:rsid w:val="00444553"/>
    <w:rsid w:val="00444B3B"/>
    <w:rsid w:val="00444DF9"/>
    <w:rsid w:val="0044506C"/>
    <w:rsid w:val="00445088"/>
    <w:rsid w:val="004450D3"/>
    <w:rsid w:val="004452A0"/>
    <w:rsid w:val="00445426"/>
    <w:rsid w:val="00445B08"/>
    <w:rsid w:val="00445BC3"/>
    <w:rsid w:val="00445DC7"/>
    <w:rsid w:val="00445EBC"/>
    <w:rsid w:val="004465F8"/>
    <w:rsid w:val="00446631"/>
    <w:rsid w:val="0044673D"/>
    <w:rsid w:val="00446D1B"/>
    <w:rsid w:val="00446D81"/>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49E9"/>
    <w:rsid w:val="00455437"/>
    <w:rsid w:val="004558BC"/>
    <w:rsid w:val="004559D3"/>
    <w:rsid w:val="00455AFD"/>
    <w:rsid w:val="004564EF"/>
    <w:rsid w:val="00456630"/>
    <w:rsid w:val="00456755"/>
    <w:rsid w:val="00456891"/>
    <w:rsid w:val="00456E6A"/>
    <w:rsid w:val="00456E93"/>
    <w:rsid w:val="00456FFF"/>
    <w:rsid w:val="0045739E"/>
    <w:rsid w:val="0045740A"/>
    <w:rsid w:val="0045765B"/>
    <w:rsid w:val="00457B14"/>
    <w:rsid w:val="00460551"/>
    <w:rsid w:val="004605D1"/>
    <w:rsid w:val="004605FA"/>
    <w:rsid w:val="0046068A"/>
    <w:rsid w:val="00460C3F"/>
    <w:rsid w:val="00460FBF"/>
    <w:rsid w:val="0046117C"/>
    <w:rsid w:val="004613B7"/>
    <w:rsid w:val="004614BE"/>
    <w:rsid w:val="00461569"/>
    <w:rsid w:val="0046173B"/>
    <w:rsid w:val="004618FE"/>
    <w:rsid w:val="0046210B"/>
    <w:rsid w:val="00462669"/>
    <w:rsid w:val="004626F3"/>
    <w:rsid w:val="00462D57"/>
    <w:rsid w:val="0046342F"/>
    <w:rsid w:val="00463D73"/>
    <w:rsid w:val="0046403A"/>
    <w:rsid w:val="004640AF"/>
    <w:rsid w:val="00464577"/>
    <w:rsid w:val="004646A0"/>
    <w:rsid w:val="0046470E"/>
    <w:rsid w:val="00464B50"/>
    <w:rsid w:val="00464D54"/>
    <w:rsid w:val="00465389"/>
    <w:rsid w:val="00465C03"/>
    <w:rsid w:val="00465E12"/>
    <w:rsid w:val="0046604F"/>
    <w:rsid w:val="0046607F"/>
    <w:rsid w:val="00466442"/>
    <w:rsid w:val="004664BE"/>
    <w:rsid w:val="004664DB"/>
    <w:rsid w:val="00466A81"/>
    <w:rsid w:val="004671B2"/>
    <w:rsid w:val="004672B6"/>
    <w:rsid w:val="00467CA4"/>
    <w:rsid w:val="004708FE"/>
    <w:rsid w:val="00470BFF"/>
    <w:rsid w:val="00470F18"/>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3FD9"/>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EF5"/>
    <w:rsid w:val="00486F3F"/>
    <w:rsid w:val="00487EDF"/>
    <w:rsid w:val="0049046B"/>
    <w:rsid w:val="00491012"/>
    <w:rsid w:val="004917B7"/>
    <w:rsid w:val="00491C0C"/>
    <w:rsid w:val="00491F76"/>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6E31"/>
    <w:rsid w:val="0049714F"/>
    <w:rsid w:val="0049723C"/>
    <w:rsid w:val="0049741E"/>
    <w:rsid w:val="00497849"/>
    <w:rsid w:val="00497CD2"/>
    <w:rsid w:val="00497FD7"/>
    <w:rsid w:val="004A04D4"/>
    <w:rsid w:val="004A05E6"/>
    <w:rsid w:val="004A0750"/>
    <w:rsid w:val="004A1190"/>
    <w:rsid w:val="004A1450"/>
    <w:rsid w:val="004A1697"/>
    <w:rsid w:val="004A18F4"/>
    <w:rsid w:val="004A1A12"/>
    <w:rsid w:val="004A1BA0"/>
    <w:rsid w:val="004A1EE9"/>
    <w:rsid w:val="004A20E7"/>
    <w:rsid w:val="004A2129"/>
    <w:rsid w:val="004A227F"/>
    <w:rsid w:val="004A2604"/>
    <w:rsid w:val="004A31FA"/>
    <w:rsid w:val="004A3E7F"/>
    <w:rsid w:val="004A40A8"/>
    <w:rsid w:val="004A4B9C"/>
    <w:rsid w:val="004A4DC0"/>
    <w:rsid w:val="004A5296"/>
    <w:rsid w:val="004A548F"/>
    <w:rsid w:val="004A56EE"/>
    <w:rsid w:val="004A5743"/>
    <w:rsid w:val="004A5A50"/>
    <w:rsid w:val="004A5C35"/>
    <w:rsid w:val="004A5F94"/>
    <w:rsid w:val="004A624A"/>
    <w:rsid w:val="004A625D"/>
    <w:rsid w:val="004A62B1"/>
    <w:rsid w:val="004A6ACE"/>
    <w:rsid w:val="004A6DF9"/>
    <w:rsid w:val="004A6E3C"/>
    <w:rsid w:val="004A770D"/>
    <w:rsid w:val="004A772B"/>
    <w:rsid w:val="004A79C5"/>
    <w:rsid w:val="004A7B9F"/>
    <w:rsid w:val="004B0375"/>
    <w:rsid w:val="004B050B"/>
    <w:rsid w:val="004B0877"/>
    <w:rsid w:val="004B0CA2"/>
    <w:rsid w:val="004B12EB"/>
    <w:rsid w:val="004B154F"/>
    <w:rsid w:val="004B2278"/>
    <w:rsid w:val="004B24FC"/>
    <w:rsid w:val="004B2915"/>
    <w:rsid w:val="004B29A3"/>
    <w:rsid w:val="004B2F20"/>
    <w:rsid w:val="004B3546"/>
    <w:rsid w:val="004B3649"/>
    <w:rsid w:val="004B3BDE"/>
    <w:rsid w:val="004B3C75"/>
    <w:rsid w:val="004B43FE"/>
    <w:rsid w:val="004B47A0"/>
    <w:rsid w:val="004B4C04"/>
    <w:rsid w:val="004B4EA3"/>
    <w:rsid w:val="004B5632"/>
    <w:rsid w:val="004B564E"/>
    <w:rsid w:val="004B67EF"/>
    <w:rsid w:val="004B6974"/>
    <w:rsid w:val="004B6F2F"/>
    <w:rsid w:val="004B7005"/>
    <w:rsid w:val="004B707E"/>
    <w:rsid w:val="004B73EE"/>
    <w:rsid w:val="004B76CA"/>
    <w:rsid w:val="004B7802"/>
    <w:rsid w:val="004B7F44"/>
    <w:rsid w:val="004B7FE3"/>
    <w:rsid w:val="004C071F"/>
    <w:rsid w:val="004C0D98"/>
    <w:rsid w:val="004C0E7A"/>
    <w:rsid w:val="004C0FFE"/>
    <w:rsid w:val="004C1895"/>
    <w:rsid w:val="004C1903"/>
    <w:rsid w:val="004C1DF3"/>
    <w:rsid w:val="004C1EF2"/>
    <w:rsid w:val="004C1F9C"/>
    <w:rsid w:val="004C200F"/>
    <w:rsid w:val="004C202E"/>
    <w:rsid w:val="004C2124"/>
    <w:rsid w:val="004C29EE"/>
    <w:rsid w:val="004C319F"/>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0FDA"/>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26"/>
    <w:rsid w:val="004E3FEF"/>
    <w:rsid w:val="004E4268"/>
    <w:rsid w:val="004E5042"/>
    <w:rsid w:val="004E51A5"/>
    <w:rsid w:val="004E5466"/>
    <w:rsid w:val="004E59B2"/>
    <w:rsid w:val="004E5C1F"/>
    <w:rsid w:val="004E5C55"/>
    <w:rsid w:val="004E5FC6"/>
    <w:rsid w:val="004E6562"/>
    <w:rsid w:val="004E65B4"/>
    <w:rsid w:val="004E7427"/>
    <w:rsid w:val="004E7A46"/>
    <w:rsid w:val="004E7A9B"/>
    <w:rsid w:val="004E7CAF"/>
    <w:rsid w:val="004E7F59"/>
    <w:rsid w:val="004F071F"/>
    <w:rsid w:val="004F0749"/>
    <w:rsid w:val="004F0AA5"/>
    <w:rsid w:val="004F0EE0"/>
    <w:rsid w:val="004F14D6"/>
    <w:rsid w:val="004F1946"/>
    <w:rsid w:val="004F230C"/>
    <w:rsid w:val="004F279D"/>
    <w:rsid w:val="004F285D"/>
    <w:rsid w:val="004F28E8"/>
    <w:rsid w:val="004F2C95"/>
    <w:rsid w:val="004F321F"/>
    <w:rsid w:val="004F331D"/>
    <w:rsid w:val="004F3924"/>
    <w:rsid w:val="004F3C98"/>
    <w:rsid w:val="004F3D97"/>
    <w:rsid w:val="004F3EF7"/>
    <w:rsid w:val="004F437A"/>
    <w:rsid w:val="004F46E0"/>
    <w:rsid w:val="004F4999"/>
    <w:rsid w:val="004F4D2A"/>
    <w:rsid w:val="004F542C"/>
    <w:rsid w:val="004F5485"/>
    <w:rsid w:val="004F551C"/>
    <w:rsid w:val="004F605B"/>
    <w:rsid w:val="004F610E"/>
    <w:rsid w:val="004F6165"/>
    <w:rsid w:val="004F6C47"/>
    <w:rsid w:val="004F6DF0"/>
    <w:rsid w:val="004F756E"/>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1991"/>
    <w:rsid w:val="0051234A"/>
    <w:rsid w:val="00512655"/>
    <w:rsid w:val="00512867"/>
    <w:rsid w:val="0051295C"/>
    <w:rsid w:val="00512AD6"/>
    <w:rsid w:val="00512B65"/>
    <w:rsid w:val="00512C30"/>
    <w:rsid w:val="00512C92"/>
    <w:rsid w:val="00512EA2"/>
    <w:rsid w:val="005135E9"/>
    <w:rsid w:val="00513A4A"/>
    <w:rsid w:val="00513B4C"/>
    <w:rsid w:val="00513CB1"/>
    <w:rsid w:val="00513F2B"/>
    <w:rsid w:val="005141E7"/>
    <w:rsid w:val="00514877"/>
    <w:rsid w:val="0051497E"/>
    <w:rsid w:val="005149F4"/>
    <w:rsid w:val="00514B10"/>
    <w:rsid w:val="00515024"/>
    <w:rsid w:val="00515157"/>
    <w:rsid w:val="005155B7"/>
    <w:rsid w:val="00515639"/>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CD"/>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968"/>
    <w:rsid w:val="00530E37"/>
    <w:rsid w:val="00531176"/>
    <w:rsid w:val="00531370"/>
    <w:rsid w:val="00531CDF"/>
    <w:rsid w:val="00531D1C"/>
    <w:rsid w:val="005321AA"/>
    <w:rsid w:val="00532336"/>
    <w:rsid w:val="00532684"/>
    <w:rsid w:val="00532703"/>
    <w:rsid w:val="005327A0"/>
    <w:rsid w:val="00532C9F"/>
    <w:rsid w:val="00533028"/>
    <w:rsid w:val="00533727"/>
    <w:rsid w:val="00533999"/>
    <w:rsid w:val="00533D97"/>
    <w:rsid w:val="00533F89"/>
    <w:rsid w:val="00533FF6"/>
    <w:rsid w:val="005345CE"/>
    <w:rsid w:val="00534CBA"/>
    <w:rsid w:val="0053604D"/>
    <w:rsid w:val="00536311"/>
    <w:rsid w:val="0053642E"/>
    <w:rsid w:val="0053684F"/>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4FED"/>
    <w:rsid w:val="00545239"/>
    <w:rsid w:val="005456BE"/>
    <w:rsid w:val="00545D69"/>
    <w:rsid w:val="00547059"/>
    <w:rsid w:val="00547061"/>
    <w:rsid w:val="00547702"/>
    <w:rsid w:val="00547731"/>
    <w:rsid w:val="005478D9"/>
    <w:rsid w:val="005479A1"/>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CC8"/>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09A"/>
    <w:rsid w:val="00562864"/>
    <w:rsid w:val="00563AC0"/>
    <w:rsid w:val="005642B1"/>
    <w:rsid w:val="0056453F"/>
    <w:rsid w:val="00564DE0"/>
    <w:rsid w:val="00565D97"/>
    <w:rsid w:val="0056611B"/>
    <w:rsid w:val="005666C7"/>
    <w:rsid w:val="0056698A"/>
    <w:rsid w:val="00566DEB"/>
    <w:rsid w:val="00567575"/>
    <w:rsid w:val="005679C7"/>
    <w:rsid w:val="00567D33"/>
    <w:rsid w:val="005704DE"/>
    <w:rsid w:val="00570C2B"/>
    <w:rsid w:val="00570FB4"/>
    <w:rsid w:val="005716D6"/>
    <w:rsid w:val="00571837"/>
    <w:rsid w:val="005719E6"/>
    <w:rsid w:val="0057221B"/>
    <w:rsid w:val="005726D7"/>
    <w:rsid w:val="00573266"/>
    <w:rsid w:val="00573284"/>
    <w:rsid w:val="00573AE6"/>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498"/>
    <w:rsid w:val="00584886"/>
    <w:rsid w:val="0058504A"/>
    <w:rsid w:val="005852E2"/>
    <w:rsid w:val="00585435"/>
    <w:rsid w:val="00585637"/>
    <w:rsid w:val="00585D82"/>
    <w:rsid w:val="00586365"/>
    <w:rsid w:val="0058730F"/>
    <w:rsid w:val="00590185"/>
    <w:rsid w:val="005905EF"/>
    <w:rsid w:val="00590C35"/>
    <w:rsid w:val="00590DE8"/>
    <w:rsid w:val="00591965"/>
    <w:rsid w:val="00591BDF"/>
    <w:rsid w:val="00591F01"/>
    <w:rsid w:val="00592332"/>
    <w:rsid w:val="0059241B"/>
    <w:rsid w:val="0059248B"/>
    <w:rsid w:val="00592C6F"/>
    <w:rsid w:val="00593189"/>
    <w:rsid w:val="005933AD"/>
    <w:rsid w:val="00593A48"/>
    <w:rsid w:val="00593A5E"/>
    <w:rsid w:val="00593D7B"/>
    <w:rsid w:val="00593FD9"/>
    <w:rsid w:val="00594678"/>
    <w:rsid w:val="00595358"/>
    <w:rsid w:val="0059550E"/>
    <w:rsid w:val="00595846"/>
    <w:rsid w:val="00595C58"/>
    <w:rsid w:val="00595E94"/>
    <w:rsid w:val="00596108"/>
    <w:rsid w:val="005961E2"/>
    <w:rsid w:val="0059629C"/>
    <w:rsid w:val="00596327"/>
    <w:rsid w:val="00596481"/>
    <w:rsid w:val="00596791"/>
    <w:rsid w:val="00596853"/>
    <w:rsid w:val="00596DE0"/>
    <w:rsid w:val="00596E0D"/>
    <w:rsid w:val="0059733B"/>
    <w:rsid w:val="00597BF8"/>
    <w:rsid w:val="005A004D"/>
    <w:rsid w:val="005A06C7"/>
    <w:rsid w:val="005A07CA"/>
    <w:rsid w:val="005A1277"/>
    <w:rsid w:val="005A1451"/>
    <w:rsid w:val="005A1943"/>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A7597"/>
    <w:rsid w:val="005B00F3"/>
    <w:rsid w:val="005B0222"/>
    <w:rsid w:val="005B0309"/>
    <w:rsid w:val="005B0661"/>
    <w:rsid w:val="005B0784"/>
    <w:rsid w:val="005B09E9"/>
    <w:rsid w:val="005B0BC6"/>
    <w:rsid w:val="005B0C19"/>
    <w:rsid w:val="005B0E90"/>
    <w:rsid w:val="005B0FF8"/>
    <w:rsid w:val="005B15A7"/>
    <w:rsid w:val="005B1BE5"/>
    <w:rsid w:val="005B23B5"/>
    <w:rsid w:val="005B2582"/>
    <w:rsid w:val="005B2B21"/>
    <w:rsid w:val="005B3770"/>
    <w:rsid w:val="005B37F2"/>
    <w:rsid w:val="005B419F"/>
    <w:rsid w:val="005B43F8"/>
    <w:rsid w:val="005B4D37"/>
    <w:rsid w:val="005B5429"/>
    <w:rsid w:val="005B558C"/>
    <w:rsid w:val="005B6A4D"/>
    <w:rsid w:val="005B6FF8"/>
    <w:rsid w:val="005B7553"/>
    <w:rsid w:val="005B78D7"/>
    <w:rsid w:val="005B78DB"/>
    <w:rsid w:val="005B7957"/>
    <w:rsid w:val="005C0143"/>
    <w:rsid w:val="005C0272"/>
    <w:rsid w:val="005C0492"/>
    <w:rsid w:val="005C078F"/>
    <w:rsid w:val="005C09B1"/>
    <w:rsid w:val="005C0E0F"/>
    <w:rsid w:val="005C0F52"/>
    <w:rsid w:val="005C1194"/>
    <w:rsid w:val="005C1457"/>
    <w:rsid w:val="005C1710"/>
    <w:rsid w:val="005C22E1"/>
    <w:rsid w:val="005C23EF"/>
    <w:rsid w:val="005C2665"/>
    <w:rsid w:val="005C2DA7"/>
    <w:rsid w:val="005C2F1D"/>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1D9"/>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857"/>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49A6"/>
    <w:rsid w:val="005E5222"/>
    <w:rsid w:val="005E53D7"/>
    <w:rsid w:val="005E5837"/>
    <w:rsid w:val="005E5D5F"/>
    <w:rsid w:val="005E5E43"/>
    <w:rsid w:val="005E5E69"/>
    <w:rsid w:val="005E5FBE"/>
    <w:rsid w:val="005E5FC4"/>
    <w:rsid w:val="005E63DF"/>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DA6"/>
    <w:rsid w:val="005F4E29"/>
    <w:rsid w:val="005F570E"/>
    <w:rsid w:val="005F5BA2"/>
    <w:rsid w:val="005F607A"/>
    <w:rsid w:val="005F6091"/>
    <w:rsid w:val="005F6652"/>
    <w:rsid w:val="005F6681"/>
    <w:rsid w:val="005F66C4"/>
    <w:rsid w:val="005F6971"/>
    <w:rsid w:val="005F6AA0"/>
    <w:rsid w:val="005F6DB2"/>
    <w:rsid w:val="005F72A7"/>
    <w:rsid w:val="005F736D"/>
    <w:rsid w:val="005F7A51"/>
    <w:rsid w:val="005F7AB2"/>
    <w:rsid w:val="005F7C41"/>
    <w:rsid w:val="005F7CEC"/>
    <w:rsid w:val="006004DC"/>
    <w:rsid w:val="00600755"/>
    <w:rsid w:val="006007E9"/>
    <w:rsid w:val="00600972"/>
    <w:rsid w:val="00600F1B"/>
    <w:rsid w:val="006013DD"/>
    <w:rsid w:val="00601489"/>
    <w:rsid w:val="006015C6"/>
    <w:rsid w:val="006017E6"/>
    <w:rsid w:val="00602511"/>
    <w:rsid w:val="00602601"/>
    <w:rsid w:val="006031C0"/>
    <w:rsid w:val="006031D7"/>
    <w:rsid w:val="00603FCE"/>
    <w:rsid w:val="0060438C"/>
    <w:rsid w:val="006044C0"/>
    <w:rsid w:val="00604683"/>
    <w:rsid w:val="006048FB"/>
    <w:rsid w:val="00604DE1"/>
    <w:rsid w:val="00604F29"/>
    <w:rsid w:val="00605A23"/>
    <w:rsid w:val="00606A45"/>
    <w:rsid w:val="00606AD7"/>
    <w:rsid w:val="00606B17"/>
    <w:rsid w:val="00606D76"/>
    <w:rsid w:val="00607295"/>
    <w:rsid w:val="006073A6"/>
    <w:rsid w:val="00607402"/>
    <w:rsid w:val="00607ECD"/>
    <w:rsid w:val="00607EED"/>
    <w:rsid w:val="00610851"/>
    <w:rsid w:val="0061091F"/>
    <w:rsid w:val="0061096D"/>
    <w:rsid w:val="00611C29"/>
    <w:rsid w:val="006123AA"/>
    <w:rsid w:val="00612C06"/>
    <w:rsid w:val="00613441"/>
    <w:rsid w:val="006134E3"/>
    <w:rsid w:val="00613714"/>
    <w:rsid w:val="0061375B"/>
    <w:rsid w:val="00613792"/>
    <w:rsid w:val="006137F6"/>
    <w:rsid w:val="00613943"/>
    <w:rsid w:val="00614718"/>
    <w:rsid w:val="00614EF0"/>
    <w:rsid w:val="00614F88"/>
    <w:rsid w:val="00615748"/>
    <w:rsid w:val="00615832"/>
    <w:rsid w:val="00615AE6"/>
    <w:rsid w:val="00615E65"/>
    <w:rsid w:val="00616572"/>
    <w:rsid w:val="006168AC"/>
    <w:rsid w:val="00616CA5"/>
    <w:rsid w:val="00616D43"/>
    <w:rsid w:val="0061704B"/>
    <w:rsid w:val="006170DE"/>
    <w:rsid w:val="00617598"/>
    <w:rsid w:val="00617722"/>
    <w:rsid w:val="006177E6"/>
    <w:rsid w:val="0061780E"/>
    <w:rsid w:val="0062080C"/>
    <w:rsid w:val="00620A49"/>
    <w:rsid w:val="00620A67"/>
    <w:rsid w:val="00621340"/>
    <w:rsid w:val="00621BA1"/>
    <w:rsid w:val="006220FA"/>
    <w:rsid w:val="006221A8"/>
    <w:rsid w:val="006221B2"/>
    <w:rsid w:val="00622225"/>
    <w:rsid w:val="006223CA"/>
    <w:rsid w:val="0062248D"/>
    <w:rsid w:val="006224DE"/>
    <w:rsid w:val="0062269A"/>
    <w:rsid w:val="006226E4"/>
    <w:rsid w:val="00622778"/>
    <w:rsid w:val="0062282C"/>
    <w:rsid w:val="00622ADC"/>
    <w:rsid w:val="00622CE0"/>
    <w:rsid w:val="00622EAF"/>
    <w:rsid w:val="006235A8"/>
    <w:rsid w:val="006235D2"/>
    <w:rsid w:val="0062434A"/>
    <w:rsid w:val="0062442C"/>
    <w:rsid w:val="006245DE"/>
    <w:rsid w:val="00625019"/>
    <w:rsid w:val="0062513F"/>
    <w:rsid w:val="006253FE"/>
    <w:rsid w:val="00625A2D"/>
    <w:rsid w:val="00625AB2"/>
    <w:rsid w:val="00625EF3"/>
    <w:rsid w:val="0062623E"/>
    <w:rsid w:val="00626313"/>
    <w:rsid w:val="00626745"/>
    <w:rsid w:val="00626BF2"/>
    <w:rsid w:val="00626CC2"/>
    <w:rsid w:val="00626CFF"/>
    <w:rsid w:val="00626E2F"/>
    <w:rsid w:val="00627185"/>
    <w:rsid w:val="006272FC"/>
    <w:rsid w:val="006273C6"/>
    <w:rsid w:val="006277EF"/>
    <w:rsid w:val="00627BB4"/>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2FD8"/>
    <w:rsid w:val="006330D8"/>
    <w:rsid w:val="0063393B"/>
    <w:rsid w:val="00633BC0"/>
    <w:rsid w:val="00633D1C"/>
    <w:rsid w:val="006348C9"/>
    <w:rsid w:val="00634A4A"/>
    <w:rsid w:val="006351F9"/>
    <w:rsid w:val="00635C58"/>
    <w:rsid w:val="00637231"/>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50F7"/>
    <w:rsid w:val="0064538D"/>
    <w:rsid w:val="006453D0"/>
    <w:rsid w:val="00645468"/>
    <w:rsid w:val="006454C8"/>
    <w:rsid w:val="006462AB"/>
    <w:rsid w:val="00646DAC"/>
    <w:rsid w:val="00647230"/>
    <w:rsid w:val="00647645"/>
    <w:rsid w:val="00647732"/>
    <w:rsid w:val="006477A4"/>
    <w:rsid w:val="00647C17"/>
    <w:rsid w:val="00647D2A"/>
    <w:rsid w:val="0065060F"/>
    <w:rsid w:val="00650628"/>
    <w:rsid w:val="00650785"/>
    <w:rsid w:val="00650A80"/>
    <w:rsid w:val="00650B27"/>
    <w:rsid w:val="00650EDD"/>
    <w:rsid w:val="00651474"/>
    <w:rsid w:val="006519B3"/>
    <w:rsid w:val="00651ED3"/>
    <w:rsid w:val="00652914"/>
    <w:rsid w:val="00652941"/>
    <w:rsid w:val="00652DB5"/>
    <w:rsid w:val="00653233"/>
    <w:rsid w:val="00653625"/>
    <w:rsid w:val="006537AE"/>
    <w:rsid w:val="00653837"/>
    <w:rsid w:val="0065427B"/>
    <w:rsid w:val="00654445"/>
    <w:rsid w:val="00654F9B"/>
    <w:rsid w:val="0065519E"/>
    <w:rsid w:val="006554F3"/>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5EE"/>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2C"/>
    <w:rsid w:val="00674B6A"/>
    <w:rsid w:val="00674E42"/>
    <w:rsid w:val="00675718"/>
    <w:rsid w:val="006759A0"/>
    <w:rsid w:val="00676C13"/>
    <w:rsid w:val="0067768E"/>
    <w:rsid w:val="00680422"/>
    <w:rsid w:val="00680654"/>
    <w:rsid w:val="006808D4"/>
    <w:rsid w:val="00680A4F"/>
    <w:rsid w:val="00680A63"/>
    <w:rsid w:val="00680CB2"/>
    <w:rsid w:val="00680FE5"/>
    <w:rsid w:val="00680FFB"/>
    <w:rsid w:val="00682179"/>
    <w:rsid w:val="00682273"/>
    <w:rsid w:val="006828D2"/>
    <w:rsid w:val="00683339"/>
    <w:rsid w:val="00683E08"/>
    <w:rsid w:val="00684CFC"/>
    <w:rsid w:val="00685A37"/>
    <w:rsid w:val="00685AEA"/>
    <w:rsid w:val="00685B8E"/>
    <w:rsid w:val="00685D53"/>
    <w:rsid w:val="00686005"/>
    <w:rsid w:val="006863FE"/>
    <w:rsid w:val="00686713"/>
    <w:rsid w:val="006868D4"/>
    <w:rsid w:val="00686C6D"/>
    <w:rsid w:val="00686D6D"/>
    <w:rsid w:val="00687159"/>
    <w:rsid w:val="00687522"/>
    <w:rsid w:val="006907AC"/>
    <w:rsid w:val="006909FE"/>
    <w:rsid w:val="00690A4A"/>
    <w:rsid w:val="006916DB"/>
    <w:rsid w:val="00691D32"/>
    <w:rsid w:val="006922F0"/>
    <w:rsid w:val="00692984"/>
    <w:rsid w:val="0069337F"/>
    <w:rsid w:val="006934CE"/>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6F2"/>
    <w:rsid w:val="00697751"/>
    <w:rsid w:val="00697BA5"/>
    <w:rsid w:val="00697C89"/>
    <w:rsid w:val="00697EA8"/>
    <w:rsid w:val="006A036D"/>
    <w:rsid w:val="006A0B90"/>
    <w:rsid w:val="006A0E83"/>
    <w:rsid w:val="006A0FC4"/>
    <w:rsid w:val="006A107F"/>
    <w:rsid w:val="006A1268"/>
    <w:rsid w:val="006A1EC7"/>
    <w:rsid w:val="006A2D4C"/>
    <w:rsid w:val="006A31C2"/>
    <w:rsid w:val="006A3464"/>
    <w:rsid w:val="006A3717"/>
    <w:rsid w:val="006A3BE4"/>
    <w:rsid w:val="006A3D86"/>
    <w:rsid w:val="006A48B2"/>
    <w:rsid w:val="006A4C31"/>
    <w:rsid w:val="006A4F4A"/>
    <w:rsid w:val="006A532C"/>
    <w:rsid w:val="006A57DA"/>
    <w:rsid w:val="006A5EB1"/>
    <w:rsid w:val="006A67CF"/>
    <w:rsid w:val="006A692B"/>
    <w:rsid w:val="006A69CD"/>
    <w:rsid w:val="006A6B29"/>
    <w:rsid w:val="006A6D9D"/>
    <w:rsid w:val="006A77E3"/>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EBF"/>
    <w:rsid w:val="006B3F51"/>
    <w:rsid w:val="006B4BF3"/>
    <w:rsid w:val="006B5279"/>
    <w:rsid w:val="006B5715"/>
    <w:rsid w:val="006B5AFB"/>
    <w:rsid w:val="006B6287"/>
    <w:rsid w:val="006B6330"/>
    <w:rsid w:val="006B6A80"/>
    <w:rsid w:val="006B6F24"/>
    <w:rsid w:val="006B7603"/>
    <w:rsid w:val="006B768A"/>
    <w:rsid w:val="006B7DE9"/>
    <w:rsid w:val="006B7E5A"/>
    <w:rsid w:val="006C0B21"/>
    <w:rsid w:val="006C1561"/>
    <w:rsid w:val="006C17FB"/>
    <w:rsid w:val="006C1AA4"/>
    <w:rsid w:val="006C1B2B"/>
    <w:rsid w:val="006C1D87"/>
    <w:rsid w:val="006C1DFE"/>
    <w:rsid w:val="006C1EC5"/>
    <w:rsid w:val="006C22E6"/>
    <w:rsid w:val="006C2390"/>
    <w:rsid w:val="006C24F9"/>
    <w:rsid w:val="006C292F"/>
    <w:rsid w:val="006C2DAA"/>
    <w:rsid w:val="006C3933"/>
    <w:rsid w:val="006C3CB8"/>
    <w:rsid w:val="006C41CE"/>
    <w:rsid w:val="006C4320"/>
    <w:rsid w:val="006C45AD"/>
    <w:rsid w:val="006C4B6D"/>
    <w:rsid w:val="006C4CF9"/>
    <w:rsid w:val="006C4D46"/>
    <w:rsid w:val="006C537B"/>
    <w:rsid w:val="006C5954"/>
    <w:rsid w:val="006C5C49"/>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8A2"/>
    <w:rsid w:val="006D099C"/>
    <w:rsid w:val="006D0C2F"/>
    <w:rsid w:val="006D113E"/>
    <w:rsid w:val="006D1400"/>
    <w:rsid w:val="006D142D"/>
    <w:rsid w:val="006D18B5"/>
    <w:rsid w:val="006D1DC0"/>
    <w:rsid w:val="006D21C6"/>
    <w:rsid w:val="006D254D"/>
    <w:rsid w:val="006D281F"/>
    <w:rsid w:val="006D2864"/>
    <w:rsid w:val="006D28F2"/>
    <w:rsid w:val="006D3179"/>
    <w:rsid w:val="006D3258"/>
    <w:rsid w:val="006D328E"/>
    <w:rsid w:val="006D3359"/>
    <w:rsid w:val="006D348B"/>
    <w:rsid w:val="006D370F"/>
    <w:rsid w:val="006D39AD"/>
    <w:rsid w:val="006D44A2"/>
    <w:rsid w:val="006D45F7"/>
    <w:rsid w:val="006D48D4"/>
    <w:rsid w:val="006D5B79"/>
    <w:rsid w:val="006D5FD1"/>
    <w:rsid w:val="006D62CC"/>
    <w:rsid w:val="006D6369"/>
    <w:rsid w:val="006D6480"/>
    <w:rsid w:val="006D6632"/>
    <w:rsid w:val="006D6E77"/>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313F"/>
    <w:rsid w:val="006E3453"/>
    <w:rsid w:val="006E38D0"/>
    <w:rsid w:val="006E4312"/>
    <w:rsid w:val="006E5018"/>
    <w:rsid w:val="006E5159"/>
    <w:rsid w:val="006E5219"/>
    <w:rsid w:val="006E5D3C"/>
    <w:rsid w:val="006E5E92"/>
    <w:rsid w:val="006E616B"/>
    <w:rsid w:val="006E6487"/>
    <w:rsid w:val="006E64D5"/>
    <w:rsid w:val="006E6691"/>
    <w:rsid w:val="006E6C55"/>
    <w:rsid w:val="006E732D"/>
    <w:rsid w:val="006E7617"/>
    <w:rsid w:val="006E779C"/>
    <w:rsid w:val="006E7A12"/>
    <w:rsid w:val="006E7D5E"/>
    <w:rsid w:val="006E7DDA"/>
    <w:rsid w:val="006F065F"/>
    <w:rsid w:val="006F0829"/>
    <w:rsid w:val="006F0F1C"/>
    <w:rsid w:val="006F223F"/>
    <w:rsid w:val="006F30A7"/>
    <w:rsid w:val="006F3119"/>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E55"/>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9C8"/>
    <w:rsid w:val="00705C25"/>
    <w:rsid w:val="007061E0"/>
    <w:rsid w:val="00706A14"/>
    <w:rsid w:val="00706F96"/>
    <w:rsid w:val="00707CBD"/>
    <w:rsid w:val="00707CFC"/>
    <w:rsid w:val="00707DB9"/>
    <w:rsid w:val="0071019A"/>
    <w:rsid w:val="0071026B"/>
    <w:rsid w:val="00710468"/>
    <w:rsid w:val="00710958"/>
    <w:rsid w:val="007109A1"/>
    <w:rsid w:val="00710DF7"/>
    <w:rsid w:val="007117F4"/>
    <w:rsid w:val="00711877"/>
    <w:rsid w:val="0071213A"/>
    <w:rsid w:val="0071221F"/>
    <w:rsid w:val="0071246C"/>
    <w:rsid w:val="007128F9"/>
    <w:rsid w:val="00713037"/>
    <w:rsid w:val="00713D13"/>
    <w:rsid w:val="0071449E"/>
    <w:rsid w:val="007144E3"/>
    <w:rsid w:val="007147C4"/>
    <w:rsid w:val="007147C6"/>
    <w:rsid w:val="00714C41"/>
    <w:rsid w:val="00714FAC"/>
    <w:rsid w:val="00714FF2"/>
    <w:rsid w:val="00715200"/>
    <w:rsid w:val="007156FF"/>
    <w:rsid w:val="007157FE"/>
    <w:rsid w:val="00715D4D"/>
    <w:rsid w:val="007165C3"/>
    <w:rsid w:val="00717043"/>
    <w:rsid w:val="007170ED"/>
    <w:rsid w:val="007176C8"/>
    <w:rsid w:val="00717828"/>
    <w:rsid w:val="00717955"/>
    <w:rsid w:val="007209DE"/>
    <w:rsid w:val="00720BC4"/>
    <w:rsid w:val="00720C14"/>
    <w:rsid w:val="00720E42"/>
    <w:rsid w:val="00721713"/>
    <w:rsid w:val="00721C13"/>
    <w:rsid w:val="00721CC3"/>
    <w:rsid w:val="007224F2"/>
    <w:rsid w:val="00722750"/>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1F21"/>
    <w:rsid w:val="007323FD"/>
    <w:rsid w:val="00732408"/>
    <w:rsid w:val="007325E2"/>
    <w:rsid w:val="00732B88"/>
    <w:rsid w:val="00732E35"/>
    <w:rsid w:val="007332C1"/>
    <w:rsid w:val="0073338D"/>
    <w:rsid w:val="007334AC"/>
    <w:rsid w:val="00733702"/>
    <w:rsid w:val="00733AF9"/>
    <w:rsid w:val="00733C9C"/>
    <w:rsid w:val="007348BE"/>
    <w:rsid w:val="00734ABC"/>
    <w:rsid w:val="00734DBA"/>
    <w:rsid w:val="007358F4"/>
    <w:rsid w:val="00735C83"/>
    <w:rsid w:val="00735D26"/>
    <w:rsid w:val="00735E2C"/>
    <w:rsid w:val="007366C7"/>
    <w:rsid w:val="0073690F"/>
    <w:rsid w:val="00736CCC"/>
    <w:rsid w:val="007371F5"/>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90F"/>
    <w:rsid w:val="00741CC3"/>
    <w:rsid w:val="00741F66"/>
    <w:rsid w:val="0074212B"/>
    <w:rsid w:val="0074224E"/>
    <w:rsid w:val="0074229C"/>
    <w:rsid w:val="00742A70"/>
    <w:rsid w:val="00742AC9"/>
    <w:rsid w:val="0074332A"/>
    <w:rsid w:val="007438F5"/>
    <w:rsid w:val="0074399D"/>
    <w:rsid w:val="00743AEE"/>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0AF5"/>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B5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707"/>
    <w:rsid w:val="007658BB"/>
    <w:rsid w:val="00765D32"/>
    <w:rsid w:val="007664AC"/>
    <w:rsid w:val="007667C0"/>
    <w:rsid w:val="00766E98"/>
    <w:rsid w:val="00767306"/>
    <w:rsid w:val="007673D0"/>
    <w:rsid w:val="00767529"/>
    <w:rsid w:val="00767C7A"/>
    <w:rsid w:val="00767CAB"/>
    <w:rsid w:val="00767F2D"/>
    <w:rsid w:val="007705C6"/>
    <w:rsid w:val="007708EA"/>
    <w:rsid w:val="007715DD"/>
    <w:rsid w:val="007719EC"/>
    <w:rsid w:val="00771B07"/>
    <w:rsid w:val="00771C9A"/>
    <w:rsid w:val="007720AC"/>
    <w:rsid w:val="00772CEB"/>
    <w:rsid w:val="0077319F"/>
    <w:rsid w:val="00773CE9"/>
    <w:rsid w:val="00773D09"/>
    <w:rsid w:val="00774714"/>
    <w:rsid w:val="00774C11"/>
    <w:rsid w:val="00774C1C"/>
    <w:rsid w:val="00775639"/>
    <w:rsid w:val="007757BC"/>
    <w:rsid w:val="00776136"/>
    <w:rsid w:val="007767C2"/>
    <w:rsid w:val="007768F7"/>
    <w:rsid w:val="00776F5C"/>
    <w:rsid w:val="00780256"/>
    <w:rsid w:val="007802BA"/>
    <w:rsid w:val="007804A5"/>
    <w:rsid w:val="007809E2"/>
    <w:rsid w:val="00780A60"/>
    <w:rsid w:val="00780D5C"/>
    <w:rsid w:val="007811DF"/>
    <w:rsid w:val="00781E17"/>
    <w:rsid w:val="00781FDD"/>
    <w:rsid w:val="00782115"/>
    <w:rsid w:val="00782123"/>
    <w:rsid w:val="00782219"/>
    <w:rsid w:val="00782BDD"/>
    <w:rsid w:val="00783A49"/>
    <w:rsid w:val="00783AAF"/>
    <w:rsid w:val="00783C95"/>
    <w:rsid w:val="00783DAC"/>
    <w:rsid w:val="00784148"/>
    <w:rsid w:val="00784194"/>
    <w:rsid w:val="00784303"/>
    <w:rsid w:val="00784375"/>
    <w:rsid w:val="007843AA"/>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1EF3"/>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B21"/>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1F35"/>
    <w:rsid w:val="007A2240"/>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9CF"/>
    <w:rsid w:val="007A5A4B"/>
    <w:rsid w:val="007A5B72"/>
    <w:rsid w:val="007A5BBC"/>
    <w:rsid w:val="007A6009"/>
    <w:rsid w:val="007A6230"/>
    <w:rsid w:val="007A62F0"/>
    <w:rsid w:val="007A7508"/>
    <w:rsid w:val="007B007F"/>
    <w:rsid w:val="007B04F7"/>
    <w:rsid w:val="007B064F"/>
    <w:rsid w:val="007B0CBF"/>
    <w:rsid w:val="007B0E32"/>
    <w:rsid w:val="007B0ECB"/>
    <w:rsid w:val="007B1427"/>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4D9"/>
    <w:rsid w:val="007B57A2"/>
    <w:rsid w:val="007B5A90"/>
    <w:rsid w:val="007B5AAE"/>
    <w:rsid w:val="007B60B5"/>
    <w:rsid w:val="007B6245"/>
    <w:rsid w:val="007B6595"/>
    <w:rsid w:val="007B6AD0"/>
    <w:rsid w:val="007B6BC0"/>
    <w:rsid w:val="007B70A0"/>
    <w:rsid w:val="007B717B"/>
    <w:rsid w:val="007B74D9"/>
    <w:rsid w:val="007B7721"/>
    <w:rsid w:val="007B789D"/>
    <w:rsid w:val="007B7BB9"/>
    <w:rsid w:val="007B7C06"/>
    <w:rsid w:val="007C02F4"/>
    <w:rsid w:val="007C0558"/>
    <w:rsid w:val="007C09B1"/>
    <w:rsid w:val="007C0E1C"/>
    <w:rsid w:val="007C0F1D"/>
    <w:rsid w:val="007C10D0"/>
    <w:rsid w:val="007C15DD"/>
    <w:rsid w:val="007C19BA"/>
    <w:rsid w:val="007C2348"/>
    <w:rsid w:val="007C2832"/>
    <w:rsid w:val="007C288A"/>
    <w:rsid w:val="007C2A09"/>
    <w:rsid w:val="007C2C8C"/>
    <w:rsid w:val="007C2E56"/>
    <w:rsid w:val="007C33D7"/>
    <w:rsid w:val="007C3639"/>
    <w:rsid w:val="007C38FB"/>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567"/>
    <w:rsid w:val="007C76A4"/>
    <w:rsid w:val="007C774A"/>
    <w:rsid w:val="007C7D24"/>
    <w:rsid w:val="007C7F30"/>
    <w:rsid w:val="007D09E1"/>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721"/>
    <w:rsid w:val="007D47F8"/>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1445"/>
    <w:rsid w:val="007E2295"/>
    <w:rsid w:val="007E2B21"/>
    <w:rsid w:val="007E2B46"/>
    <w:rsid w:val="007E2DA4"/>
    <w:rsid w:val="007E30FA"/>
    <w:rsid w:val="007E312D"/>
    <w:rsid w:val="007E3163"/>
    <w:rsid w:val="007E35A4"/>
    <w:rsid w:val="007E377D"/>
    <w:rsid w:val="007E3963"/>
    <w:rsid w:val="007E39A1"/>
    <w:rsid w:val="007E3DE0"/>
    <w:rsid w:val="007E40D5"/>
    <w:rsid w:val="007E4448"/>
    <w:rsid w:val="007E45F7"/>
    <w:rsid w:val="007E467D"/>
    <w:rsid w:val="007E484D"/>
    <w:rsid w:val="007E4C5A"/>
    <w:rsid w:val="007E4F06"/>
    <w:rsid w:val="007E536E"/>
    <w:rsid w:val="007E5404"/>
    <w:rsid w:val="007E55C7"/>
    <w:rsid w:val="007E59CE"/>
    <w:rsid w:val="007E5C50"/>
    <w:rsid w:val="007E6117"/>
    <w:rsid w:val="007E62C3"/>
    <w:rsid w:val="007E65D4"/>
    <w:rsid w:val="007E686A"/>
    <w:rsid w:val="007E6B37"/>
    <w:rsid w:val="007E7219"/>
    <w:rsid w:val="007E788E"/>
    <w:rsid w:val="007E7E37"/>
    <w:rsid w:val="007E7F75"/>
    <w:rsid w:val="007F0A09"/>
    <w:rsid w:val="007F0FAF"/>
    <w:rsid w:val="007F0FD7"/>
    <w:rsid w:val="007F1161"/>
    <w:rsid w:val="007F1CBC"/>
    <w:rsid w:val="007F1CCB"/>
    <w:rsid w:val="007F1EA4"/>
    <w:rsid w:val="007F1FFF"/>
    <w:rsid w:val="007F20FF"/>
    <w:rsid w:val="007F2380"/>
    <w:rsid w:val="007F25BD"/>
    <w:rsid w:val="007F25EC"/>
    <w:rsid w:val="007F2726"/>
    <w:rsid w:val="007F279F"/>
    <w:rsid w:val="007F283D"/>
    <w:rsid w:val="007F2C81"/>
    <w:rsid w:val="007F31B6"/>
    <w:rsid w:val="007F3294"/>
    <w:rsid w:val="007F3324"/>
    <w:rsid w:val="007F338C"/>
    <w:rsid w:val="007F35B6"/>
    <w:rsid w:val="007F39E5"/>
    <w:rsid w:val="007F3AF1"/>
    <w:rsid w:val="007F3B3A"/>
    <w:rsid w:val="007F3B88"/>
    <w:rsid w:val="007F3F72"/>
    <w:rsid w:val="007F43B8"/>
    <w:rsid w:val="007F45BF"/>
    <w:rsid w:val="007F495A"/>
    <w:rsid w:val="007F4CFA"/>
    <w:rsid w:val="007F511F"/>
    <w:rsid w:val="007F53AC"/>
    <w:rsid w:val="007F576E"/>
    <w:rsid w:val="007F5C52"/>
    <w:rsid w:val="007F65F4"/>
    <w:rsid w:val="007F6753"/>
    <w:rsid w:val="007F69D9"/>
    <w:rsid w:val="007F6B36"/>
    <w:rsid w:val="007F6C26"/>
    <w:rsid w:val="007F6DD3"/>
    <w:rsid w:val="007F7578"/>
    <w:rsid w:val="007F75D1"/>
    <w:rsid w:val="007F797F"/>
    <w:rsid w:val="007F7B35"/>
    <w:rsid w:val="00800106"/>
    <w:rsid w:val="00800B54"/>
    <w:rsid w:val="00800FDA"/>
    <w:rsid w:val="00801411"/>
    <w:rsid w:val="00801E8E"/>
    <w:rsid w:val="0080211F"/>
    <w:rsid w:val="008021DD"/>
    <w:rsid w:val="0080301C"/>
    <w:rsid w:val="008030B3"/>
    <w:rsid w:val="008030B8"/>
    <w:rsid w:val="00803337"/>
    <w:rsid w:val="008036C4"/>
    <w:rsid w:val="00803863"/>
    <w:rsid w:val="0080389D"/>
    <w:rsid w:val="00803BED"/>
    <w:rsid w:val="008044A1"/>
    <w:rsid w:val="00804781"/>
    <w:rsid w:val="00805037"/>
    <w:rsid w:val="0080535C"/>
    <w:rsid w:val="008057A5"/>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90C"/>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1FC"/>
    <w:rsid w:val="0082376A"/>
    <w:rsid w:val="008237BC"/>
    <w:rsid w:val="00823E22"/>
    <w:rsid w:val="00824922"/>
    <w:rsid w:val="008250A2"/>
    <w:rsid w:val="00825265"/>
    <w:rsid w:val="008257BA"/>
    <w:rsid w:val="00825BD6"/>
    <w:rsid w:val="0082617D"/>
    <w:rsid w:val="0082628A"/>
    <w:rsid w:val="00826581"/>
    <w:rsid w:val="00826CEE"/>
    <w:rsid w:val="00827093"/>
    <w:rsid w:val="008275FD"/>
    <w:rsid w:val="0082783D"/>
    <w:rsid w:val="008303E6"/>
    <w:rsid w:val="008304AF"/>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0D39"/>
    <w:rsid w:val="008512F1"/>
    <w:rsid w:val="00851867"/>
    <w:rsid w:val="00851E9F"/>
    <w:rsid w:val="008525FE"/>
    <w:rsid w:val="008526D1"/>
    <w:rsid w:val="008535A3"/>
    <w:rsid w:val="0085495C"/>
    <w:rsid w:val="00854A31"/>
    <w:rsid w:val="00854CA6"/>
    <w:rsid w:val="00855196"/>
    <w:rsid w:val="00855A72"/>
    <w:rsid w:val="00856180"/>
    <w:rsid w:val="008567BC"/>
    <w:rsid w:val="008567CB"/>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438"/>
    <w:rsid w:val="0086374E"/>
    <w:rsid w:val="00863B7A"/>
    <w:rsid w:val="008648AC"/>
    <w:rsid w:val="00864927"/>
    <w:rsid w:val="00864BDE"/>
    <w:rsid w:val="00864D62"/>
    <w:rsid w:val="00864EC7"/>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82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04"/>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A89"/>
    <w:rsid w:val="00887C04"/>
    <w:rsid w:val="00887D46"/>
    <w:rsid w:val="00890547"/>
    <w:rsid w:val="0089157D"/>
    <w:rsid w:val="00891785"/>
    <w:rsid w:val="0089205B"/>
    <w:rsid w:val="008920FA"/>
    <w:rsid w:val="0089212F"/>
    <w:rsid w:val="008922AB"/>
    <w:rsid w:val="00892C10"/>
    <w:rsid w:val="00892E46"/>
    <w:rsid w:val="00892F00"/>
    <w:rsid w:val="00893126"/>
    <w:rsid w:val="00893709"/>
    <w:rsid w:val="00893776"/>
    <w:rsid w:val="00893B1E"/>
    <w:rsid w:val="00893B71"/>
    <w:rsid w:val="00893F94"/>
    <w:rsid w:val="00894596"/>
    <w:rsid w:val="00894D70"/>
    <w:rsid w:val="0089510F"/>
    <w:rsid w:val="00895412"/>
    <w:rsid w:val="008959F2"/>
    <w:rsid w:val="00895A9D"/>
    <w:rsid w:val="00895C40"/>
    <w:rsid w:val="00895E07"/>
    <w:rsid w:val="008963A9"/>
    <w:rsid w:val="008964EB"/>
    <w:rsid w:val="00896C24"/>
    <w:rsid w:val="0089798A"/>
    <w:rsid w:val="008A02DB"/>
    <w:rsid w:val="008A0B4B"/>
    <w:rsid w:val="008A0F79"/>
    <w:rsid w:val="008A10CB"/>
    <w:rsid w:val="008A158E"/>
    <w:rsid w:val="008A1ABD"/>
    <w:rsid w:val="008A20F2"/>
    <w:rsid w:val="008A23B6"/>
    <w:rsid w:val="008A24C3"/>
    <w:rsid w:val="008A292A"/>
    <w:rsid w:val="008A37F5"/>
    <w:rsid w:val="008A3E77"/>
    <w:rsid w:val="008A3F9F"/>
    <w:rsid w:val="008A4423"/>
    <w:rsid w:val="008A443B"/>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AB8"/>
    <w:rsid w:val="008B3B2A"/>
    <w:rsid w:val="008B3FB9"/>
    <w:rsid w:val="008B4253"/>
    <w:rsid w:val="008B4567"/>
    <w:rsid w:val="008B477C"/>
    <w:rsid w:val="008B4896"/>
    <w:rsid w:val="008B4B23"/>
    <w:rsid w:val="008B4B43"/>
    <w:rsid w:val="008B4CAB"/>
    <w:rsid w:val="008B5718"/>
    <w:rsid w:val="008B5997"/>
    <w:rsid w:val="008B5999"/>
    <w:rsid w:val="008B5E9D"/>
    <w:rsid w:val="008B5F4E"/>
    <w:rsid w:val="008B633B"/>
    <w:rsid w:val="008B6B9D"/>
    <w:rsid w:val="008B717C"/>
    <w:rsid w:val="008B7634"/>
    <w:rsid w:val="008B7A33"/>
    <w:rsid w:val="008B7ECA"/>
    <w:rsid w:val="008C00AC"/>
    <w:rsid w:val="008C03B2"/>
    <w:rsid w:val="008C04EA"/>
    <w:rsid w:val="008C0632"/>
    <w:rsid w:val="008C066A"/>
    <w:rsid w:val="008C1838"/>
    <w:rsid w:val="008C1CCF"/>
    <w:rsid w:val="008C2310"/>
    <w:rsid w:val="008C2666"/>
    <w:rsid w:val="008C2D34"/>
    <w:rsid w:val="008C308E"/>
    <w:rsid w:val="008C30CB"/>
    <w:rsid w:val="008C310B"/>
    <w:rsid w:val="008C3A01"/>
    <w:rsid w:val="008C3D1B"/>
    <w:rsid w:val="008C3D8D"/>
    <w:rsid w:val="008C42F0"/>
    <w:rsid w:val="008C434D"/>
    <w:rsid w:val="008C4649"/>
    <w:rsid w:val="008C4C2E"/>
    <w:rsid w:val="008C5208"/>
    <w:rsid w:val="008C537B"/>
    <w:rsid w:val="008C55D5"/>
    <w:rsid w:val="008C5C18"/>
    <w:rsid w:val="008C5CB4"/>
    <w:rsid w:val="008C649F"/>
    <w:rsid w:val="008C6696"/>
    <w:rsid w:val="008C6BA3"/>
    <w:rsid w:val="008C720E"/>
    <w:rsid w:val="008C76F5"/>
    <w:rsid w:val="008C77BD"/>
    <w:rsid w:val="008C7A26"/>
    <w:rsid w:val="008C7CFB"/>
    <w:rsid w:val="008D0528"/>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2D"/>
    <w:rsid w:val="008D70C8"/>
    <w:rsid w:val="008D7134"/>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3F36"/>
    <w:rsid w:val="008E4A8F"/>
    <w:rsid w:val="008E4FE8"/>
    <w:rsid w:val="008E5311"/>
    <w:rsid w:val="008E54F8"/>
    <w:rsid w:val="008E5992"/>
    <w:rsid w:val="008E5A11"/>
    <w:rsid w:val="008E5AB4"/>
    <w:rsid w:val="008E5BB5"/>
    <w:rsid w:val="008E5FB9"/>
    <w:rsid w:val="008E691A"/>
    <w:rsid w:val="008E6F81"/>
    <w:rsid w:val="008E711A"/>
    <w:rsid w:val="008F0641"/>
    <w:rsid w:val="008F0807"/>
    <w:rsid w:val="008F1120"/>
    <w:rsid w:val="008F117B"/>
    <w:rsid w:val="008F1812"/>
    <w:rsid w:val="008F19B9"/>
    <w:rsid w:val="008F1EA9"/>
    <w:rsid w:val="008F1ED1"/>
    <w:rsid w:val="008F27B5"/>
    <w:rsid w:val="008F2828"/>
    <w:rsid w:val="008F2858"/>
    <w:rsid w:val="008F2B8F"/>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DF5"/>
    <w:rsid w:val="00901E8D"/>
    <w:rsid w:val="00902273"/>
    <w:rsid w:val="0090227E"/>
    <w:rsid w:val="00902634"/>
    <w:rsid w:val="00902F0A"/>
    <w:rsid w:val="00902FB2"/>
    <w:rsid w:val="009035B9"/>
    <w:rsid w:val="00903758"/>
    <w:rsid w:val="00904369"/>
    <w:rsid w:val="00904AA2"/>
    <w:rsid w:val="0090508A"/>
    <w:rsid w:val="009052BB"/>
    <w:rsid w:val="00905383"/>
    <w:rsid w:val="00905D64"/>
    <w:rsid w:val="00905F96"/>
    <w:rsid w:val="009061A5"/>
    <w:rsid w:val="0090623F"/>
    <w:rsid w:val="009062AF"/>
    <w:rsid w:val="009066DF"/>
    <w:rsid w:val="009075C6"/>
    <w:rsid w:val="00907634"/>
    <w:rsid w:val="009101B9"/>
    <w:rsid w:val="00910694"/>
    <w:rsid w:val="00910A04"/>
    <w:rsid w:val="00910CC2"/>
    <w:rsid w:val="00910EBE"/>
    <w:rsid w:val="00911437"/>
    <w:rsid w:val="009118AD"/>
    <w:rsid w:val="00911EEF"/>
    <w:rsid w:val="0091255A"/>
    <w:rsid w:val="00912AA3"/>
    <w:rsid w:val="00913135"/>
    <w:rsid w:val="0091427F"/>
    <w:rsid w:val="00914D49"/>
    <w:rsid w:val="009157DF"/>
    <w:rsid w:val="00915AC6"/>
    <w:rsid w:val="00915B39"/>
    <w:rsid w:val="00915CC9"/>
    <w:rsid w:val="009160C4"/>
    <w:rsid w:val="009160F3"/>
    <w:rsid w:val="00916736"/>
    <w:rsid w:val="009167CB"/>
    <w:rsid w:val="00916AD9"/>
    <w:rsid w:val="009172A6"/>
    <w:rsid w:val="009172FF"/>
    <w:rsid w:val="00917311"/>
    <w:rsid w:val="0091773F"/>
    <w:rsid w:val="009177C2"/>
    <w:rsid w:val="009201B1"/>
    <w:rsid w:val="009206A0"/>
    <w:rsid w:val="00920AEB"/>
    <w:rsid w:val="00920C96"/>
    <w:rsid w:val="009210D3"/>
    <w:rsid w:val="0092111D"/>
    <w:rsid w:val="00921173"/>
    <w:rsid w:val="00921492"/>
    <w:rsid w:val="0092245B"/>
    <w:rsid w:val="00922498"/>
    <w:rsid w:val="009224D0"/>
    <w:rsid w:val="00922502"/>
    <w:rsid w:val="009225F6"/>
    <w:rsid w:val="0092266B"/>
    <w:rsid w:val="00922D3F"/>
    <w:rsid w:val="00923855"/>
    <w:rsid w:val="0092476C"/>
    <w:rsid w:val="009247D0"/>
    <w:rsid w:val="00924BD2"/>
    <w:rsid w:val="00924CE5"/>
    <w:rsid w:val="00924E90"/>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906"/>
    <w:rsid w:val="00931B81"/>
    <w:rsid w:val="00931FF7"/>
    <w:rsid w:val="009321A4"/>
    <w:rsid w:val="00932C33"/>
    <w:rsid w:val="00932CF4"/>
    <w:rsid w:val="00932D56"/>
    <w:rsid w:val="00933295"/>
    <w:rsid w:val="00933742"/>
    <w:rsid w:val="00933794"/>
    <w:rsid w:val="009337B5"/>
    <w:rsid w:val="009339C8"/>
    <w:rsid w:val="00933BBF"/>
    <w:rsid w:val="009344B4"/>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797"/>
    <w:rsid w:val="0093682F"/>
    <w:rsid w:val="00936C0A"/>
    <w:rsid w:val="00936E36"/>
    <w:rsid w:val="00936ED1"/>
    <w:rsid w:val="00936ED4"/>
    <w:rsid w:val="00937574"/>
    <w:rsid w:val="00937DBA"/>
    <w:rsid w:val="00937DFE"/>
    <w:rsid w:val="00940116"/>
    <w:rsid w:val="00940664"/>
    <w:rsid w:val="0094080C"/>
    <w:rsid w:val="0094117F"/>
    <w:rsid w:val="00941DA9"/>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0E"/>
    <w:rsid w:val="009509F8"/>
    <w:rsid w:val="00950EA3"/>
    <w:rsid w:val="009514BC"/>
    <w:rsid w:val="009517D0"/>
    <w:rsid w:val="009517FE"/>
    <w:rsid w:val="00951A3D"/>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1F98"/>
    <w:rsid w:val="009624AE"/>
    <w:rsid w:val="0096295F"/>
    <w:rsid w:val="00962F46"/>
    <w:rsid w:val="00963021"/>
    <w:rsid w:val="00963126"/>
    <w:rsid w:val="00963892"/>
    <w:rsid w:val="0096399B"/>
    <w:rsid w:val="00963BB6"/>
    <w:rsid w:val="009648E6"/>
    <w:rsid w:val="00964F6C"/>
    <w:rsid w:val="00965043"/>
    <w:rsid w:val="009653D5"/>
    <w:rsid w:val="00965531"/>
    <w:rsid w:val="00965DD6"/>
    <w:rsid w:val="00965F7E"/>
    <w:rsid w:val="00966194"/>
    <w:rsid w:val="00966240"/>
    <w:rsid w:val="0096721B"/>
    <w:rsid w:val="00967820"/>
    <w:rsid w:val="009678CD"/>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14F4"/>
    <w:rsid w:val="0098320B"/>
    <w:rsid w:val="009832C8"/>
    <w:rsid w:val="009833BF"/>
    <w:rsid w:val="00983585"/>
    <w:rsid w:val="00983634"/>
    <w:rsid w:val="009838B7"/>
    <w:rsid w:val="00983DBC"/>
    <w:rsid w:val="00984275"/>
    <w:rsid w:val="00985D81"/>
    <w:rsid w:val="00986285"/>
    <w:rsid w:val="009866D7"/>
    <w:rsid w:val="009866EC"/>
    <w:rsid w:val="00986CF5"/>
    <w:rsid w:val="00986FDD"/>
    <w:rsid w:val="00987418"/>
    <w:rsid w:val="00987460"/>
    <w:rsid w:val="009875CE"/>
    <w:rsid w:val="009879A8"/>
    <w:rsid w:val="00987C56"/>
    <w:rsid w:val="00987C6E"/>
    <w:rsid w:val="00987F43"/>
    <w:rsid w:val="00990322"/>
    <w:rsid w:val="00990547"/>
    <w:rsid w:val="009910B0"/>
    <w:rsid w:val="00991A3C"/>
    <w:rsid w:val="00991AFA"/>
    <w:rsid w:val="00991C9D"/>
    <w:rsid w:val="009922CF"/>
    <w:rsid w:val="00992354"/>
    <w:rsid w:val="009923D9"/>
    <w:rsid w:val="009926CD"/>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201"/>
    <w:rsid w:val="009A4662"/>
    <w:rsid w:val="009A46F3"/>
    <w:rsid w:val="009A477C"/>
    <w:rsid w:val="009A4882"/>
    <w:rsid w:val="009A4F4B"/>
    <w:rsid w:val="009A548B"/>
    <w:rsid w:val="009A5500"/>
    <w:rsid w:val="009A5799"/>
    <w:rsid w:val="009A580E"/>
    <w:rsid w:val="009A5DBB"/>
    <w:rsid w:val="009A5E27"/>
    <w:rsid w:val="009A5F27"/>
    <w:rsid w:val="009A5F32"/>
    <w:rsid w:val="009A618D"/>
    <w:rsid w:val="009A6231"/>
    <w:rsid w:val="009A6431"/>
    <w:rsid w:val="009A6CCD"/>
    <w:rsid w:val="009A75A4"/>
    <w:rsid w:val="009B05BE"/>
    <w:rsid w:val="009B0A7A"/>
    <w:rsid w:val="009B12A7"/>
    <w:rsid w:val="009B186F"/>
    <w:rsid w:val="009B1A1B"/>
    <w:rsid w:val="009B1A26"/>
    <w:rsid w:val="009B1D7B"/>
    <w:rsid w:val="009B215B"/>
    <w:rsid w:val="009B26EB"/>
    <w:rsid w:val="009B32B7"/>
    <w:rsid w:val="009B39F0"/>
    <w:rsid w:val="009B42BC"/>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D87"/>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7D"/>
    <w:rsid w:val="009C61A5"/>
    <w:rsid w:val="009C656D"/>
    <w:rsid w:val="009C67BE"/>
    <w:rsid w:val="009C68B7"/>
    <w:rsid w:val="009C6D1D"/>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362B"/>
    <w:rsid w:val="009D3B47"/>
    <w:rsid w:val="009D43EA"/>
    <w:rsid w:val="009D4B2D"/>
    <w:rsid w:val="009D4C4D"/>
    <w:rsid w:val="009D570B"/>
    <w:rsid w:val="009D57AB"/>
    <w:rsid w:val="009D5A10"/>
    <w:rsid w:val="009D5A68"/>
    <w:rsid w:val="009D5B9D"/>
    <w:rsid w:val="009D6025"/>
    <w:rsid w:val="009D6370"/>
    <w:rsid w:val="009D6459"/>
    <w:rsid w:val="009D64D4"/>
    <w:rsid w:val="009D673D"/>
    <w:rsid w:val="009D6788"/>
    <w:rsid w:val="009D70C6"/>
    <w:rsid w:val="009D72F5"/>
    <w:rsid w:val="009D733C"/>
    <w:rsid w:val="009D7441"/>
    <w:rsid w:val="009D78D0"/>
    <w:rsid w:val="009D7AB4"/>
    <w:rsid w:val="009D7DC4"/>
    <w:rsid w:val="009D7F18"/>
    <w:rsid w:val="009E0506"/>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7C2"/>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BE1"/>
    <w:rsid w:val="009F5F1F"/>
    <w:rsid w:val="009F6672"/>
    <w:rsid w:val="009F6E51"/>
    <w:rsid w:val="009F6E95"/>
    <w:rsid w:val="009F6F7F"/>
    <w:rsid w:val="009F739B"/>
    <w:rsid w:val="009F7E8A"/>
    <w:rsid w:val="009F7F02"/>
    <w:rsid w:val="00A000CC"/>
    <w:rsid w:val="00A00458"/>
    <w:rsid w:val="00A00734"/>
    <w:rsid w:val="00A00D75"/>
    <w:rsid w:val="00A00FE2"/>
    <w:rsid w:val="00A01265"/>
    <w:rsid w:val="00A01AE0"/>
    <w:rsid w:val="00A01B38"/>
    <w:rsid w:val="00A01E7A"/>
    <w:rsid w:val="00A02338"/>
    <w:rsid w:val="00A023BE"/>
    <w:rsid w:val="00A0256C"/>
    <w:rsid w:val="00A025EB"/>
    <w:rsid w:val="00A026E3"/>
    <w:rsid w:val="00A02951"/>
    <w:rsid w:val="00A02EB2"/>
    <w:rsid w:val="00A034BC"/>
    <w:rsid w:val="00A03F07"/>
    <w:rsid w:val="00A03FED"/>
    <w:rsid w:val="00A04252"/>
    <w:rsid w:val="00A0468C"/>
    <w:rsid w:val="00A04F19"/>
    <w:rsid w:val="00A0520E"/>
    <w:rsid w:val="00A0567D"/>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1998"/>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61A"/>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4D0"/>
    <w:rsid w:val="00A27942"/>
    <w:rsid w:val="00A27D30"/>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EBC"/>
    <w:rsid w:val="00A40F63"/>
    <w:rsid w:val="00A41387"/>
    <w:rsid w:val="00A4173F"/>
    <w:rsid w:val="00A4186A"/>
    <w:rsid w:val="00A4248C"/>
    <w:rsid w:val="00A4277C"/>
    <w:rsid w:val="00A42C66"/>
    <w:rsid w:val="00A42DEF"/>
    <w:rsid w:val="00A43028"/>
    <w:rsid w:val="00A4315F"/>
    <w:rsid w:val="00A43293"/>
    <w:rsid w:val="00A434E0"/>
    <w:rsid w:val="00A4352A"/>
    <w:rsid w:val="00A439A3"/>
    <w:rsid w:val="00A43C8F"/>
    <w:rsid w:val="00A43FA3"/>
    <w:rsid w:val="00A44202"/>
    <w:rsid w:val="00A44446"/>
    <w:rsid w:val="00A44455"/>
    <w:rsid w:val="00A44563"/>
    <w:rsid w:val="00A44A06"/>
    <w:rsid w:val="00A44B6B"/>
    <w:rsid w:val="00A45450"/>
    <w:rsid w:val="00A45589"/>
    <w:rsid w:val="00A456AD"/>
    <w:rsid w:val="00A4572A"/>
    <w:rsid w:val="00A459CC"/>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5AB"/>
    <w:rsid w:val="00A6093B"/>
    <w:rsid w:val="00A60CE7"/>
    <w:rsid w:val="00A614F0"/>
    <w:rsid w:val="00A6166C"/>
    <w:rsid w:val="00A616EB"/>
    <w:rsid w:val="00A61755"/>
    <w:rsid w:val="00A61A24"/>
    <w:rsid w:val="00A62CF6"/>
    <w:rsid w:val="00A6327E"/>
    <w:rsid w:val="00A63634"/>
    <w:rsid w:val="00A63980"/>
    <w:rsid w:val="00A6430C"/>
    <w:rsid w:val="00A64537"/>
    <w:rsid w:val="00A64A43"/>
    <w:rsid w:val="00A64B50"/>
    <w:rsid w:val="00A65045"/>
    <w:rsid w:val="00A65683"/>
    <w:rsid w:val="00A65D01"/>
    <w:rsid w:val="00A65FB6"/>
    <w:rsid w:val="00A66146"/>
    <w:rsid w:val="00A662F3"/>
    <w:rsid w:val="00A66844"/>
    <w:rsid w:val="00A66999"/>
    <w:rsid w:val="00A669E0"/>
    <w:rsid w:val="00A66C39"/>
    <w:rsid w:val="00A67CAC"/>
    <w:rsid w:val="00A67F56"/>
    <w:rsid w:val="00A7047E"/>
    <w:rsid w:val="00A7061F"/>
    <w:rsid w:val="00A708D9"/>
    <w:rsid w:val="00A70DF9"/>
    <w:rsid w:val="00A71177"/>
    <w:rsid w:val="00A712D3"/>
    <w:rsid w:val="00A72107"/>
    <w:rsid w:val="00A7211C"/>
    <w:rsid w:val="00A72369"/>
    <w:rsid w:val="00A72643"/>
    <w:rsid w:val="00A72675"/>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72"/>
    <w:rsid w:val="00A80B98"/>
    <w:rsid w:val="00A810F1"/>
    <w:rsid w:val="00A81773"/>
    <w:rsid w:val="00A81C3B"/>
    <w:rsid w:val="00A82395"/>
    <w:rsid w:val="00A8265F"/>
    <w:rsid w:val="00A82816"/>
    <w:rsid w:val="00A82AE6"/>
    <w:rsid w:val="00A82DDA"/>
    <w:rsid w:val="00A8341D"/>
    <w:rsid w:val="00A83755"/>
    <w:rsid w:val="00A83ABF"/>
    <w:rsid w:val="00A83C64"/>
    <w:rsid w:val="00A8425A"/>
    <w:rsid w:val="00A84473"/>
    <w:rsid w:val="00A84A90"/>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23"/>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4AD"/>
    <w:rsid w:val="00AA0542"/>
    <w:rsid w:val="00AA0741"/>
    <w:rsid w:val="00AA0742"/>
    <w:rsid w:val="00AA0845"/>
    <w:rsid w:val="00AA0AB3"/>
    <w:rsid w:val="00AA0E5E"/>
    <w:rsid w:val="00AA1129"/>
    <w:rsid w:val="00AA159E"/>
    <w:rsid w:val="00AA180F"/>
    <w:rsid w:val="00AA1886"/>
    <w:rsid w:val="00AA1F16"/>
    <w:rsid w:val="00AA2055"/>
    <w:rsid w:val="00AA28C2"/>
    <w:rsid w:val="00AA2BAA"/>
    <w:rsid w:val="00AA2D0F"/>
    <w:rsid w:val="00AA2D13"/>
    <w:rsid w:val="00AA2D99"/>
    <w:rsid w:val="00AA2E02"/>
    <w:rsid w:val="00AA32A4"/>
    <w:rsid w:val="00AA331B"/>
    <w:rsid w:val="00AA3545"/>
    <w:rsid w:val="00AA3626"/>
    <w:rsid w:val="00AA3681"/>
    <w:rsid w:val="00AA38B6"/>
    <w:rsid w:val="00AA3C81"/>
    <w:rsid w:val="00AA3D72"/>
    <w:rsid w:val="00AA3E6F"/>
    <w:rsid w:val="00AA4158"/>
    <w:rsid w:val="00AA47C1"/>
    <w:rsid w:val="00AA4B2C"/>
    <w:rsid w:val="00AA52D8"/>
    <w:rsid w:val="00AA52E7"/>
    <w:rsid w:val="00AA5365"/>
    <w:rsid w:val="00AA5C17"/>
    <w:rsid w:val="00AA5FCB"/>
    <w:rsid w:val="00AA61E4"/>
    <w:rsid w:val="00AA6323"/>
    <w:rsid w:val="00AA642E"/>
    <w:rsid w:val="00AA6650"/>
    <w:rsid w:val="00AA72A1"/>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7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134"/>
    <w:rsid w:val="00AC0693"/>
    <w:rsid w:val="00AC0910"/>
    <w:rsid w:val="00AC0C09"/>
    <w:rsid w:val="00AC0D45"/>
    <w:rsid w:val="00AC0E2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03C"/>
    <w:rsid w:val="00AC55A5"/>
    <w:rsid w:val="00AC562D"/>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DF4"/>
    <w:rsid w:val="00AD239C"/>
    <w:rsid w:val="00AD24AA"/>
    <w:rsid w:val="00AD265D"/>
    <w:rsid w:val="00AD28B7"/>
    <w:rsid w:val="00AD28C8"/>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03B"/>
    <w:rsid w:val="00AE2702"/>
    <w:rsid w:val="00AE3425"/>
    <w:rsid w:val="00AE38E5"/>
    <w:rsid w:val="00AE394C"/>
    <w:rsid w:val="00AE3EE4"/>
    <w:rsid w:val="00AE40E0"/>
    <w:rsid w:val="00AE417D"/>
    <w:rsid w:val="00AE4505"/>
    <w:rsid w:val="00AE46A0"/>
    <w:rsid w:val="00AE4A33"/>
    <w:rsid w:val="00AE5B21"/>
    <w:rsid w:val="00AE63A6"/>
    <w:rsid w:val="00AE6811"/>
    <w:rsid w:val="00AE68C4"/>
    <w:rsid w:val="00AE7375"/>
    <w:rsid w:val="00AE75E1"/>
    <w:rsid w:val="00AF0202"/>
    <w:rsid w:val="00AF04DB"/>
    <w:rsid w:val="00AF0AD7"/>
    <w:rsid w:val="00AF0D0A"/>
    <w:rsid w:val="00AF13AA"/>
    <w:rsid w:val="00AF158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D38"/>
    <w:rsid w:val="00AF6F2E"/>
    <w:rsid w:val="00AF7D7E"/>
    <w:rsid w:val="00AF7E2C"/>
    <w:rsid w:val="00B000A4"/>
    <w:rsid w:val="00B00480"/>
    <w:rsid w:val="00B00676"/>
    <w:rsid w:val="00B00776"/>
    <w:rsid w:val="00B00A0F"/>
    <w:rsid w:val="00B012ED"/>
    <w:rsid w:val="00B018CC"/>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07DD0"/>
    <w:rsid w:val="00B10840"/>
    <w:rsid w:val="00B10E57"/>
    <w:rsid w:val="00B11D09"/>
    <w:rsid w:val="00B11E9A"/>
    <w:rsid w:val="00B120DC"/>
    <w:rsid w:val="00B12180"/>
    <w:rsid w:val="00B12417"/>
    <w:rsid w:val="00B1271D"/>
    <w:rsid w:val="00B128D7"/>
    <w:rsid w:val="00B1291E"/>
    <w:rsid w:val="00B131B0"/>
    <w:rsid w:val="00B1320C"/>
    <w:rsid w:val="00B1341C"/>
    <w:rsid w:val="00B1379C"/>
    <w:rsid w:val="00B14B8E"/>
    <w:rsid w:val="00B14FB1"/>
    <w:rsid w:val="00B155F7"/>
    <w:rsid w:val="00B15831"/>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6AB"/>
    <w:rsid w:val="00B219FF"/>
    <w:rsid w:val="00B21B9C"/>
    <w:rsid w:val="00B21FC1"/>
    <w:rsid w:val="00B221F6"/>
    <w:rsid w:val="00B22658"/>
    <w:rsid w:val="00B22859"/>
    <w:rsid w:val="00B2286B"/>
    <w:rsid w:val="00B230A1"/>
    <w:rsid w:val="00B23322"/>
    <w:rsid w:val="00B23753"/>
    <w:rsid w:val="00B23757"/>
    <w:rsid w:val="00B23914"/>
    <w:rsid w:val="00B23A23"/>
    <w:rsid w:val="00B23B1F"/>
    <w:rsid w:val="00B23C27"/>
    <w:rsid w:val="00B23E5F"/>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29A"/>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331"/>
    <w:rsid w:val="00B50B22"/>
    <w:rsid w:val="00B51012"/>
    <w:rsid w:val="00B5155B"/>
    <w:rsid w:val="00B51E20"/>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798"/>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662"/>
    <w:rsid w:val="00B64880"/>
    <w:rsid w:val="00B64D27"/>
    <w:rsid w:val="00B651D4"/>
    <w:rsid w:val="00B65603"/>
    <w:rsid w:val="00B65B0A"/>
    <w:rsid w:val="00B65C80"/>
    <w:rsid w:val="00B65FEF"/>
    <w:rsid w:val="00B664CD"/>
    <w:rsid w:val="00B66BDF"/>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2A1"/>
    <w:rsid w:val="00B733EE"/>
    <w:rsid w:val="00B735C3"/>
    <w:rsid w:val="00B73675"/>
    <w:rsid w:val="00B73BB6"/>
    <w:rsid w:val="00B74502"/>
    <w:rsid w:val="00B75012"/>
    <w:rsid w:val="00B750BF"/>
    <w:rsid w:val="00B7539C"/>
    <w:rsid w:val="00B75B49"/>
    <w:rsid w:val="00B75E8B"/>
    <w:rsid w:val="00B761B3"/>
    <w:rsid w:val="00B761C4"/>
    <w:rsid w:val="00B76371"/>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689"/>
    <w:rsid w:val="00B92AFD"/>
    <w:rsid w:val="00B92F97"/>
    <w:rsid w:val="00B931DE"/>
    <w:rsid w:val="00B9360F"/>
    <w:rsid w:val="00B93ADD"/>
    <w:rsid w:val="00B940F0"/>
    <w:rsid w:val="00B9498B"/>
    <w:rsid w:val="00B94D5A"/>
    <w:rsid w:val="00B94DDD"/>
    <w:rsid w:val="00B955AA"/>
    <w:rsid w:val="00B95EC7"/>
    <w:rsid w:val="00B96099"/>
    <w:rsid w:val="00B963F6"/>
    <w:rsid w:val="00B966F7"/>
    <w:rsid w:val="00B97EE3"/>
    <w:rsid w:val="00B97F4E"/>
    <w:rsid w:val="00BA091C"/>
    <w:rsid w:val="00BA0C15"/>
    <w:rsid w:val="00BA0C3E"/>
    <w:rsid w:val="00BA0CB4"/>
    <w:rsid w:val="00BA1020"/>
    <w:rsid w:val="00BA1997"/>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71C"/>
    <w:rsid w:val="00BB090F"/>
    <w:rsid w:val="00BB099D"/>
    <w:rsid w:val="00BB0B61"/>
    <w:rsid w:val="00BB0BB0"/>
    <w:rsid w:val="00BB0DDE"/>
    <w:rsid w:val="00BB0E18"/>
    <w:rsid w:val="00BB115A"/>
    <w:rsid w:val="00BB1F01"/>
    <w:rsid w:val="00BB2251"/>
    <w:rsid w:val="00BB25EF"/>
    <w:rsid w:val="00BB29DF"/>
    <w:rsid w:val="00BB2A97"/>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2D"/>
    <w:rsid w:val="00BC52DE"/>
    <w:rsid w:val="00BC54A0"/>
    <w:rsid w:val="00BC5799"/>
    <w:rsid w:val="00BC580B"/>
    <w:rsid w:val="00BC5BD4"/>
    <w:rsid w:val="00BC6038"/>
    <w:rsid w:val="00BC63AB"/>
    <w:rsid w:val="00BC6671"/>
    <w:rsid w:val="00BC6782"/>
    <w:rsid w:val="00BC6956"/>
    <w:rsid w:val="00BC6CA8"/>
    <w:rsid w:val="00BC6E04"/>
    <w:rsid w:val="00BC7182"/>
    <w:rsid w:val="00BC7F04"/>
    <w:rsid w:val="00BC7F8C"/>
    <w:rsid w:val="00BD0053"/>
    <w:rsid w:val="00BD07BA"/>
    <w:rsid w:val="00BD0D23"/>
    <w:rsid w:val="00BD104E"/>
    <w:rsid w:val="00BD148C"/>
    <w:rsid w:val="00BD1496"/>
    <w:rsid w:val="00BD1C73"/>
    <w:rsid w:val="00BD1E4F"/>
    <w:rsid w:val="00BD351C"/>
    <w:rsid w:val="00BD41F6"/>
    <w:rsid w:val="00BD4554"/>
    <w:rsid w:val="00BD4757"/>
    <w:rsid w:val="00BD5195"/>
    <w:rsid w:val="00BD5877"/>
    <w:rsid w:val="00BD5ABE"/>
    <w:rsid w:val="00BD5D19"/>
    <w:rsid w:val="00BD6010"/>
    <w:rsid w:val="00BD640B"/>
    <w:rsid w:val="00BD6523"/>
    <w:rsid w:val="00BD6679"/>
    <w:rsid w:val="00BD6A15"/>
    <w:rsid w:val="00BD6A86"/>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12E"/>
    <w:rsid w:val="00BE4280"/>
    <w:rsid w:val="00BE437E"/>
    <w:rsid w:val="00BE44BA"/>
    <w:rsid w:val="00BE4585"/>
    <w:rsid w:val="00BE4CAF"/>
    <w:rsid w:val="00BE5041"/>
    <w:rsid w:val="00BE50EC"/>
    <w:rsid w:val="00BE55B3"/>
    <w:rsid w:val="00BE56C5"/>
    <w:rsid w:val="00BE59CE"/>
    <w:rsid w:val="00BE6279"/>
    <w:rsid w:val="00BE6392"/>
    <w:rsid w:val="00BE68CA"/>
    <w:rsid w:val="00BE6BD5"/>
    <w:rsid w:val="00BE6F70"/>
    <w:rsid w:val="00BE7441"/>
    <w:rsid w:val="00BE75B6"/>
    <w:rsid w:val="00BE76E3"/>
    <w:rsid w:val="00BE7BD6"/>
    <w:rsid w:val="00BE7E85"/>
    <w:rsid w:val="00BF00EC"/>
    <w:rsid w:val="00BF039F"/>
    <w:rsid w:val="00BF0C6D"/>
    <w:rsid w:val="00BF11A6"/>
    <w:rsid w:val="00BF121D"/>
    <w:rsid w:val="00BF17D9"/>
    <w:rsid w:val="00BF1878"/>
    <w:rsid w:val="00BF1AA7"/>
    <w:rsid w:val="00BF261A"/>
    <w:rsid w:val="00BF2632"/>
    <w:rsid w:val="00BF27F5"/>
    <w:rsid w:val="00BF2A5F"/>
    <w:rsid w:val="00BF2BFD"/>
    <w:rsid w:val="00BF3228"/>
    <w:rsid w:val="00BF3381"/>
    <w:rsid w:val="00BF3467"/>
    <w:rsid w:val="00BF4351"/>
    <w:rsid w:val="00BF5909"/>
    <w:rsid w:val="00BF59B2"/>
    <w:rsid w:val="00BF59E3"/>
    <w:rsid w:val="00BF5C1D"/>
    <w:rsid w:val="00BF5C4F"/>
    <w:rsid w:val="00BF65FA"/>
    <w:rsid w:val="00BF6904"/>
    <w:rsid w:val="00BF69EE"/>
    <w:rsid w:val="00BF69F7"/>
    <w:rsid w:val="00BF708F"/>
    <w:rsid w:val="00BF714C"/>
    <w:rsid w:val="00BF725F"/>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35"/>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39"/>
    <w:rsid w:val="00C14A76"/>
    <w:rsid w:val="00C15705"/>
    <w:rsid w:val="00C15E1A"/>
    <w:rsid w:val="00C15EDB"/>
    <w:rsid w:val="00C1619B"/>
    <w:rsid w:val="00C162FA"/>
    <w:rsid w:val="00C16682"/>
    <w:rsid w:val="00C16A3B"/>
    <w:rsid w:val="00C16C5C"/>
    <w:rsid w:val="00C16CC6"/>
    <w:rsid w:val="00C16F49"/>
    <w:rsid w:val="00C16F9A"/>
    <w:rsid w:val="00C17217"/>
    <w:rsid w:val="00C17345"/>
    <w:rsid w:val="00C176E9"/>
    <w:rsid w:val="00C17826"/>
    <w:rsid w:val="00C17E1D"/>
    <w:rsid w:val="00C17EF8"/>
    <w:rsid w:val="00C20614"/>
    <w:rsid w:val="00C20741"/>
    <w:rsid w:val="00C20792"/>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04E"/>
    <w:rsid w:val="00C274A0"/>
    <w:rsid w:val="00C27736"/>
    <w:rsid w:val="00C27766"/>
    <w:rsid w:val="00C27BE6"/>
    <w:rsid w:val="00C27D82"/>
    <w:rsid w:val="00C27FF9"/>
    <w:rsid w:val="00C3094A"/>
    <w:rsid w:val="00C30C08"/>
    <w:rsid w:val="00C314AC"/>
    <w:rsid w:val="00C31971"/>
    <w:rsid w:val="00C31F3E"/>
    <w:rsid w:val="00C32028"/>
    <w:rsid w:val="00C3224C"/>
    <w:rsid w:val="00C3287F"/>
    <w:rsid w:val="00C328AA"/>
    <w:rsid w:val="00C32E4B"/>
    <w:rsid w:val="00C333EA"/>
    <w:rsid w:val="00C3386B"/>
    <w:rsid w:val="00C33A96"/>
    <w:rsid w:val="00C33BC3"/>
    <w:rsid w:val="00C33DE2"/>
    <w:rsid w:val="00C341B7"/>
    <w:rsid w:val="00C34378"/>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6A9"/>
    <w:rsid w:val="00C41BD3"/>
    <w:rsid w:val="00C4204A"/>
    <w:rsid w:val="00C4267C"/>
    <w:rsid w:val="00C42786"/>
    <w:rsid w:val="00C42F66"/>
    <w:rsid w:val="00C43164"/>
    <w:rsid w:val="00C43205"/>
    <w:rsid w:val="00C43982"/>
    <w:rsid w:val="00C4416F"/>
    <w:rsid w:val="00C4466E"/>
    <w:rsid w:val="00C4494B"/>
    <w:rsid w:val="00C46E99"/>
    <w:rsid w:val="00C474DE"/>
    <w:rsid w:val="00C477BC"/>
    <w:rsid w:val="00C47DAE"/>
    <w:rsid w:val="00C47F28"/>
    <w:rsid w:val="00C50084"/>
    <w:rsid w:val="00C50213"/>
    <w:rsid w:val="00C50630"/>
    <w:rsid w:val="00C50EE0"/>
    <w:rsid w:val="00C50FBA"/>
    <w:rsid w:val="00C50FEA"/>
    <w:rsid w:val="00C5194F"/>
    <w:rsid w:val="00C51BCF"/>
    <w:rsid w:val="00C51E86"/>
    <w:rsid w:val="00C5250C"/>
    <w:rsid w:val="00C52B87"/>
    <w:rsid w:val="00C52D72"/>
    <w:rsid w:val="00C52E82"/>
    <w:rsid w:val="00C53627"/>
    <w:rsid w:val="00C53DD2"/>
    <w:rsid w:val="00C53FBB"/>
    <w:rsid w:val="00C541C0"/>
    <w:rsid w:val="00C543FC"/>
    <w:rsid w:val="00C54550"/>
    <w:rsid w:val="00C54938"/>
    <w:rsid w:val="00C549E0"/>
    <w:rsid w:val="00C54ACC"/>
    <w:rsid w:val="00C54E5F"/>
    <w:rsid w:val="00C54E98"/>
    <w:rsid w:val="00C558C0"/>
    <w:rsid w:val="00C55FB9"/>
    <w:rsid w:val="00C55FE6"/>
    <w:rsid w:val="00C56275"/>
    <w:rsid w:val="00C56769"/>
    <w:rsid w:val="00C5699C"/>
    <w:rsid w:val="00C56A8C"/>
    <w:rsid w:val="00C56F8E"/>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A4A"/>
    <w:rsid w:val="00C70A67"/>
    <w:rsid w:val="00C71024"/>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E4A"/>
    <w:rsid w:val="00C73FC5"/>
    <w:rsid w:val="00C7445D"/>
    <w:rsid w:val="00C74734"/>
    <w:rsid w:val="00C748C8"/>
    <w:rsid w:val="00C7491E"/>
    <w:rsid w:val="00C74B26"/>
    <w:rsid w:val="00C75CAE"/>
    <w:rsid w:val="00C76069"/>
    <w:rsid w:val="00C76112"/>
    <w:rsid w:val="00C761DF"/>
    <w:rsid w:val="00C761F2"/>
    <w:rsid w:val="00C77337"/>
    <w:rsid w:val="00C777A2"/>
    <w:rsid w:val="00C77AE3"/>
    <w:rsid w:val="00C77CC3"/>
    <w:rsid w:val="00C80030"/>
    <w:rsid w:val="00C800B4"/>
    <w:rsid w:val="00C801AF"/>
    <w:rsid w:val="00C801C8"/>
    <w:rsid w:val="00C8080C"/>
    <w:rsid w:val="00C8123D"/>
    <w:rsid w:val="00C8154F"/>
    <w:rsid w:val="00C81825"/>
    <w:rsid w:val="00C81B59"/>
    <w:rsid w:val="00C81B8E"/>
    <w:rsid w:val="00C822DA"/>
    <w:rsid w:val="00C82526"/>
    <w:rsid w:val="00C828C4"/>
    <w:rsid w:val="00C82C82"/>
    <w:rsid w:val="00C834D5"/>
    <w:rsid w:val="00C836C5"/>
    <w:rsid w:val="00C83C70"/>
    <w:rsid w:val="00C83E7C"/>
    <w:rsid w:val="00C8400D"/>
    <w:rsid w:val="00C8401E"/>
    <w:rsid w:val="00C84A08"/>
    <w:rsid w:val="00C84A1B"/>
    <w:rsid w:val="00C84D44"/>
    <w:rsid w:val="00C851BB"/>
    <w:rsid w:val="00C8520E"/>
    <w:rsid w:val="00C85466"/>
    <w:rsid w:val="00C856E0"/>
    <w:rsid w:val="00C85882"/>
    <w:rsid w:val="00C858FB"/>
    <w:rsid w:val="00C862BC"/>
    <w:rsid w:val="00C86901"/>
    <w:rsid w:val="00C86C0C"/>
    <w:rsid w:val="00C87276"/>
    <w:rsid w:val="00C872E9"/>
    <w:rsid w:val="00C87775"/>
    <w:rsid w:val="00C87AB3"/>
    <w:rsid w:val="00C87B36"/>
    <w:rsid w:val="00C903D2"/>
    <w:rsid w:val="00C907E8"/>
    <w:rsid w:val="00C91A9A"/>
    <w:rsid w:val="00C91D71"/>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434"/>
    <w:rsid w:val="00CB0525"/>
    <w:rsid w:val="00CB0C82"/>
    <w:rsid w:val="00CB13EC"/>
    <w:rsid w:val="00CB144D"/>
    <w:rsid w:val="00CB15DB"/>
    <w:rsid w:val="00CB1B1E"/>
    <w:rsid w:val="00CB21BC"/>
    <w:rsid w:val="00CB230B"/>
    <w:rsid w:val="00CB237D"/>
    <w:rsid w:val="00CB23A6"/>
    <w:rsid w:val="00CB2544"/>
    <w:rsid w:val="00CB2BDB"/>
    <w:rsid w:val="00CB2EC3"/>
    <w:rsid w:val="00CB32C9"/>
    <w:rsid w:val="00CB3B86"/>
    <w:rsid w:val="00CB3BED"/>
    <w:rsid w:val="00CB3F1A"/>
    <w:rsid w:val="00CB3FEB"/>
    <w:rsid w:val="00CB4135"/>
    <w:rsid w:val="00CB4C83"/>
    <w:rsid w:val="00CB4ECC"/>
    <w:rsid w:val="00CB50C6"/>
    <w:rsid w:val="00CB5631"/>
    <w:rsid w:val="00CB569E"/>
    <w:rsid w:val="00CB6045"/>
    <w:rsid w:val="00CB611F"/>
    <w:rsid w:val="00CB614E"/>
    <w:rsid w:val="00CB6304"/>
    <w:rsid w:val="00CB6594"/>
    <w:rsid w:val="00CB66AE"/>
    <w:rsid w:val="00CB66E7"/>
    <w:rsid w:val="00CB6732"/>
    <w:rsid w:val="00CB724D"/>
    <w:rsid w:val="00CB7309"/>
    <w:rsid w:val="00CC0E93"/>
    <w:rsid w:val="00CC0FAF"/>
    <w:rsid w:val="00CC1931"/>
    <w:rsid w:val="00CC386D"/>
    <w:rsid w:val="00CC3CD0"/>
    <w:rsid w:val="00CC422A"/>
    <w:rsid w:val="00CC426F"/>
    <w:rsid w:val="00CC42B5"/>
    <w:rsid w:val="00CC44A0"/>
    <w:rsid w:val="00CC497E"/>
    <w:rsid w:val="00CC4B91"/>
    <w:rsid w:val="00CC4CDD"/>
    <w:rsid w:val="00CC4F13"/>
    <w:rsid w:val="00CC4F8A"/>
    <w:rsid w:val="00CC504B"/>
    <w:rsid w:val="00CC5276"/>
    <w:rsid w:val="00CC59FA"/>
    <w:rsid w:val="00CC5C32"/>
    <w:rsid w:val="00CC5F8E"/>
    <w:rsid w:val="00CC6090"/>
    <w:rsid w:val="00CC6131"/>
    <w:rsid w:val="00CC6286"/>
    <w:rsid w:val="00CC64A1"/>
    <w:rsid w:val="00CC6660"/>
    <w:rsid w:val="00CC6663"/>
    <w:rsid w:val="00CC6A04"/>
    <w:rsid w:val="00CC7C95"/>
    <w:rsid w:val="00CC7CAE"/>
    <w:rsid w:val="00CC7E12"/>
    <w:rsid w:val="00CC7F90"/>
    <w:rsid w:val="00CD0327"/>
    <w:rsid w:val="00CD0973"/>
    <w:rsid w:val="00CD0FDC"/>
    <w:rsid w:val="00CD141D"/>
    <w:rsid w:val="00CD2476"/>
    <w:rsid w:val="00CD27F3"/>
    <w:rsid w:val="00CD29EB"/>
    <w:rsid w:val="00CD2E0E"/>
    <w:rsid w:val="00CD342F"/>
    <w:rsid w:val="00CD36C5"/>
    <w:rsid w:val="00CD4146"/>
    <w:rsid w:val="00CD46C9"/>
    <w:rsid w:val="00CD4C8D"/>
    <w:rsid w:val="00CD4DA7"/>
    <w:rsid w:val="00CD4F79"/>
    <w:rsid w:val="00CD535C"/>
    <w:rsid w:val="00CD6191"/>
    <w:rsid w:val="00CD6BDE"/>
    <w:rsid w:val="00CD761D"/>
    <w:rsid w:val="00CD7FFC"/>
    <w:rsid w:val="00CE010E"/>
    <w:rsid w:val="00CE02FC"/>
    <w:rsid w:val="00CE05C2"/>
    <w:rsid w:val="00CE09DB"/>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B9C"/>
    <w:rsid w:val="00CE4CC2"/>
    <w:rsid w:val="00CE5A0D"/>
    <w:rsid w:val="00CE5A2F"/>
    <w:rsid w:val="00CE608E"/>
    <w:rsid w:val="00CE6EAD"/>
    <w:rsid w:val="00CE734F"/>
    <w:rsid w:val="00CE7778"/>
    <w:rsid w:val="00CE7BDC"/>
    <w:rsid w:val="00CE7F3D"/>
    <w:rsid w:val="00CF0266"/>
    <w:rsid w:val="00CF032D"/>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5E6B"/>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D80"/>
    <w:rsid w:val="00D02DDF"/>
    <w:rsid w:val="00D02FD5"/>
    <w:rsid w:val="00D02FE3"/>
    <w:rsid w:val="00D03036"/>
    <w:rsid w:val="00D03137"/>
    <w:rsid w:val="00D032FD"/>
    <w:rsid w:val="00D0339D"/>
    <w:rsid w:val="00D03817"/>
    <w:rsid w:val="00D03D47"/>
    <w:rsid w:val="00D03ECC"/>
    <w:rsid w:val="00D04ECE"/>
    <w:rsid w:val="00D0542A"/>
    <w:rsid w:val="00D0542E"/>
    <w:rsid w:val="00D05B10"/>
    <w:rsid w:val="00D05CA6"/>
    <w:rsid w:val="00D06423"/>
    <w:rsid w:val="00D0675D"/>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1180"/>
    <w:rsid w:val="00D120A0"/>
    <w:rsid w:val="00D123F6"/>
    <w:rsid w:val="00D135C5"/>
    <w:rsid w:val="00D13800"/>
    <w:rsid w:val="00D1398B"/>
    <w:rsid w:val="00D13A39"/>
    <w:rsid w:val="00D13CEA"/>
    <w:rsid w:val="00D145C0"/>
    <w:rsid w:val="00D152D1"/>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A22"/>
    <w:rsid w:val="00D23BA2"/>
    <w:rsid w:val="00D23FCA"/>
    <w:rsid w:val="00D240F9"/>
    <w:rsid w:val="00D2483F"/>
    <w:rsid w:val="00D24B6C"/>
    <w:rsid w:val="00D24CDC"/>
    <w:rsid w:val="00D2507F"/>
    <w:rsid w:val="00D2536E"/>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1E46"/>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D1C"/>
    <w:rsid w:val="00D41E6A"/>
    <w:rsid w:val="00D420A6"/>
    <w:rsid w:val="00D421AF"/>
    <w:rsid w:val="00D42721"/>
    <w:rsid w:val="00D42BA0"/>
    <w:rsid w:val="00D42C4E"/>
    <w:rsid w:val="00D42F38"/>
    <w:rsid w:val="00D43E74"/>
    <w:rsid w:val="00D44CB9"/>
    <w:rsid w:val="00D44D63"/>
    <w:rsid w:val="00D44F75"/>
    <w:rsid w:val="00D44F8A"/>
    <w:rsid w:val="00D44F8E"/>
    <w:rsid w:val="00D4557A"/>
    <w:rsid w:val="00D45915"/>
    <w:rsid w:val="00D45F35"/>
    <w:rsid w:val="00D461F2"/>
    <w:rsid w:val="00D4682A"/>
    <w:rsid w:val="00D46FA1"/>
    <w:rsid w:val="00D47698"/>
    <w:rsid w:val="00D47BDC"/>
    <w:rsid w:val="00D47D0D"/>
    <w:rsid w:val="00D504A0"/>
    <w:rsid w:val="00D507B9"/>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1C1"/>
    <w:rsid w:val="00D5679F"/>
    <w:rsid w:val="00D56944"/>
    <w:rsid w:val="00D56D27"/>
    <w:rsid w:val="00D5785C"/>
    <w:rsid w:val="00D578AB"/>
    <w:rsid w:val="00D57CC7"/>
    <w:rsid w:val="00D60058"/>
    <w:rsid w:val="00D6059F"/>
    <w:rsid w:val="00D611F5"/>
    <w:rsid w:val="00D6232C"/>
    <w:rsid w:val="00D624C0"/>
    <w:rsid w:val="00D6281C"/>
    <w:rsid w:val="00D6282B"/>
    <w:rsid w:val="00D62E8B"/>
    <w:rsid w:val="00D63567"/>
    <w:rsid w:val="00D6365D"/>
    <w:rsid w:val="00D6366A"/>
    <w:rsid w:val="00D63ECD"/>
    <w:rsid w:val="00D63F4D"/>
    <w:rsid w:val="00D64397"/>
    <w:rsid w:val="00D6445A"/>
    <w:rsid w:val="00D6449F"/>
    <w:rsid w:val="00D644A4"/>
    <w:rsid w:val="00D644A7"/>
    <w:rsid w:val="00D644CD"/>
    <w:rsid w:val="00D649A3"/>
    <w:rsid w:val="00D64C64"/>
    <w:rsid w:val="00D64E52"/>
    <w:rsid w:val="00D658BA"/>
    <w:rsid w:val="00D65999"/>
    <w:rsid w:val="00D67274"/>
    <w:rsid w:val="00D673C2"/>
    <w:rsid w:val="00D6745A"/>
    <w:rsid w:val="00D6773A"/>
    <w:rsid w:val="00D6791A"/>
    <w:rsid w:val="00D70066"/>
    <w:rsid w:val="00D70569"/>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7"/>
    <w:rsid w:val="00D76AF9"/>
    <w:rsid w:val="00D76C13"/>
    <w:rsid w:val="00D771D3"/>
    <w:rsid w:val="00D77315"/>
    <w:rsid w:val="00D7783D"/>
    <w:rsid w:val="00D77C24"/>
    <w:rsid w:val="00D77F58"/>
    <w:rsid w:val="00D8017E"/>
    <w:rsid w:val="00D803DF"/>
    <w:rsid w:val="00D809F3"/>
    <w:rsid w:val="00D80A8D"/>
    <w:rsid w:val="00D80B92"/>
    <w:rsid w:val="00D80C21"/>
    <w:rsid w:val="00D812B8"/>
    <w:rsid w:val="00D815E0"/>
    <w:rsid w:val="00D81F17"/>
    <w:rsid w:val="00D81F4D"/>
    <w:rsid w:val="00D82091"/>
    <w:rsid w:val="00D82116"/>
    <w:rsid w:val="00D82243"/>
    <w:rsid w:val="00D82DED"/>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E41"/>
    <w:rsid w:val="00D93052"/>
    <w:rsid w:val="00D932A8"/>
    <w:rsid w:val="00D938F4"/>
    <w:rsid w:val="00D9463A"/>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90C"/>
    <w:rsid w:val="00DA2BD9"/>
    <w:rsid w:val="00DA2FA2"/>
    <w:rsid w:val="00DA302C"/>
    <w:rsid w:val="00DA34E8"/>
    <w:rsid w:val="00DA3782"/>
    <w:rsid w:val="00DA3F57"/>
    <w:rsid w:val="00DA3FBD"/>
    <w:rsid w:val="00DA431F"/>
    <w:rsid w:val="00DA4648"/>
    <w:rsid w:val="00DA477A"/>
    <w:rsid w:val="00DA4901"/>
    <w:rsid w:val="00DA4B2C"/>
    <w:rsid w:val="00DA51EA"/>
    <w:rsid w:val="00DA5583"/>
    <w:rsid w:val="00DA56F3"/>
    <w:rsid w:val="00DA5BE5"/>
    <w:rsid w:val="00DA5F6B"/>
    <w:rsid w:val="00DA645E"/>
    <w:rsid w:val="00DA6736"/>
    <w:rsid w:val="00DA69AD"/>
    <w:rsid w:val="00DA6AB6"/>
    <w:rsid w:val="00DA6F2C"/>
    <w:rsid w:val="00DA70E7"/>
    <w:rsid w:val="00DA7193"/>
    <w:rsid w:val="00DA7715"/>
    <w:rsid w:val="00DB009D"/>
    <w:rsid w:val="00DB02BA"/>
    <w:rsid w:val="00DB1F24"/>
    <w:rsid w:val="00DB20DB"/>
    <w:rsid w:val="00DB213F"/>
    <w:rsid w:val="00DB2EF1"/>
    <w:rsid w:val="00DB3349"/>
    <w:rsid w:val="00DB3488"/>
    <w:rsid w:val="00DB3DC5"/>
    <w:rsid w:val="00DB3F74"/>
    <w:rsid w:val="00DB4744"/>
    <w:rsid w:val="00DB522C"/>
    <w:rsid w:val="00DB59B4"/>
    <w:rsid w:val="00DB5A8C"/>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6CD"/>
    <w:rsid w:val="00DC18CF"/>
    <w:rsid w:val="00DC1CF3"/>
    <w:rsid w:val="00DC1D72"/>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5AB"/>
    <w:rsid w:val="00DC69C4"/>
    <w:rsid w:val="00DC6DD9"/>
    <w:rsid w:val="00DC7523"/>
    <w:rsid w:val="00DC7575"/>
    <w:rsid w:val="00DC773F"/>
    <w:rsid w:val="00DC77E3"/>
    <w:rsid w:val="00DD0092"/>
    <w:rsid w:val="00DD084A"/>
    <w:rsid w:val="00DD12E6"/>
    <w:rsid w:val="00DD1484"/>
    <w:rsid w:val="00DD16C0"/>
    <w:rsid w:val="00DD17EE"/>
    <w:rsid w:val="00DD1B7C"/>
    <w:rsid w:val="00DD1D5C"/>
    <w:rsid w:val="00DD25F4"/>
    <w:rsid w:val="00DD29E5"/>
    <w:rsid w:val="00DD2B70"/>
    <w:rsid w:val="00DD2CB5"/>
    <w:rsid w:val="00DD358F"/>
    <w:rsid w:val="00DD35A7"/>
    <w:rsid w:val="00DD37A5"/>
    <w:rsid w:val="00DD3F0B"/>
    <w:rsid w:val="00DD4903"/>
    <w:rsid w:val="00DD4D41"/>
    <w:rsid w:val="00DD5043"/>
    <w:rsid w:val="00DD51EA"/>
    <w:rsid w:val="00DD64F3"/>
    <w:rsid w:val="00DD6CFA"/>
    <w:rsid w:val="00DD6FFA"/>
    <w:rsid w:val="00DD74A3"/>
    <w:rsid w:val="00DD78DF"/>
    <w:rsid w:val="00DD7D8B"/>
    <w:rsid w:val="00DD7DD2"/>
    <w:rsid w:val="00DD7F40"/>
    <w:rsid w:val="00DE0490"/>
    <w:rsid w:val="00DE06DD"/>
    <w:rsid w:val="00DE11D0"/>
    <w:rsid w:val="00DE1289"/>
    <w:rsid w:val="00DE1B01"/>
    <w:rsid w:val="00DE2753"/>
    <w:rsid w:val="00DE2E70"/>
    <w:rsid w:val="00DE30AB"/>
    <w:rsid w:val="00DE35C1"/>
    <w:rsid w:val="00DE3A56"/>
    <w:rsid w:val="00DE3B5C"/>
    <w:rsid w:val="00DE4008"/>
    <w:rsid w:val="00DE44EC"/>
    <w:rsid w:val="00DE454B"/>
    <w:rsid w:val="00DE4A7A"/>
    <w:rsid w:val="00DE4F03"/>
    <w:rsid w:val="00DE4F6A"/>
    <w:rsid w:val="00DE5270"/>
    <w:rsid w:val="00DE5963"/>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5F9F"/>
    <w:rsid w:val="00DF6B9A"/>
    <w:rsid w:val="00DF6CDC"/>
    <w:rsid w:val="00DF7368"/>
    <w:rsid w:val="00DF76DD"/>
    <w:rsid w:val="00DF79C4"/>
    <w:rsid w:val="00DF7AAA"/>
    <w:rsid w:val="00DF7D23"/>
    <w:rsid w:val="00E00003"/>
    <w:rsid w:val="00E00076"/>
    <w:rsid w:val="00E002B3"/>
    <w:rsid w:val="00E015A8"/>
    <w:rsid w:val="00E015CE"/>
    <w:rsid w:val="00E0261D"/>
    <w:rsid w:val="00E02815"/>
    <w:rsid w:val="00E0316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291"/>
    <w:rsid w:val="00E10412"/>
    <w:rsid w:val="00E10551"/>
    <w:rsid w:val="00E10C80"/>
    <w:rsid w:val="00E10CB5"/>
    <w:rsid w:val="00E11A0C"/>
    <w:rsid w:val="00E11B4C"/>
    <w:rsid w:val="00E11EC6"/>
    <w:rsid w:val="00E11EDE"/>
    <w:rsid w:val="00E1214F"/>
    <w:rsid w:val="00E1367C"/>
    <w:rsid w:val="00E13989"/>
    <w:rsid w:val="00E13AFC"/>
    <w:rsid w:val="00E13B8B"/>
    <w:rsid w:val="00E13FAD"/>
    <w:rsid w:val="00E14147"/>
    <w:rsid w:val="00E145F1"/>
    <w:rsid w:val="00E149EC"/>
    <w:rsid w:val="00E14A93"/>
    <w:rsid w:val="00E14D31"/>
    <w:rsid w:val="00E14E82"/>
    <w:rsid w:val="00E155C3"/>
    <w:rsid w:val="00E15B75"/>
    <w:rsid w:val="00E15CFB"/>
    <w:rsid w:val="00E16289"/>
    <w:rsid w:val="00E16C3C"/>
    <w:rsid w:val="00E171F8"/>
    <w:rsid w:val="00E174BB"/>
    <w:rsid w:val="00E17C7C"/>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96"/>
    <w:rsid w:val="00E23DED"/>
    <w:rsid w:val="00E24046"/>
    <w:rsid w:val="00E24206"/>
    <w:rsid w:val="00E242B5"/>
    <w:rsid w:val="00E24389"/>
    <w:rsid w:val="00E24B84"/>
    <w:rsid w:val="00E2576F"/>
    <w:rsid w:val="00E25DAE"/>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635"/>
    <w:rsid w:val="00E33AA3"/>
    <w:rsid w:val="00E34624"/>
    <w:rsid w:val="00E3475E"/>
    <w:rsid w:val="00E34A63"/>
    <w:rsid w:val="00E34AD5"/>
    <w:rsid w:val="00E350CD"/>
    <w:rsid w:val="00E3523B"/>
    <w:rsid w:val="00E35ED2"/>
    <w:rsid w:val="00E36085"/>
    <w:rsid w:val="00E361F1"/>
    <w:rsid w:val="00E36561"/>
    <w:rsid w:val="00E365E5"/>
    <w:rsid w:val="00E36CF8"/>
    <w:rsid w:val="00E36F9E"/>
    <w:rsid w:val="00E372D6"/>
    <w:rsid w:val="00E3756A"/>
    <w:rsid w:val="00E37AC3"/>
    <w:rsid w:val="00E400F8"/>
    <w:rsid w:val="00E40139"/>
    <w:rsid w:val="00E4016E"/>
    <w:rsid w:val="00E401B0"/>
    <w:rsid w:val="00E409FD"/>
    <w:rsid w:val="00E40D83"/>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B88"/>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738"/>
    <w:rsid w:val="00E80B1A"/>
    <w:rsid w:val="00E80BC2"/>
    <w:rsid w:val="00E80EFD"/>
    <w:rsid w:val="00E8101D"/>
    <w:rsid w:val="00E811FA"/>
    <w:rsid w:val="00E81945"/>
    <w:rsid w:val="00E823BF"/>
    <w:rsid w:val="00E82750"/>
    <w:rsid w:val="00E82791"/>
    <w:rsid w:val="00E82911"/>
    <w:rsid w:val="00E82927"/>
    <w:rsid w:val="00E82A6F"/>
    <w:rsid w:val="00E836D8"/>
    <w:rsid w:val="00E83AC1"/>
    <w:rsid w:val="00E83ACB"/>
    <w:rsid w:val="00E83D0C"/>
    <w:rsid w:val="00E84758"/>
    <w:rsid w:val="00E8488A"/>
    <w:rsid w:val="00E84906"/>
    <w:rsid w:val="00E85348"/>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5E44"/>
    <w:rsid w:val="00E95EE2"/>
    <w:rsid w:val="00E961D8"/>
    <w:rsid w:val="00E961E6"/>
    <w:rsid w:val="00E96B04"/>
    <w:rsid w:val="00E96FF7"/>
    <w:rsid w:val="00E97084"/>
    <w:rsid w:val="00E974CB"/>
    <w:rsid w:val="00E975FC"/>
    <w:rsid w:val="00E97759"/>
    <w:rsid w:val="00E97F34"/>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209"/>
    <w:rsid w:val="00EA4419"/>
    <w:rsid w:val="00EA4C3B"/>
    <w:rsid w:val="00EA519A"/>
    <w:rsid w:val="00EA5256"/>
    <w:rsid w:val="00EA5629"/>
    <w:rsid w:val="00EA57BA"/>
    <w:rsid w:val="00EA5D8D"/>
    <w:rsid w:val="00EA5FEC"/>
    <w:rsid w:val="00EA6056"/>
    <w:rsid w:val="00EA63BF"/>
    <w:rsid w:val="00EA6421"/>
    <w:rsid w:val="00EA6B0A"/>
    <w:rsid w:val="00EB0727"/>
    <w:rsid w:val="00EB0748"/>
    <w:rsid w:val="00EB0D4F"/>
    <w:rsid w:val="00EB12D2"/>
    <w:rsid w:val="00EB184C"/>
    <w:rsid w:val="00EB1BD2"/>
    <w:rsid w:val="00EB1CB1"/>
    <w:rsid w:val="00EB269A"/>
    <w:rsid w:val="00EB26E4"/>
    <w:rsid w:val="00EB28EC"/>
    <w:rsid w:val="00EB3364"/>
    <w:rsid w:val="00EB3442"/>
    <w:rsid w:val="00EB3A88"/>
    <w:rsid w:val="00EB3B63"/>
    <w:rsid w:val="00EB3F2A"/>
    <w:rsid w:val="00EB468C"/>
    <w:rsid w:val="00EB49CD"/>
    <w:rsid w:val="00EB5145"/>
    <w:rsid w:val="00EB55E5"/>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978"/>
    <w:rsid w:val="00EC5AD0"/>
    <w:rsid w:val="00EC5F6B"/>
    <w:rsid w:val="00EC620C"/>
    <w:rsid w:val="00EC63A6"/>
    <w:rsid w:val="00EC6515"/>
    <w:rsid w:val="00EC6D70"/>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9C3"/>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94E"/>
    <w:rsid w:val="00EE4B61"/>
    <w:rsid w:val="00EE4C15"/>
    <w:rsid w:val="00EE4FC1"/>
    <w:rsid w:val="00EE537D"/>
    <w:rsid w:val="00EE539C"/>
    <w:rsid w:val="00EE5481"/>
    <w:rsid w:val="00EE5F88"/>
    <w:rsid w:val="00EE5FA4"/>
    <w:rsid w:val="00EE64BA"/>
    <w:rsid w:val="00EE6BD6"/>
    <w:rsid w:val="00EE7341"/>
    <w:rsid w:val="00EE7B70"/>
    <w:rsid w:val="00EE7BBB"/>
    <w:rsid w:val="00EF043C"/>
    <w:rsid w:val="00EF0789"/>
    <w:rsid w:val="00EF0795"/>
    <w:rsid w:val="00EF0E42"/>
    <w:rsid w:val="00EF0EFF"/>
    <w:rsid w:val="00EF1134"/>
    <w:rsid w:val="00EF1366"/>
    <w:rsid w:val="00EF1A97"/>
    <w:rsid w:val="00EF1FB5"/>
    <w:rsid w:val="00EF354D"/>
    <w:rsid w:val="00EF3575"/>
    <w:rsid w:val="00EF3AD0"/>
    <w:rsid w:val="00EF3B55"/>
    <w:rsid w:val="00EF4076"/>
    <w:rsid w:val="00EF4664"/>
    <w:rsid w:val="00EF47E9"/>
    <w:rsid w:val="00EF5281"/>
    <w:rsid w:val="00EF5733"/>
    <w:rsid w:val="00EF5D8E"/>
    <w:rsid w:val="00EF5F2B"/>
    <w:rsid w:val="00EF61CF"/>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A66"/>
    <w:rsid w:val="00F02BA5"/>
    <w:rsid w:val="00F030E1"/>
    <w:rsid w:val="00F031ED"/>
    <w:rsid w:val="00F0385C"/>
    <w:rsid w:val="00F0397F"/>
    <w:rsid w:val="00F039F6"/>
    <w:rsid w:val="00F03A62"/>
    <w:rsid w:val="00F03CC3"/>
    <w:rsid w:val="00F03E06"/>
    <w:rsid w:val="00F03F87"/>
    <w:rsid w:val="00F04278"/>
    <w:rsid w:val="00F047B2"/>
    <w:rsid w:val="00F049DB"/>
    <w:rsid w:val="00F05100"/>
    <w:rsid w:val="00F0511B"/>
    <w:rsid w:val="00F05667"/>
    <w:rsid w:val="00F05690"/>
    <w:rsid w:val="00F05C6C"/>
    <w:rsid w:val="00F05E1D"/>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FEE"/>
    <w:rsid w:val="00F14A09"/>
    <w:rsid w:val="00F14C76"/>
    <w:rsid w:val="00F1569B"/>
    <w:rsid w:val="00F15A1B"/>
    <w:rsid w:val="00F16296"/>
    <w:rsid w:val="00F16ABE"/>
    <w:rsid w:val="00F16CE2"/>
    <w:rsid w:val="00F16E70"/>
    <w:rsid w:val="00F17711"/>
    <w:rsid w:val="00F17DAE"/>
    <w:rsid w:val="00F203D7"/>
    <w:rsid w:val="00F20475"/>
    <w:rsid w:val="00F20681"/>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B7"/>
    <w:rsid w:val="00F25147"/>
    <w:rsid w:val="00F25559"/>
    <w:rsid w:val="00F255A2"/>
    <w:rsid w:val="00F258F6"/>
    <w:rsid w:val="00F25C3B"/>
    <w:rsid w:val="00F263D6"/>
    <w:rsid w:val="00F267F6"/>
    <w:rsid w:val="00F269E8"/>
    <w:rsid w:val="00F26DF9"/>
    <w:rsid w:val="00F26ED9"/>
    <w:rsid w:val="00F270EC"/>
    <w:rsid w:val="00F272FF"/>
    <w:rsid w:val="00F275A3"/>
    <w:rsid w:val="00F27905"/>
    <w:rsid w:val="00F27A1A"/>
    <w:rsid w:val="00F27BB2"/>
    <w:rsid w:val="00F27CD5"/>
    <w:rsid w:val="00F27EFE"/>
    <w:rsid w:val="00F30209"/>
    <w:rsid w:val="00F30F99"/>
    <w:rsid w:val="00F312ED"/>
    <w:rsid w:val="00F316B6"/>
    <w:rsid w:val="00F31AB7"/>
    <w:rsid w:val="00F31CA4"/>
    <w:rsid w:val="00F326D7"/>
    <w:rsid w:val="00F346A5"/>
    <w:rsid w:val="00F346C9"/>
    <w:rsid w:val="00F34864"/>
    <w:rsid w:val="00F35076"/>
    <w:rsid w:val="00F351C6"/>
    <w:rsid w:val="00F35403"/>
    <w:rsid w:val="00F355E0"/>
    <w:rsid w:val="00F35D64"/>
    <w:rsid w:val="00F36AA7"/>
    <w:rsid w:val="00F36B18"/>
    <w:rsid w:val="00F37122"/>
    <w:rsid w:val="00F373FF"/>
    <w:rsid w:val="00F3782D"/>
    <w:rsid w:val="00F37B08"/>
    <w:rsid w:val="00F4015C"/>
    <w:rsid w:val="00F408C3"/>
    <w:rsid w:val="00F40E0B"/>
    <w:rsid w:val="00F411DC"/>
    <w:rsid w:val="00F411E4"/>
    <w:rsid w:val="00F417F5"/>
    <w:rsid w:val="00F41B4B"/>
    <w:rsid w:val="00F41EA6"/>
    <w:rsid w:val="00F420A2"/>
    <w:rsid w:val="00F42F3A"/>
    <w:rsid w:val="00F432A4"/>
    <w:rsid w:val="00F4386D"/>
    <w:rsid w:val="00F4388C"/>
    <w:rsid w:val="00F44265"/>
    <w:rsid w:val="00F44489"/>
    <w:rsid w:val="00F449A7"/>
    <w:rsid w:val="00F44A21"/>
    <w:rsid w:val="00F4500F"/>
    <w:rsid w:val="00F450AC"/>
    <w:rsid w:val="00F4542E"/>
    <w:rsid w:val="00F45EE0"/>
    <w:rsid w:val="00F465CB"/>
    <w:rsid w:val="00F46A24"/>
    <w:rsid w:val="00F46F68"/>
    <w:rsid w:val="00F4736D"/>
    <w:rsid w:val="00F47781"/>
    <w:rsid w:val="00F47A26"/>
    <w:rsid w:val="00F50251"/>
    <w:rsid w:val="00F50646"/>
    <w:rsid w:val="00F50ACD"/>
    <w:rsid w:val="00F50DF2"/>
    <w:rsid w:val="00F51567"/>
    <w:rsid w:val="00F515E3"/>
    <w:rsid w:val="00F52D86"/>
    <w:rsid w:val="00F52DDF"/>
    <w:rsid w:val="00F52DE8"/>
    <w:rsid w:val="00F52FB8"/>
    <w:rsid w:val="00F5332A"/>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807"/>
    <w:rsid w:val="00F67DCE"/>
    <w:rsid w:val="00F70142"/>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2F3E"/>
    <w:rsid w:val="00F8328D"/>
    <w:rsid w:val="00F83349"/>
    <w:rsid w:val="00F83425"/>
    <w:rsid w:val="00F83485"/>
    <w:rsid w:val="00F834FA"/>
    <w:rsid w:val="00F837A6"/>
    <w:rsid w:val="00F83AD5"/>
    <w:rsid w:val="00F83D7F"/>
    <w:rsid w:val="00F845F7"/>
    <w:rsid w:val="00F846C1"/>
    <w:rsid w:val="00F85328"/>
    <w:rsid w:val="00F8577A"/>
    <w:rsid w:val="00F86208"/>
    <w:rsid w:val="00F865A4"/>
    <w:rsid w:val="00F86650"/>
    <w:rsid w:val="00F8676D"/>
    <w:rsid w:val="00F869BA"/>
    <w:rsid w:val="00F869E2"/>
    <w:rsid w:val="00F86E1D"/>
    <w:rsid w:val="00F900CD"/>
    <w:rsid w:val="00F9034B"/>
    <w:rsid w:val="00F91086"/>
    <w:rsid w:val="00F91A50"/>
    <w:rsid w:val="00F91C78"/>
    <w:rsid w:val="00F91F66"/>
    <w:rsid w:val="00F91FE9"/>
    <w:rsid w:val="00F92545"/>
    <w:rsid w:val="00F92B6A"/>
    <w:rsid w:val="00F93759"/>
    <w:rsid w:val="00F93B4C"/>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6E05"/>
    <w:rsid w:val="00F971B5"/>
    <w:rsid w:val="00F97530"/>
    <w:rsid w:val="00F97D83"/>
    <w:rsid w:val="00FA07FF"/>
    <w:rsid w:val="00FA10F6"/>
    <w:rsid w:val="00FA1251"/>
    <w:rsid w:val="00FA1539"/>
    <w:rsid w:val="00FA165A"/>
    <w:rsid w:val="00FA1AEF"/>
    <w:rsid w:val="00FA206C"/>
    <w:rsid w:val="00FA24FD"/>
    <w:rsid w:val="00FA2559"/>
    <w:rsid w:val="00FA2620"/>
    <w:rsid w:val="00FA27AB"/>
    <w:rsid w:val="00FA2B38"/>
    <w:rsid w:val="00FA2CFE"/>
    <w:rsid w:val="00FA327B"/>
    <w:rsid w:val="00FA328F"/>
    <w:rsid w:val="00FA4000"/>
    <w:rsid w:val="00FA44E6"/>
    <w:rsid w:val="00FA468D"/>
    <w:rsid w:val="00FA539C"/>
    <w:rsid w:val="00FA602A"/>
    <w:rsid w:val="00FA64B2"/>
    <w:rsid w:val="00FA672F"/>
    <w:rsid w:val="00FA698A"/>
    <w:rsid w:val="00FA6C01"/>
    <w:rsid w:val="00FA6F10"/>
    <w:rsid w:val="00FA73D2"/>
    <w:rsid w:val="00FA7E94"/>
    <w:rsid w:val="00FA7F1D"/>
    <w:rsid w:val="00FB0033"/>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C94"/>
    <w:rsid w:val="00FC2F14"/>
    <w:rsid w:val="00FC2FDA"/>
    <w:rsid w:val="00FC39EC"/>
    <w:rsid w:val="00FC3BD6"/>
    <w:rsid w:val="00FC4781"/>
    <w:rsid w:val="00FC4782"/>
    <w:rsid w:val="00FC4D0E"/>
    <w:rsid w:val="00FC506B"/>
    <w:rsid w:val="00FC5614"/>
    <w:rsid w:val="00FC623B"/>
    <w:rsid w:val="00FC65C7"/>
    <w:rsid w:val="00FC6829"/>
    <w:rsid w:val="00FC6A40"/>
    <w:rsid w:val="00FC6A84"/>
    <w:rsid w:val="00FC730D"/>
    <w:rsid w:val="00FC76C8"/>
    <w:rsid w:val="00FC7703"/>
    <w:rsid w:val="00FC7732"/>
    <w:rsid w:val="00FC77FE"/>
    <w:rsid w:val="00FC79DE"/>
    <w:rsid w:val="00FD081C"/>
    <w:rsid w:val="00FD084B"/>
    <w:rsid w:val="00FD0C58"/>
    <w:rsid w:val="00FD10F3"/>
    <w:rsid w:val="00FD1692"/>
    <w:rsid w:val="00FD180C"/>
    <w:rsid w:val="00FD1D5A"/>
    <w:rsid w:val="00FD1E49"/>
    <w:rsid w:val="00FD2416"/>
    <w:rsid w:val="00FD26B7"/>
    <w:rsid w:val="00FD27A2"/>
    <w:rsid w:val="00FD2861"/>
    <w:rsid w:val="00FD2935"/>
    <w:rsid w:val="00FD29F1"/>
    <w:rsid w:val="00FD2BD2"/>
    <w:rsid w:val="00FD3720"/>
    <w:rsid w:val="00FD3751"/>
    <w:rsid w:val="00FD37D7"/>
    <w:rsid w:val="00FD3899"/>
    <w:rsid w:val="00FD39CB"/>
    <w:rsid w:val="00FD3AA8"/>
    <w:rsid w:val="00FD3D61"/>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635"/>
    <w:rsid w:val="00FE4B76"/>
    <w:rsid w:val="00FE4ED3"/>
    <w:rsid w:val="00FE538E"/>
    <w:rsid w:val="00FE5590"/>
    <w:rsid w:val="00FE5660"/>
    <w:rsid w:val="00FE56C2"/>
    <w:rsid w:val="00FE5A2E"/>
    <w:rsid w:val="00FE5A56"/>
    <w:rsid w:val="00FE5D69"/>
    <w:rsid w:val="00FE5F07"/>
    <w:rsid w:val="00FE61DB"/>
    <w:rsid w:val="00FE65E0"/>
    <w:rsid w:val="00FE69CC"/>
    <w:rsid w:val="00FE6FAA"/>
    <w:rsid w:val="00FE7070"/>
    <w:rsid w:val="00FE7877"/>
    <w:rsid w:val="00FF0552"/>
    <w:rsid w:val="00FF0644"/>
    <w:rsid w:val="00FF083F"/>
    <w:rsid w:val="00FF08E1"/>
    <w:rsid w:val="00FF0D4E"/>
    <w:rsid w:val="00FF1446"/>
    <w:rsid w:val="00FF14C4"/>
    <w:rsid w:val="00FF1855"/>
    <w:rsid w:val="00FF21D4"/>
    <w:rsid w:val="00FF265F"/>
    <w:rsid w:val="00FF2684"/>
    <w:rsid w:val="00FF2705"/>
    <w:rsid w:val="00FF2A42"/>
    <w:rsid w:val="00FF3683"/>
    <w:rsid w:val="00FF4F0B"/>
    <w:rsid w:val="00FF4F97"/>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292C5374-3B9B-4554-8596-804F232DC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436"/>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afff5">
    <w:name w:val="列表段"/>
    <w:aliases w:val="P"/>
    <w:basedOn w:val="a"/>
    <w:next w:val="aff8"/>
    <w:uiPriority w:val="34"/>
    <w:qFormat/>
    <w:rsid w:val="00C07835"/>
    <w:pPr>
      <w:spacing w:after="0"/>
      <w:ind w:leftChars="400" w:left="840"/>
    </w:pPr>
    <w:rPr>
      <w:rFonts w:ascii="Times" w:eastAsia="Batang" w:hAnsi="Times"/>
      <w:szCs w:val="24"/>
    </w:rPr>
  </w:style>
  <w:style w:type="paragraph" w:customStyle="1" w:styleId="proposal-bullet">
    <w:name w:val="proposal-bullet"/>
    <w:basedOn w:val="a"/>
    <w:qFormat/>
    <w:rsid w:val="00E80738"/>
    <w:pPr>
      <w:numPr>
        <w:ilvl w:val="1"/>
        <w:numId w:val="30"/>
      </w:numPr>
      <w:snapToGrid w:val="0"/>
      <w:spacing w:after="100" w:afterAutospacing="1"/>
      <w:ind w:rightChars="100" w:right="240"/>
      <w:jc w:val="both"/>
    </w:pPr>
    <w:rPr>
      <w:rFonts w:eastAsia="MS Gothic"/>
      <w:b/>
      <w:i/>
      <w:sz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46298570">
      <w:bodyDiv w:val="1"/>
      <w:marLeft w:val="0"/>
      <w:marRight w:val="0"/>
      <w:marTop w:val="0"/>
      <w:marBottom w:val="0"/>
      <w:divBdr>
        <w:top w:val="none" w:sz="0" w:space="0" w:color="auto"/>
        <w:left w:val="none" w:sz="0" w:space="0" w:color="auto"/>
        <w:bottom w:val="none" w:sz="0" w:space="0" w:color="auto"/>
        <w:right w:val="none" w:sz="0" w:space="0" w:color="auto"/>
      </w:divBdr>
      <w:divsChild>
        <w:div w:id="1924485012">
          <w:marLeft w:val="346"/>
          <w:marRight w:val="0"/>
          <w:marTop w:val="0"/>
          <w:marBottom w:val="120"/>
          <w:divBdr>
            <w:top w:val="none" w:sz="0" w:space="0" w:color="auto"/>
            <w:left w:val="none" w:sz="0" w:space="0" w:color="auto"/>
            <w:bottom w:val="none" w:sz="0" w:space="0" w:color="auto"/>
            <w:right w:val="none" w:sz="0" w:space="0" w:color="auto"/>
          </w:divBdr>
        </w:div>
        <w:div w:id="669866417">
          <w:marLeft w:val="806"/>
          <w:marRight w:val="0"/>
          <w:marTop w:val="0"/>
          <w:marBottom w:val="120"/>
          <w:divBdr>
            <w:top w:val="none" w:sz="0" w:space="0" w:color="auto"/>
            <w:left w:val="none" w:sz="0" w:space="0" w:color="auto"/>
            <w:bottom w:val="none" w:sz="0" w:space="0" w:color="auto"/>
            <w:right w:val="none" w:sz="0" w:space="0" w:color="auto"/>
          </w:divBdr>
        </w:div>
        <w:div w:id="1757558935">
          <w:marLeft w:val="806"/>
          <w:marRight w:val="0"/>
          <w:marTop w:val="0"/>
          <w:marBottom w:val="12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66481084">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22078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7624971">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808962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514863">
      <w:bodyDiv w:val="1"/>
      <w:marLeft w:val="0"/>
      <w:marRight w:val="0"/>
      <w:marTop w:val="0"/>
      <w:marBottom w:val="0"/>
      <w:divBdr>
        <w:top w:val="none" w:sz="0" w:space="0" w:color="auto"/>
        <w:left w:val="none" w:sz="0" w:space="0" w:color="auto"/>
        <w:bottom w:val="none" w:sz="0" w:space="0" w:color="auto"/>
        <w:right w:val="none" w:sz="0" w:space="0" w:color="auto"/>
      </w:divBdr>
    </w:div>
    <w:div w:id="511185246">
      <w:bodyDiv w:val="1"/>
      <w:marLeft w:val="0"/>
      <w:marRight w:val="0"/>
      <w:marTop w:val="0"/>
      <w:marBottom w:val="0"/>
      <w:divBdr>
        <w:top w:val="none" w:sz="0" w:space="0" w:color="auto"/>
        <w:left w:val="none" w:sz="0" w:space="0" w:color="auto"/>
        <w:bottom w:val="none" w:sz="0" w:space="0" w:color="auto"/>
        <w:right w:val="none" w:sz="0" w:space="0" w:color="auto"/>
      </w:divBdr>
    </w:div>
    <w:div w:id="52101288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6671616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590025">
      <w:bodyDiv w:val="1"/>
      <w:marLeft w:val="0"/>
      <w:marRight w:val="0"/>
      <w:marTop w:val="0"/>
      <w:marBottom w:val="0"/>
      <w:divBdr>
        <w:top w:val="none" w:sz="0" w:space="0" w:color="auto"/>
        <w:left w:val="none" w:sz="0" w:space="0" w:color="auto"/>
        <w:bottom w:val="none" w:sz="0" w:space="0" w:color="auto"/>
        <w:right w:val="none" w:sz="0" w:space="0" w:color="auto"/>
      </w:divBdr>
      <w:divsChild>
        <w:div w:id="1816992544">
          <w:marLeft w:val="806"/>
          <w:marRight w:val="0"/>
          <w:marTop w:val="0"/>
          <w:marBottom w:val="120"/>
          <w:divBdr>
            <w:top w:val="none" w:sz="0" w:space="0" w:color="auto"/>
            <w:left w:val="none" w:sz="0" w:space="0" w:color="auto"/>
            <w:bottom w:val="none" w:sz="0" w:space="0" w:color="auto"/>
            <w:right w:val="none" w:sz="0" w:space="0" w:color="auto"/>
          </w:divBdr>
        </w:div>
      </w:divsChild>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18124210">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073073">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2482696">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6695993">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3589387">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79599900">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178130">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4941379">
      <w:bodyDiv w:val="1"/>
      <w:marLeft w:val="0"/>
      <w:marRight w:val="0"/>
      <w:marTop w:val="0"/>
      <w:marBottom w:val="0"/>
      <w:divBdr>
        <w:top w:val="none" w:sz="0" w:space="0" w:color="auto"/>
        <w:left w:val="none" w:sz="0" w:space="0" w:color="auto"/>
        <w:bottom w:val="none" w:sz="0" w:space="0" w:color="auto"/>
        <w:right w:val="none" w:sz="0" w:space="0" w:color="auto"/>
      </w:divBdr>
      <w:divsChild>
        <w:div w:id="189225426">
          <w:marLeft w:val="547"/>
          <w:marRight w:val="0"/>
          <w:marTop w:val="0"/>
          <w:marBottom w:val="0"/>
          <w:divBdr>
            <w:top w:val="none" w:sz="0" w:space="0" w:color="auto"/>
            <w:left w:val="none" w:sz="0" w:space="0" w:color="auto"/>
            <w:bottom w:val="none" w:sz="0" w:space="0" w:color="auto"/>
            <w:right w:val="none" w:sz="0" w:space="0" w:color="auto"/>
          </w:divBdr>
        </w:div>
        <w:div w:id="1294479007">
          <w:marLeft w:val="547"/>
          <w:marRight w:val="0"/>
          <w:marTop w:val="0"/>
          <w:marBottom w:val="0"/>
          <w:divBdr>
            <w:top w:val="none" w:sz="0" w:space="0" w:color="auto"/>
            <w:left w:val="none" w:sz="0" w:space="0" w:color="auto"/>
            <w:bottom w:val="none" w:sz="0" w:space="0" w:color="auto"/>
            <w:right w:val="none" w:sz="0" w:space="0" w:color="auto"/>
          </w:divBdr>
        </w:div>
        <w:div w:id="2073648478">
          <w:marLeft w:val="1166"/>
          <w:marRight w:val="0"/>
          <w:marTop w:val="0"/>
          <w:marBottom w:val="0"/>
          <w:divBdr>
            <w:top w:val="none" w:sz="0" w:space="0" w:color="auto"/>
            <w:left w:val="none" w:sz="0" w:space="0" w:color="auto"/>
            <w:bottom w:val="none" w:sz="0" w:space="0" w:color="auto"/>
            <w:right w:val="none" w:sz="0" w:space="0" w:color="auto"/>
          </w:divBdr>
        </w:div>
        <w:div w:id="1241330687">
          <w:marLeft w:val="1166"/>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595352">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3625456">
      <w:bodyDiv w:val="1"/>
      <w:marLeft w:val="0"/>
      <w:marRight w:val="0"/>
      <w:marTop w:val="0"/>
      <w:marBottom w:val="0"/>
      <w:divBdr>
        <w:top w:val="none" w:sz="0" w:space="0" w:color="auto"/>
        <w:left w:val="none" w:sz="0" w:space="0" w:color="auto"/>
        <w:bottom w:val="none" w:sz="0" w:space="0" w:color="auto"/>
        <w:right w:val="none" w:sz="0" w:space="0" w:color="auto"/>
      </w:divBdr>
      <w:divsChild>
        <w:div w:id="638455316">
          <w:marLeft w:val="346"/>
          <w:marRight w:val="0"/>
          <w:marTop w:val="0"/>
          <w:marBottom w:val="120"/>
          <w:divBdr>
            <w:top w:val="none" w:sz="0" w:space="0" w:color="auto"/>
            <w:left w:val="none" w:sz="0" w:space="0" w:color="auto"/>
            <w:bottom w:val="none" w:sz="0" w:space="0" w:color="auto"/>
            <w:right w:val="none" w:sz="0" w:space="0" w:color="auto"/>
          </w:divBdr>
        </w:div>
        <w:div w:id="886650734">
          <w:marLeft w:val="806"/>
          <w:marRight w:val="0"/>
          <w:marTop w:val="0"/>
          <w:marBottom w:val="120"/>
          <w:divBdr>
            <w:top w:val="none" w:sz="0" w:space="0" w:color="auto"/>
            <w:left w:val="none" w:sz="0" w:space="0" w:color="auto"/>
            <w:bottom w:val="none" w:sz="0" w:space="0" w:color="auto"/>
            <w:right w:val="none" w:sz="0" w:space="0" w:color="auto"/>
          </w:divBdr>
        </w:div>
        <w:div w:id="1136949268">
          <w:marLeft w:val="806"/>
          <w:marRight w:val="0"/>
          <w:marTop w:val="0"/>
          <w:marBottom w:val="120"/>
          <w:divBdr>
            <w:top w:val="none" w:sz="0" w:space="0" w:color="auto"/>
            <w:left w:val="none" w:sz="0" w:space="0" w:color="auto"/>
            <w:bottom w:val="none" w:sz="0" w:space="0" w:color="auto"/>
            <w:right w:val="none" w:sz="0" w:space="0" w:color="auto"/>
          </w:divBdr>
        </w:div>
        <w:div w:id="1312172905">
          <w:marLeft w:val="346"/>
          <w:marRight w:val="0"/>
          <w:marTop w:val="0"/>
          <w:marBottom w:val="120"/>
          <w:divBdr>
            <w:top w:val="none" w:sz="0" w:space="0" w:color="auto"/>
            <w:left w:val="none" w:sz="0" w:space="0" w:color="auto"/>
            <w:bottom w:val="none" w:sz="0" w:space="0" w:color="auto"/>
            <w:right w:val="none" w:sz="0" w:space="0" w:color="auto"/>
          </w:divBdr>
        </w:div>
        <w:div w:id="614992121">
          <w:marLeft w:val="806"/>
          <w:marRight w:val="0"/>
          <w:marTop w:val="0"/>
          <w:marBottom w:val="120"/>
          <w:divBdr>
            <w:top w:val="none" w:sz="0" w:space="0" w:color="auto"/>
            <w:left w:val="none" w:sz="0" w:space="0" w:color="auto"/>
            <w:bottom w:val="none" w:sz="0" w:space="0" w:color="auto"/>
            <w:right w:val="none" w:sz="0" w:space="0" w:color="auto"/>
          </w:divBdr>
        </w:div>
        <w:div w:id="443966077">
          <w:marLeft w:val="806"/>
          <w:marRight w:val="0"/>
          <w:marTop w:val="0"/>
          <w:marBottom w:val="120"/>
          <w:divBdr>
            <w:top w:val="none" w:sz="0" w:space="0" w:color="auto"/>
            <w:left w:val="none" w:sz="0" w:space="0" w:color="auto"/>
            <w:bottom w:val="none" w:sz="0" w:space="0" w:color="auto"/>
            <w:right w:val="none" w:sz="0" w:space="0" w:color="auto"/>
          </w:divBdr>
        </w:div>
        <w:div w:id="1069154354">
          <w:marLeft w:val="346"/>
          <w:marRight w:val="0"/>
          <w:marTop w:val="0"/>
          <w:marBottom w:val="120"/>
          <w:divBdr>
            <w:top w:val="none" w:sz="0" w:space="0" w:color="auto"/>
            <w:left w:val="none" w:sz="0" w:space="0" w:color="auto"/>
            <w:bottom w:val="none" w:sz="0" w:space="0" w:color="auto"/>
            <w:right w:val="none" w:sz="0" w:space="0" w:color="auto"/>
          </w:divBdr>
        </w:div>
        <w:div w:id="700398245">
          <w:marLeft w:val="806"/>
          <w:marRight w:val="0"/>
          <w:marTop w:val="0"/>
          <w:marBottom w:val="120"/>
          <w:divBdr>
            <w:top w:val="none" w:sz="0" w:space="0" w:color="auto"/>
            <w:left w:val="none" w:sz="0" w:space="0" w:color="auto"/>
            <w:bottom w:val="none" w:sz="0" w:space="0" w:color="auto"/>
            <w:right w:val="none" w:sz="0" w:space="0" w:color="auto"/>
          </w:divBdr>
        </w:div>
        <w:div w:id="434131378">
          <w:marLeft w:val="1354"/>
          <w:marRight w:val="0"/>
          <w:marTop w:val="0"/>
          <w:marBottom w:val="120"/>
          <w:divBdr>
            <w:top w:val="none" w:sz="0" w:space="0" w:color="auto"/>
            <w:left w:val="none" w:sz="0" w:space="0" w:color="auto"/>
            <w:bottom w:val="none" w:sz="0" w:space="0" w:color="auto"/>
            <w:right w:val="none" w:sz="0" w:space="0" w:color="auto"/>
          </w:divBdr>
        </w:div>
        <w:div w:id="1816027199">
          <w:marLeft w:val="806"/>
          <w:marRight w:val="0"/>
          <w:marTop w:val="0"/>
          <w:marBottom w:val="120"/>
          <w:divBdr>
            <w:top w:val="none" w:sz="0" w:space="0" w:color="auto"/>
            <w:left w:val="none" w:sz="0" w:space="0" w:color="auto"/>
            <w:bottom w:val="none" w:sz="0" w:space="0" w:color="auto"/>
            <w:right w:val="none" w:sz="0" w:space="0" w:color="auto"/>
          </w:divBdr>
        </w:div>
        <w:div w:id="1061322461">
          <w:marLeft w:val="1354"/>
          <w:marRight w:val="0"/>
          <w:marTop w:val="0"/>
          <w:marBottom w:val="120"/>
          <w:divBdr>
            <w:top w:val="none" w:sz="0" w:space="0" w:color="auto"/>
            <w:left w:val="none" w:sz="0" w:space="0" w:color="auto"/>
            <w:bottom w:val="none" w:sz="0" w:space="0" w:color="auto"/>
            <w:right w:val="none" w:sz="0" w:space="0" w:color="auto"/>
          </w:divBdr>
        </w:div>
        <w:div w:id="26176912">
          <w:marLeft w:val="806"/>
          <w:marRight w:val="0"/>
          <w:marTop w:val="0"/>
          <w:marBottom w:val="120"/>
          <w:divBdr>
            <w:top w:val="none" w:sz="0" w:space="0" w:color="auto"/>
            <w:left w:val="none" w:sz="0" w:space="0" w:color="auto"/>
            <w:bottom w:val="none" w:sz="0" w:space="0" w:color="auto"/>
            <w:right w:val="none" w:sz="0" w:space="0" w:color="auto"/>
          </w:divBdr>
        </w:div>
        <w:div w:id="384136265">
          <w:marLeft w:val="1354"/>
          <w:marRight w:val="0"/>
          <w:marTop w:val="0"/>
          <w:marBottom w:val="120"/>
          <w:divBdr>
            <w:top w:val="none" w:sz="0" w:space="0" w:color="auto"/>
            <w:left w:val="none" w:sz="0" w:space="0" w:color="auto"/>
            <w:bottom w:val="none" w:sz="0" w:space="0" w:color="auto"/>
            <w:right w:val="none" w:sz="0" w:space="0" w:color="auto"/>
          </w:divBdr>
        </w:div>
        <w:div w:id="1488210488">
          <w:marLeft w:val="1354"/>
          <w:marRight w:val="0"/>
          <w:marTop w:val="0"/>
          <w:marBottom w:val="12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160351">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5898964">
      <w:bodyDiv w:val="1"/>
      <w:marLeft w:val="0"/>
      <w:marRight w:val="0"/>
      <w:marTop w:val="0"/>
      <w:marBottom w:val="0"/>
      <w:divBdr>
        <w:top w:val="none" w:sz="0" w:space="0" w:color="auto"/>
        <w:left w:val="none" w:sz="0" w:space="0" w:color="auto"/>
        <w:bottom w:val="none" w:sz="0" w:space="0" w:color="auto"/>
        <w:right w:val="none" w:sz="0" w:space="0" w:color="auto"/>
      </w:divBdr>
      <w:divsChild>
        <w:div w:id="1321040858">
          <w:marLeft w:val="346"/>
          <w:marRight w:val="0"/>
          <w:marTop w:val="0"/>
          <w:marBottom w:val="12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01CB5-DC1D-42F0-B791-72609B68F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2463</TotalTime>
  <Pages>5</Pages>
  <Words>2007</Words>
  <Characters>11440</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165</cp:revision>
  <cp:lastPrinted>2010-04-02T09:58:00Z</cp:lastPrinted>
  <dcterms:created xsi:type="dcterms:W3CDTF">2023-08-08T09:23:00Z</dcterms:created>
  <dcterms:modified xsi:type="dcterms:W3CDTF">2023-11-03T09:18:00Z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