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06C70" w14:textId="36BE2B6F" w:rsidR="00022823" w:rsidRPr="00967CFB" w:rsidRDefault="00022823" w:rsidP="0002282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64101" w:rsidRPr="00564101">
        <w:rPr>
          <w:rFonts w:ascii="Arial" w:hAnsi="Arial" w:cs="Arial" w:hint="eastAsia"/>
          <w:b/>
          <w:bCs/>
          <w:sz w:val="28"/>
        </w:rPr>
        <w:t>R1-2307173</w:t>
      </w:r>
    </w:p>
    <w:p w14:paraId="1FFCBFE2" w14:textId="77777777" w:rsidR="00022823" w:rsidRPr="009513AC" w:rsidRDefault="00022823" w:rsidP="000228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022823" w:rsidRDefault="00C1719D" w:rsidP="00C1719D">
      <w:pPr>
        <w:snapToGrid w:val="0"/>
        <w:spacing w:after="0" w:line="288" w:lineRule="auto"/>
        <w:ind w:left="1988" w:hanging="1988"/>
        <w:jc w:val="both"/>
        <w:rPr>
          <w:rFonts w:ascii="Arial" w:hAnsi="Arial" w:cs="Arial"/>
          <w:b/>
          <w:sz w:val="24"/>
        </w:rPr>
      </w:pPr>
    </w:p>
    <w:p w14:paraId="2F2E7613" w14:textId="357FD913"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140DB5">
        <w:rPr>
          <w:rFonts w:ascii="Arial" w:hAnsi="Arial" w:cs="Arial"/>
          <w:b/>
          <w:sz w:val="24"/>
          <w:lang w:val="en-US"/>
        </w:rPr>
        <w:t>5</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5695AA5E"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CF4E53" w:rsidRPr="00CF4E53">
        <w:rPr>
          <w:rFonts w:ascii="Arial" w:hAnsi="Arial" w:cs="Arial"/>
          <w:b/>
          <w:sz w:val="24"/>
          <w:lang w:val="en-US"/>
        </w:rPr>
        <w:t>Discussion on RAN2 LS on LPHAP</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3D1C3985" w:rsidR="00FA3B53" w:rsidRDefault="00D76884" w:rsidP="00C10043">
      <w:pPr>
        <w:spacing w:after="0" w:line="288" w:lineRule="auto"/>
        <w:jc w:val="both"/>
        <w:rPr>
          <w:rFonts w:ascii="Arial" w:hAnsi="Arial" w:cs="Arial"/>
          <w:lang w:eastAsia="zh-CN"/>
        </w:rPr>
      </w:pPr>
      <w:r>
        <w:rPr>
          <w:rFonts w:ascii="Arial" w:hAnsi="Arial" w:cs="Arial"/>
          <w:lang w:eastAsia="zh-CN"/>
        </w:rPr>
        <w:t xml:space="preserve">In </w:t>
      </w:r>
      <w:r w:rsidR="004B09F5">
        <w:rPr>
          <w:rFonts w:ascii="Arial" w:hAnsi="Arial" w:cs="Arial"/>
          <w:lang w:eastAsia="zh-CN"/>
        </w:rPr>
        <w:t>the LS from RAN2</w:t>
      </w:r>
      <w:r w:rsidR="002025E4">
        <w:rPr>
          <w:rFonts w:ascii="Arial" w:hAnsi="Arial" w:cs="Arial"/>
          <w:lang w:eastAsia="zh-CN"/>
        </w:rPr>
        <w:t xml:space="preserve"> </w:t>
      </w:r>
      <w:r w:rsidR="002025E4">
        <w:rPr>
          <w:rFonts w:ascii="Arial" w:hAnsi="Arial" w:cs="Arial"/>
          <w:lang w:eastAsia="zh-CN"/>
        </w:rPr>
        <w:fldChar w:fldCharType="begin"/>
      </w:r>
      <w:r w:rsidR="002025E4">
        <w:rPr>
          <w:rFonts w:ascii="Arial" w:hAnsi="Arial" w:cs="Arial"/>
          <w:lang w:eastAsia="zh-CN"/>
        </w:rPr>
        <w:instrText xml:space="preserve"> REF _Ref101340038 \r \h </w:instrText>
      </w:r>
      <w:r w:rsidR="002025E4">
        <w:rPr>
          <w:rFonts w:ascii="Arial" w:hAnsi="Arial" w:cs="Arial"/>
          <w:lang w:eastAsia="zh-CN"/>
        </w:rPr>
      </w:r>
      <w:r w:rsidR="002025E4">
        <w:rPr>
          <w:rFonts w:ascii="Arial" w:hAnsi="Arial" w:cs="Arial"/>
          <w:lang w:eastAsia="zh-CN"/>
        </w:rPr>
        <w:fldChar w:fldCharType="separate"/>
      </w:r>
      <w:r w:rsidR="002025E4">
        <w:rPr>
          <w:rFonts w:ascii="Arial" w:hAnsi="Arial" w:cs="Arial"/>
          <w:lang w:eastAsia="zh-CN"/>
        </w:rPr>
        <w:t>[1]</w:t>
      </w:r>
      <w:r w:rsidR="002025E4">
        <w:rPr>
          <w:rFonts w:ascii="Arial" w:hAnsi="Arial" w:cs="Arial"/>
          <w:lang w:eastAsia="zh-CN"/>
        </w:rPr>
        <w:fldChar w:fldCharType="end"/>
      </w:r>
      <w:r w:rsidR="004B09F5">
        <w:rPr>
          <w:rFonts w:ascii="Arial" w:hAnsi="Arial" w:cs="Arial"/>
          <w:lang w:eastAsia="zh-CN"/>
        </w:rPr>
        <w:t xml:space="preserve">, </w:t>
      </w:r>
      <w:r w:rsidR="0013280D">
        <w:rPr>
          <w:rFonts w:ascii="Arial" w:hAnsi="Arial" w:cs="Arial"/>
          <w:lang w:eastAsia="zh-CN"/>
        </w:rPr>
        <w:t xml:space="preserve">RAN2 informed that in eRedCap WI, it was agreed that the long eDRX cycle values are the same as idle eDRX </w:t>
      </w:r>
      <w:r w:rsidR="0013280D" w:rsidRPr="00C36E57">
        <w:rPr>
          <w:rFonts w:ascii="Arial" w:hAnsi="Arial" w:cs="Arial"/>
          <w:bCs/>
          <w:lang w:eastAsia="zh-CN"/>
        </w:rPr>
        <w:t>(</w:t>
      </w:r>
      <w:r w:rsidR="0013280D">
        <w:rPr>
          <w:rFonts w:ascii="Arial" w:hAnsi="Arial" w:cs="Arial" w:hint="eastAsia"/>
          <w:bCs/>
          <w:lang w:eastAsia="zh-CN"/>
        </w:rPr>
        <w:t>i</w:t>
      </w:r>
      <w:r w:rsidR="0013280D">
        <w:rPr>
          <w:rFonts w:ascii="Arial" w:hAnsi="Arial" w:cs="Arial"/>
          <w:bCs/>
          <w:lang w:eastAsia="zh-CN"/>
        </w:rPr>
        <w:t xml:space="preserve">.e., </w:t>
      </w:r>
      <w:r w:rsidR="0013280D" w:rsidRPr="00C36E57">
        <w:rPr>
          <w:rFonts w:ascii="Arial" w:hAnsi="Arial" w:cs="Arial"/>
          <w:bCs/>
          <w:lang w:eastAsia="zh-CN"/>
        </w:rPr>
        <w:t>2</w:t>
      </w:r>
      <w:r w:rsidR="0013280D">
        <w:rPr>
          <w:rFonts w:ascii="Arial" w:hAnsi="Arial" w:cs="Arial"/>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4</w:t>
      </w:r>
      <w:r w:rsidR="0013280D">
        <w:rPr>
          <w:rFonts w:ascii="Arial" w:hAnsi="Arial" w:cs="Arial"/>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8</w:t>
      </w:r>
      <w:r w:rsidR="0013280D">
        <w:rPr>
          <w:rFonts w:ascii="Arial" w:hAnsi="Arial" w:cs="Arial"/>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16</w:t>
      </w:r>
      <w:r w:rsidR="0013280D">
        <w:rPr>
          <w:rFonts w:ascii="Arial" w:hAnsi="Arial" w:cs="Arial"/>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32</w:t>
      </w:r>
      <w:r w:rsidR="0013280D" w:rsidRPr="007945CF">
        <w:rPr>
          <w:rFonts w:ascii="Arial" w:hAnsi="Arial" w:cs="Arial" w:hint="eastAsia"/>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64</w:t>
      </w:r>
      <w:r w:rsidR="0013280D">
        <w:rPr>
          <w:rFonts w:ascii="Arial" w:hAnsi="Arial" w:cs="Arial"/>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128</w:t>
      </w:r>
      <w:r w:rsidR="0013280D">
        <w:rPr>
          <w:rFonts w:ascii="Arial" w:hAnsi="Arial" w:cs="Arial"/>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256</w:t>
      </w:r>
      <w:r w:rsidR="0013280D">
        <w:rPr>
          <w:rFonts w:ascii="Arial" w:hAnsi="Arial" w:cs="Arial"/>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512</w:t>
      </w:r>
      <w:r w:rsidR="0013280D">
        <w:rPr>
          <w:rFonts w:ascii="Arial" w:hAnsi="Arial" w:cs="Arial"/>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 1024</w:t>
      </w:r>
      <w:r w:rsidR="0013280D" w:rsidRPr="006426E4">
        <w:rPr>
          <w:rFonts w:ascii="Arial" w:hAnsi="Arial" w:cs="Arial" w:hint="eastAsia"/>
          <w:bCs/>
          <w:lang w:eastAsia="zh-CN"/>
        </w:rPr>
        <w:t xml:space="preserve"> </w:t>
      </w:r>
      <w:r w:rsidR="0013280D">
        <w:rPr>
          <w:rFonts w:ascii="Arial" w:hAnsi="Arial" w:cs="Arial" w:hint="eastAsia"/>
          <w:bCs/>
          <w:lang w:eastAsia="zh-CN"/>
        </w:rPr>
        <w:t>hyper</w:t>
      </w:r>
      <w:r w:rsidR="0013280D">
        <w:rPr>
          <w:rFonts w:ascii="Arial" w:hAnsi="Arial" w:cs="Arial"/>
          <w:bCs/>
          <w:lang w:eastAsia="zh-CN"/>
        </w:rPr>
        <w:t>frames</w:t>
      </w:r>
      <w:r w:rsidR="0013280D" w:rsidRPr="00C36E57">
        <w:rPr>
          <w:rFonts w:ascii="Arial" w:hAnsi="Arial" w:cs="Arial"/>
          <w:bCs/>
          <w:lang w:eastAsia="zh-CN"/>
        </w:rPr>
        <w:t>)</w:t>
      </w:r>
      <w:r w:rsidR="0013280D">
        <w:rPr>
          <w:rFonts w:ascii="Arial" w:hAnsi="Arial" w:cs="Arial"/>
          <w:bCs/>
          <w:lang w:eastAsia="zh-CN"/>
        </w:rPr>
        <w:t>.</w:t>
      </w:r>
      <w:r w:rsidR="0013280D">
        <w:rPr>
          <w:rFonts w:ascii="Arial" w:hAnsi="Arial" w:cs="Arial" w:hint="eastAsia"/>
          <w:lang w:eastAsia="zh-CN"/>
        </w:rPr>
        <w:t xml:space="preserve"> </w:t>
      </w:r>
      <w:r w:rsidR="0013280D">
        <w:rPr>
          <w:rFonts w:ascii="Arial" w:hAnsi="Arial" w:cs="Arial"/>
          <w:lang w:eastAsia="zh-CN"/>
        </w:rPr>
        <w:t xml:space="preserve">In addition, </w:t>
      </w:r>
      <w:r w:rsidR="004B09F5">
        <w:rPr>
          <w:rFonts w:ascii="Arial" w:hAnsi="Arial" w:cs="Arial"/>
          <w:lang w:eastAsia="zh-CN"/>
        </w:rPr>
        <w:t xml:space="preserve">RAN2 provided the </w:t>
      </w:r>
      <w:r w:rsidR="006424E5">
        <w:rPr>
          <w:rFonts w:ascii="Arial" w:hAnsi="Arial" w:cs="Arial"/>
          <w:lang w:eastAsia="zh-CN"/>
        </w:rPr>
        <w:t>following agreement</w:t>
      </w:r>
      <w:r w:rsidR="004B09F5">
        <w:rPr>
          <w:rFonts w:ascii="Arial" w:hAnsi="Arial" w:cs="Arial"/>
          <w:lang w:eastAsia="zh-CN"/>
        </w:rPr>
        <w:t xml:space="preserve"> on </w:t>
      </w:r>
      <w:r w:rsidR="002025E4">
        <w:rPr>
          <w:rFonts w:ascii="Arial" w:hAnsi="Arial" w:cs="Arial"/>
          <w:lang w:eastAsia="zh-CN"/>
        </w:rPr>
        <w:t xml:space="preserve">SRS </w:t>
      </w:r>
      <w:r w:rsidR="006424E5">
        <w:rPr>
          <w:rFonts w:ascii="Arial" w:hAnsi="Arial" w:cs="Arial" w:hint="eastAsia"/>
          <w:lang w:eastAsia="zh-CN"/>
        </w:rPr>
        <w:t>configuration</w:t>
      </w:r>
      <w:r w:rsidR="006424E5">
        <w:rPr>
          <w:rFonts w:ascii="Arial" w:hAnsi="Arial" w:cs="Arial"/>
          <w:lang w:eastAsia="zh-CN"/>
        </w:rPr>
        <w:t xml:space="preserve"> with validity area</w:t>
      </w:r>
      <w:r w:rsidR="004B09F5">
        <w:rPr>
          <w:rFonts w:ascii="Arial" w:hAnsi="Arial" w:cs="Arial"/>
          <w:lang w:eastAsia="zh-CN"/>
        </w:rPr>
        <w:t>:</w:t>
      </w:r>
    </w:p>
    <w:p w14:paraId="2675B59F" w14:textId="77777777" w:rsidR="006424E5" w:rsidRDefault="006424E5" w:rsidP="006424E5">
      <w:pPr>
        <w:pStyle w:val="Doc-text2"/>
        <w:pBdr>
          <w:top w:val="single" w:sz="4" w:space="1" w:color="auto"/>
          <w:left w:val="single" w:sz="4" w:space="4" w:color="auto"/>
          <w:bottom w:val="single" w:sz="4" w:space="1" w:color="auto"/>
          <w:right w:val="single" w:sz="4" w:space="0" w:color="auto"/>
        </w:pBdr>
        <w:tabs>
          <w:tab w:val="clear" w:pos="1622"/>
        </w:tabs>
        <w:ind w:left="1134" w:rightChars="467" w:right="934" w:hanging="425"/>
      </w:pPr>
      <w:r>
        <w:t>RAN2 consider that the LMF should determine the area-specific SRS configuration.  Details are up to RAN3.</w:t>
      </w:r>
    </w:p>
    <w:p w14:paraId="36625314" w14:textId="77777777" w:rsidR="0013280D" w:rsidRDefault="004B09F5" w:rsidP="001A1117">
      <w:pPr>
        <w:spacing w:beforeLines="50" w:before="120" w:after="0" w:line="288" w:lineRule="auto"/>
        <w:jc w:val="both"/>
        <w:rPr>
          <w:rFonts w:ascii="Arial" w:hAnsi="Arial" w:cs="Arial"/>
          <w:lang w:eastAsia="zh-CN"/>
        </w:rPr>
      </w:pPr>
      <w:r>
        <w:rPr>
          <w:rFonts w:ascii="Arial" w:hAnsi="Arial" w:cs="Arial"/>
          <w:lang w:eastAsia="zh-CN"/>
        </w:rPr>
        <w:t xml:space="preserve">RAN2 requested RAN1 </w:t>
      </w:r>
      <w:r w:rsidR="009A4577" w:rsidRPr="009A4577">
        <w:rPr>
          <w:rFonts w:ascii="Arial" w:hAnsi="Arial" w:cs="Arial"/>
          <w:lang w:eastAsia="zh-CN"/>
        </w:rPr>
        <w:t>to</w:t>
      </w:r>
      <w:r w:rsidR="0013280D">
        <w:rPr>
          <w:rFonts w:ascii="Arial" w:hAnsi="Arial" w:cs="Arial"/>
          <w:lang w:eastAsia="zh-CN"/>
        </w:rPr>
        <w:t>:</w:t>
      </w:r>
    </w:p>
    <w:p w14:paraId="2A7C29A1" w14:textId="63E22623" w:rsidR="0013280D" w:rsidRPr="0013280D" w:rsidRDefault="0013280D" w:rsidP="0013280D">
      <w:pPr>
        <w:pStyle w:val="af9"/>
        <w:numPr>
          <w:ilvl w:val="0"/>
          <w:numId w:val="44"/>
        </w:numPr>
        <w:spacing w:beforeLines="50" w:before="120" w:line="288" w:lineRule="auto"/>
        <w:jc w:val="both"/>
        <w:rPr>
          <w:rFonts w:ascii="Arial" w:hAnsi="Arial" w:cs="Arial"/>
          <w:sz w:val="20"/>
          <w:szCs w:val="20"/>
          <w:lang w:eastAsia="zh-CN"/>
        </w:rPr>
      </w:pPr>
      <w:r w:rsidRPr="0013280D">
        <w:rPr>
          <w:rFonts w:ascii="Arial" w:hAnsi="Arial" w:cs="Arial"/>
          <w:sz w:val="20"/>
          <w:szCs w:val="20"/>
          <w:lang w:eastAsia="zh-CN"/>
        </w:rPr>
        <w:t>Confirm whether the</w:t>
      </w:r>
      <w:r>
        <w:rPr>
          <w:rFonts w:ascii="Arial" w:hAnsi="Arial" w:cs="Arial"/>
          <w:sz w:val="20"/>
          <w:szCs w:val="20"/>
          <w:lang w:eastAsia="zh-CN"/>
        </w:rPr>
        <w:t xml:space="preserve"> eRedCap agreed eDRX cycle lengths are sufficient for positioning in RRC_</w:t>
      </w:r>
      <w:r w:rsidR="0001198C">
        <w:rPr>
          <w:rFonts w:ascii="Arial" w:hAnsi="Arial" w:cs="Arial"/>
          <w:sz w:val="20"/>
          <w:szCs w:val="20"/>
          <w:lang w:eastAsia="zh-CN"/>
        </w:rPr>
        <w:t>INACTIVE.</w:t>
      </w:r>
    </w:p>
    <w:p w14:paraId="01EFB56F" w14:textId="0F490381" w:rsidR="00511DBD" w:rsidRPr="0013280D" w:rsidRDefault="0013280D" w:rsidP="0013280D">
      <w:pPr>
        <w:pStyle w:val="af9"/>
        <w:numPr>
          <w:ilvl w:val="0"/>
          <w:numId w:val="44"/>
        </w:numPr>
        <w:spacing w:beforeLines="50" w:before="120" w:line="288" w:lineRule="auto"/>
        <w:jc w:val="both"/>
        <w:rPr>
          <w:rFonts w:ascii="Arial" w:hAnsi="Arial" w:cs="Arial"/>
          <w:sz w:val="20"/>
          <w:szCs w:val="20"/>
          <w:lang w:eastAsia="zh-CN"/>
        </w:rPr>
      </w:pPr>
      <w:r w:rsidRPr="0013280D">
        <w:rPr>
          <w:rFonts w:ascii="Arial" w:hAnsi="Arial" w:cs="Arial"/>
          <w:sz w:val="20"/>
          <w:szCs w:val="20"/>
          <w:lang w:eastAsia="zh-CN"/>
        </w:rPr>
        <w:t>W</w:t>
      </w:r>
      <w:r w:rsidR="009A4577" w:rsidRPr="0013280D">
        <w:rPr>
          <w:rFonts w:ascii="Arial" w:hAnsi="Arial" w:cs="Arial"/>
          <w:sz w:val="20"/>
          <w:szCs w:val="20"/>
          <w:lang w:eastAsia="zh-CN"/>
        </w:rPr>
        <w:t>ork on the parameters for area-specific SRS configuration.</w:t>
      </w:r>
    </w:p>
    <w:p w14:paraId="3A8CBBA6" w14:textId="6572C978" w:rsidR="004B09F5" w:rsidRDefault="004B09F5"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views on </w:t>
      </w:r>
      <w:r w:rsidR="002843E1">
        <w:rPr>
          <w:rFonts w:ascii="Arial" w:hAnsi="Arial" w:cs="Arial"/>
          <w:lang w:eastAsia="zh-CN"/>
        </w:rPr>
        <w:t>th</w:t>
      </w:r>
      <w:r w:rsidR="00BB2751">
        <w:rPr>
          <w:rFonts w:ascii="Arial" w:hAnsi="Arial" w:cs="Arial"/>
          <w:lang w:eastAsia="zh-CN"/>
        </w:rPr>
        <w:t>e</w:t>
      </w:r>
      <w:r w:rsidR="00373C85">
        <w:rPr>
          <w:rFonts w:ascii="Arial" w:hAnsi="Arial" w:cs="Arial" w:hint="eastAsia"/>
          <w:lang w:eastAsia="zh-CN"/>
        </w:rPr>
        <w:t>se</w:t>
      </w:r>
      <w:r w:rsidR="00373C85">
        <w:rPr>
          <w:rFonts w:ascii="Arial" w:hAnsi="Arial" w:cs="Arial"/>
          <w:lang w:eastAsia="zh-CN"/>
        </w:rPr>
        <w:t xml:space="preserve"> issue</w:t>
      </w:r>
      <w:r w:rsidR="005C028F">
        <w:rPr>
          <w:rFonts w:ascii="Arial" w:hAnsi="Arial" w:cs="Arial"/>
          <w:lang w:eastAsia="zh-CN"/>
        </w:rPr>
        <w:t>s</w:t>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6F53E93B" w14:textId="117DEEBD" w:rsidR="008C1304" w:rsidRDefault="008C1304" w:rsidP="00CD0075">
      <w:pPr>
        <w:snapToGrid w:val="0"/>
        <w:spacing w:beforeLines="50" w:before="120" w:line="288" w:lineRule="auto"/>
        <w:rPr>
          <w:rFonts w:ascii="Arial" w:hAnsi="Arial" w:cs="Arial"/>
          <w:b/>
          <w:bCs/>
          <w:i/>
          <w:iCs/>
          <w:u w:val="single"/>
          <w:lang w:eastAsia="zh-CN"/>
        </w:rPr>
      </w:pPr>
      <w:bookmarkStart w:id="1" w:name="_Ref31533076"/>
      <w:r w:rsidRPr="008C1304">
        <w:rPr>
          <w:rFonts w:ascii="Arial" w:hAnsi="Arial" w:cs="Arial" w:hint="eastAsia"/>
          <w:b/>
          <w:bCs/>
          <w:i/>
          <w:iCs/>
          <w:u w:val="single"/>
          <w:lang w:eastAsia="zh-CN"/>
        </w:rPr>
        <w:t>e</w:t>
      </w:r>
      <w:r w:rsidRPr="008C1304">
        <w:rPr>
          <w:rFonts w:ascii="Arial" w:hAnsi="Arial" w:cs="Arial"/>
          <w:b/>
          <w:bCs/>
          <w:i/>
          <w:iCs/>
          <w:u w:val="single"/>
          <w:lang w:eastAsia="zh-CN"/>
        </w:rPr>
        <w:t>DRX cycle</w:t>
      </w:r>
    </w:p>
    <w:p w14:paraId="3A9B465B" w14:textId="31B658F9" w:rsidR="008C1304" w:rsidRDefault="0001198C" w:rsidP="00CD0075">
      <w:pPr>
        <w:snapToGrid w:val="0"/>
        <w:spacing w:beforeLines="50" w:before="120" w:line="288" w:lineRule="auto"/>
        <w:rPr>
          <w:rFonts w:ascii="Arial" w:hAnsi="Arial" w:cs="Arial"/>
          <w:lang w:eastAsia="zh-CN"/>
        </w:rPr>
      </w:pPr>
      <w:r>
        <w:rPr>
          <w:rFonts w:ascii="Arial" w:hAnsi="Arial" w:cs="Arial"/>
          <w:lang w:eastAsia="zh-CN"/>
        </w:rPr>
        <w:t xml:space="preserve">During the SI phase, extending DRX cycle beyond 10.24s was studied and found beneficial towards meeting the battery life requirement for LPHAP. The typical values of extended DRX cycle evaluated by companies that can meet at least the battery life of 6 months are </w:t>
      </w:r>
      <w:r w:rsidR="00AF2E35">
        <w:rPr>
          <w:rFonts w:ascii="Arial" w:hAnsi="Arial" w:cs="Arial"/>
          <w:lang w:eastAsia="zh-CN"/>
        </w:rPr>
        <w:t>20.48s, 30.72, some larger values including 40.96s and 81.92s has also been evaluated by some sources. From this perspective, we think that the agreed values in eRedCap WI of up to 1024 hyperframe is sufficient for positioning in RRC_INACTIVE.</w:t>
      </w:r>
    </w:p>
    <w:p w14:paraId="3DD5ED9A" w14:textId="3DA2F756" w:rsidR="00AF2E35" w:rsidRPr="00AF2E35" w:rsidRDefault="00AF2E35" w:rsidP="00CD0075">
      <w:pPr>
        <w:snapToGrid w:val="0"/>
        <w:spacing w:beforeLines="50" w:before="120" w:line="288" w:lineRule="auto"/>
        <w:rPr>
          <w:rFonts w:ascii="Arial" w:hAnsi="Arial" w:cs="Arial"/>
          <w:b/>
          <w:bCs/>
          <w:lang w:eastAsia="zh-CN"/>
        </w:rPr>
      </w:pPr>
      <w:r w:rsidRPr="00AF2E35">
        <w:rPr>
          <w:rFonts w:ascii="Arial" w:hAnsi="Arial" w:cs="Arial" w:hint="eastAsia"/>
          <w:b/>
          <w:bCs/>
          <w:lang w:eastAsia="zh-CN"/>
        </w:rPr>
        <w:t>P</w:t>
      </w:r>
      <w:r w:rsidRPr="00AF2E35">
        <w:rPr>
          <w:rFonts w:ascii="Arial" w:hAnsi="Arial" w:cs="Arial"/>
          <w:b/>
          <w:bCs/>
          <w:lang w:eastAsia="zh-CN"/>
        </w:rPr>
        <w:t>roposal 1: From RAN1 perspective, the eRedCap agreed eDRX cycle lengths are sufficient for positioning in RRC_INACTIVE.</w:t>
      </w:r>
    </w:p>
    <w:p w14:paraId="5D099DC6" w14:textId="77777777" w:rsidR="0001198C" w:rsidRPr="008C1304" w:rsidRDefault="0001198C" w:rsidP="00CD0075">
      <w:pPr>
        <w:snapToGrid w:val="0"/>
        <w:spacing w:beforeLines="50" w:before="120" w:line="288" w:lineRule="auto"/>
        <w:rPr>
          <w:rFonts w:ascii="Arial" w:hAnsi="Arial" w:cs="Arial"/>
          <w:lang w:eastAsia="zh-CN"/>
        </w:rPr>
      </w:pPr>
    </w:p>
    <w:p w14:paraId="554829D6" w14:textId="4738D09D" w:rsidR="008C1304" w:rsidRPr="008C1304" w:rsidRDefault="008C1304" w:rsidP="00CD0075">
      <w:pPr>
        <w:snapToGrid w:val="0"/>
        <w:spacing w:beforeLines="50" w:before="120" w:line="288" w:lineRule="auto"/>
        <w:rPr>
          <w:rFonts w:ascii="Arial" w:hAnsi="Arial" w:cs="Arial"/>
          <w:b/>
          <w:bCs/>
          <w:i/>
          <w:iCs/>
          <w:u w:val="single"/>
          <w:lang w:eastAsia="zh-CN"/>
        </w:rPr>
      </w:pPr>
      <w:r w:rsidRPr="008C1304">
        <w:rPr>
          <w:rFonts w:ascii="Arial" w:hAnsi="Arial" w:cs="Arial" w:hint="eastAsia"/>
          <w:b/>
          <w:bCs/>
          <w:i/>
          <w:iCs/>
          <w:u w:val="single"/>
          <w:lang w:eastAsia="zh-CN"/>
        </w:rPr>
        <w:t>A</w:t>
      </w:r>
      <w:r w:rsidRPr="008C1304">
        <w:rPr>
          <w:rFonts w:ascii="Arial" w:hAnsi="Arial" w:cs="Arial"/>
          <w:b/>
          <w:bCs/>
          <w:i/>
          <w:iCs/>
          <w:u w:val="single"/>
          <w:lang w:eastAsia="zh-CN"/>
        </w:rPr>
        <w:t>rea-specific SRS configuration</w:t>
      </w:r>
    </w:p>
    <w:p w14:paraId="1F59689A" w14:textId="335C19BB" w:rsidR="00CD0075" w:rsidRDefault="0024012D" w:rsidP="00CD0075">
      <w:pPr>
        <w:snapToGrid w:val="0"/>
        <w:spacing w:beforeLines="50" w:before="120" w:line="288" w:lineRule="auto"/>
        <w:rPr>
          <w:rFonts w:ascii="Arial" w:hAnsi="Arial" w:cs="Arial"/>
          <w:lang w:eastAsia="zh-CN"/>
        </w:rPr>
      </w:pPr>
      <w:r>
        <w:rPr>
          <w:rFonts w:ascii="Arial" w:hAnsi="Arial" w:cs="Arial"/>
          <w:lang w:eastAsia="zh-CN"/>
        </w:rPr>
        <w:t>In the previous RAN1 meetings, RAN1 has already worked on the parameters for area-specific SRS configurations</w:t>
      </w:r>
      <w:r w:rsidR="00CD0075">
        <w:rPr>
          <w:rFonts w:ascii="Arial" w:hAnsi="Arial" w:cs="Arial"/>
          <w:lang w:eastAsia="zh-CN"/>
        </w:rPr>
        <w:t xml:space="preserve">, those that are not dependent on UE location can be commonly applied across multiple cells in </w:t>
      </w:r>
      <w:r w:rsidR="00DC316C">
        <w:rPr>
          <w:rFonts w:ascii="Arial" w:hAnsi="Arial" w:cs="Arial"/>
          <w:lang w:eastAsia="zh-CN"/>
        </w:rPr>
        <w:t>an</w:t>
      </w:r>
      <w:r w:rsidR="00CD0075">
        <w:rPr>
          <w:rFonts w:ascii="Arial" w:hAnsi="Arial" w:cs="Arial"/>
          <w:lang w:eastAsia="zh-CN"/>
        </w:rPr>
        <w:t xml:space="preserve"> SRS for positioning validity area</w:t>
      </w:r>
      <w:r w:rsidR="00DC316C">
        <w:rPr>
          <w:rFonts w:ascii="Arial" w:hAnsi="Arial" w:cs="Arial"/>
          <w:lang w:eastAsia="zh-CN"/>
        </w:rPr>
        <w:t>:</w:t>
      </w:r>
    </w:p>
    <w:p w14:paraId="693F801F" w14:textId="77777777" w:rsidR="00DC316C" w:rsidRPr="00B23975" w:rsidRDefault="00DC316C" w:rsidP="00DC316C">
      <w:pPr>
        <w:pStyle w:val="af9"/>
        <w:numPr>
          <w:ilvl w:val="0"/>
          <w:numId w:val="41"/>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inactivePosSRS-TimeAlignmentTimer</w:t>
      </w:r>
      <w:r w:rsidRPr="00B23975">
        <w:rPr>
          <w:rFonts w:ascii="Arial" w:hAnsi="Arial" w:cs="Arial" w:hint="eastAsia"/>
          <w:sz w:val="20"/>
          <w:szCs w:val="20"/>
          <w:lang w:eastAsia="zh-CN"/>
        </w:rPr>
        <w:t xml:space="preserve"> </w:t>
      </w:r>
    </w:p>
    <w:p w14:paraId="6BC942AE" w14:textId="77777777" w:rsidR="00DC316C" w:rsidRPr="00B23975" w:rsidRDefault="00DC316C" w:rsidP="00DC316C">
      <w:pPr>
        <w:pStyle w:val="af9"/>
        <w:numPr>
          <w:ilvl w:val="0"/>
          <w:numId w:val="41"/>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 xml:space="preserve">inactivePosSRS-RSRP-ChangeThreshold </w:t>
      </w:r>
    </w:p>
    <w:p w14:paraId="21F33F80" w14:textId="4B49DDA8" w:rsidR="00DC316C" w:rsidRPr="00B23975" w:rsidRDefault="00DC316C" w:rsidP="00DC316C">
      <w:pPr>
        <w:pStyle w:val="af9"/>
        <w:numPr>
          <w:ilvl w:val="0"/>
          <w:numId w:val="41"/>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BWP parameters</w:t>
      </w:r>
    </w:p>
    <w:p w14:paraId="0BD7E80C" w14:textId="77777777" w:rsidR="00DC316C" w:rsidRPr="00B23975" w:rsidRDefault="00DC316C" w:rsidP="00DC316C">
      <w:pPr>
        <w:pStyle w:val="af9"/>
        <w:numPr>
          <w:ilvl w:val="1"/>
          <w:numId w:val="42"/>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locationAndBandwidth</w:t>
      </w:r>
    </w:p>
    <w:p w14:paraId="74EDBFF7" w14:textId="77777777" w:rsidR="00DC316C" w:rsidRPr="00B23975" w:rsidRDefault="00DC316C" w:rsidP="00DC316C">
      <w:pPr>
        <w:pStyle w:val="af9"/>
        <w:numPr>
          <w:ilvl w:val="1"/>
          <w:numId w:val="42"/>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lastRenderedPageBreak/>
        <w:t>subcarrierSpacing</w:t>
      </w:r>
    </w:p>
    <w:p w14:paraId="6961CB0A" w14:textId="5FEA5BFE" w:rsidR="00DC316C" w:rsidRPr="00B23975" w:rsidRDefault="00DC316C" w:rsidP="00DC316C">
      <w:pPr>
        <w:pStyle w:val="af9"/>
        <w:numPr>
          <w:ilvl w:val="1"/>
          <w:numId w:val="42"/>
        </w:numPr>
        <w:snapToGrid w:val="0"/>
        <w:spacing w:beforeLines="50" w:before="120" w:line="288" w:lineRule="auto"/>
        <w:rPr>
          <w:rFonts w:ascii="Arial" w:hAnsi="Arial" w:cs="Arial"/>
          <w:sz w:val="20"/>
          <w:szCs w:val="20"/>
          <w:lang w:val="en-GB" w:eastAsia="zh-CN"/>
        </w:rPr>
      </w:pPr>
      <w:r w:rsidRPr="00B23975">
        <w:rPr>
          <w:rFonts w:ascii="Arial" w:hAnsi="Arial" w:cs="Arial"/>
          <w:sz w:val="20"/>
          <w:szCs w:val="20"/>
          <w:lang w:eastAsia="zh-CN"/>
        </w:rPr>
        <w:t>cyclicPrefix</w:t>
      </w:r>
    </w:p>
    <w:p w14:paraId="601F6B24" w14:textId="77777777" w:rsidR="00DC316C" w:rsidRPr="00B23975" w:rsidRDefault="00DC316C" w:rsidP="00DC316C">
      <w:pPr>
        <w:pStyle w:val="af9"/>
        <w:numPr>
          <w:ilvl w:val="0"/>
          <w:numId w:val="41"/>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srs-PosConfig</w:t>
      </w:r>
    </w:p>
    <w:p w14:paraId="305E39CB" w14:textId="77777777" w:rsidR="00DC316C" w:rsidRPr="00B23975" w:rsidRDefault="00DC316C" w:rsidP="00DC316C">
      <w:pPr>
        <w:pStyle w:val="af9"/>
        <w:numPr>
          <w:ilvl w:val="1"/>
          <w:numId w:val="42"/>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SRS-PosResourceSet</w:t>
      </w:r>
    </w:p>
    <w:p w14:paraId="29DBE1EF" w14:textId="77777777"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srs-PosResourceSetId</w:t>
      </w:r>
    </w:p>
    <w:p w14:paraId="737768B6" w14:textId="77777777"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srs-PosResourceIdList</w:t>
      </w:r>
    </w:p>
    <w:p w14:paraId="46F8F49E" w14:textId="77777777"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resourceType</w:t>
      </w:r>
    </w:p>
    <w:p w14:paraId="57CD3DD2" w14:textId="77777777" w:rsidR="00DC316C" w:rsidRPr="00B23975" w:rsidRDefault="00DC316C" w:rsidP="00DC316C">
      <w:pPr>
        <w:pStyle w:val="af9"/>
        <w:numPr>
          <w:ilvl w:val="1"/>
          <w:numId w:val="42"/>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SRS-PosResource</w:t>
      </w:r>
    </w:p>
    <w:p w14:paraId="77C974C2" w14:textId="77777777"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srs-PosResourceId</w:t>
      </w:r>
    </w:p>
    <w:p w14:paraId="06911DA8" w14:textId="77777777"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transmissionComb</w:t>
      </w:r>
    </w:p>
    <w:p w14:paraId="082B6E28" w14:textId="77777777"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resourceMapping</w:t>
      </w:r>
    </w:p>
    <w:p w14:paraId="052DA9E2" w14:textId="77777777"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freqDomainShift</w:t>
      </w:r>
    </w:p>
    <w:p w14:paraId="43DB032A" w14:textId="77777777"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freqHopping</w:t>
      </w:r>
    </w:p>
    <w:p w14:paraId="441547B6" w14:textId="25FD9A70"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groupOrSequenceHopping</w:t>
      </w:r>
    </w:p>
    <w:p w14:paraId="317B6785" w14:textId="7F6CE8B4" w:rsidR="00812595"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resourceType</w:t>
      </w:r>
    </w:p>
    <w:p w14:paraId="4A7CAD5E" w14:textId="5C7F51DA" w:rsidR="00DC316C" w:rsidRPr="00B23975" w:rsidRDefault="00DC316C" w:rsidP="00DC316C">
      <w:pPr>
        <w:pStyle w:val="af9"/>
        <w:numPr>
          <w:ilvl w:val="2"/>
          <w:numId w:val="43"/>
        </w:numPr>
        <w:snapToGrid w:val="0"/>
        <w:spacing w:beforeLines="50" w:before="120" w:line="288" w:lineRule="auto"/>
        <w:rPr>
          <w:rFonts w:ascii="Arial" w:hAnsi="Arial" w:cs="Arial"/>
          <w:sz w:val="20"/>
          <w:szCs w:val="20"/>
          <w:lang w:eastAsia="zh-CN"/>
        </w:rPr>
      </w:pPr>
      <w:r w:rsidRPr="00B23975">
        <w:rPr>
          <w:rFonts w:ascii="Arial" w:hAnsi="Arial" w:cs="Arial"/>
          <w:sz w:val="20"/>
          <w:szCs w:val="20"/>
          <w:lang w:eastAsia="zh-CN"/>
        </w:rPr>
        <w:t>sequenceID</w:t>
      </w:r>
    </w:p>
    <w:p w14:paraId="176D4F61" w14:textId="6F8113D7" w:rsidR="001E0282" w:rsidRPr="001E0282" w:rsidRDefault="00DC316C" w:rsidP="00DC316C">
      <w:pPr>
        <w:snapToGrid w:val="0"/>
        <w:spacing w:beforeLines="50" w:before="120" w:after="0" w:line="288" w:lineRule="auto"/>
        <w:rPr>
          <w:rFonts w:ascii="Arial" w:hAnsi="Arial" w:cs="Arial"/>
          <w:lang w:eastAsia="zh-CN"/>
        </w:rPr>
      </w:pPr>
      <w:r w:rsidRPr="00DC316C">
        <w:rPr>
          <w:rFonts w:ascii="Arial" w:eastAsia="Batang" w:hAnsi="Arial" w:cs="Arial" w:hint="eastAsia"/>
        </w:rPr>
        <w:t>I</w:t>
      </w:r>
      <w:r w:rsidRPr="00DC316C">
        <w:rPr>
          <w:rFonts w:ascii="Arial" w:eastAsia="Batang" w:hAnsi="Arial" w:cs="Arial"/>
        </w:rPr>
        <w:t>n addition, regarding the parameters of power control, whether p0 and alpha can be area-specific parameters are still under the discussion in RAN1.</w:t>
      </w:r>
    </w:p>
    <w:p w14:paraId="4C3404FA" w14:textId="272B03BD" w:rsidR="00DC316C" w:rsidRPr="00B815D4" w:rsidRDefault="00B815D4" w:rsidP="00DC316C">
      <w:pPr>
        <w:snapToGrid w:val="0"/>
        <w:spacing w:beforeLines="50" w:before="120" w:after="0" w:line="288" w:lineRule="auto"/>
        <w:rPr>
          <w:rFonts w:ascii="Arial" w:hAnsi="Arial" w:cs="Arial"/>
          <w:b/>
          <w:bCs/>
          <w:lang w:eastAsia="zh-CN"/>
        </w:rPr>
      </w:pPr>
      <w:r w:rsidRPr="00B815D4">
        <w:rPr>
          <w:rFonts w:ascii="Arial" w:hAnsi="Arial" w:cs="Arial" w:hint="eastAsia"/>
          <w:b/>
          <w:bCs/>
          <w:lang w:eastAsia="zh-CN"/>
        </w:rPr>
        <w:t>P</w:t>
      </w:r>
      <w:r w:rsidRPr="00B815D4">
        <w:rPr>
          <w:rFonts w:ascii="Arial" w:hAnsi="Arial" w:cs="Arial"/>
          <w:b/>
          <w:bCs/>
          <w:lang w:eastAsia="zh-CN"/>
        </w:rPr>
        <w:t xml:space="preserve">roposal </w:t>
      </w:r>
      <w:r w:rsidR="008C1304">
        <w:rPr>
          <w:rFonts w:ascii="Arial" w:hAnsi="Arial" w:cs="Arial"/>
          <w:b/>
          <w:bCs/>
          <w:lang w:eastAsia="zh-CN"/>
        </w:rPr>
        <w:t>2</w:t>
      </w:r>
      <w:r w:rsidRPr="00B815D4">
        <w:rPr>
          <w:rFonts w:ascii="Arial" w:hAnsi="Arial" w:cs="Arial"/>
          <w:b/>
          <w:bCs/>
          <w:lang w:eastAsia="zh-CN"/>
        </w:rPr>
        <w:t>: RAN1 has agreed the following area-specific parameters for SRS for positioning configurations in a validity area:</w:t>
      </w:r>
    </w:p>
    <w:p w14:paraId="68FDC540" w14:textId="77777777" w:rsidR="00B815D4" w:rsidRPr="00B815D4" w:rsidRDefault="00B815D4" w:rsidP="00B815D4">
      <w:pPr>
        <w:pStyle w:val="af9"/>
        <w:numPr>
          <w:ilvl w:val="0"/>
          <w:numId w:val="41"/>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inactivePosSRS-TimeAlignmentTimer</w:t>
      </w:r>
      <w:r w:rsidRPr="00B815D4">
        <w:rPr>
          <w:rFonts w:ascii="Arial" w:hAnsi="Arial" w:cs="Arial" w:hint="eastAsia"/>
          <w:b/>
          <w:bCs/>
          <w:sz w:val="20"/>
          <w:szCs w:val="20"/>
          <w:lang w:eastAsia="zh-CN"/>
        </w:rPr>
        <w:t xml:space="preserve"> </w:t>
      </w:r>
    </w:p>
    <w:p w14:paraId="6A8511F9" w14:textId="77777777" w:rsidR="00B815D4" w:rsidRPr="00B815D4" w:rsidRDefault="00B815D4" w:rsidP="00B815D4">
      <w:pPr>
        <w:pStyle w:val="af9"/>
        <w:numPr>
          <w:ilvl w:val="0"/>
          <w:numId w:val="41"/>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 xml:space="preserve">inactivePosSRS-RSRP-ChangeThreshold </w:t>
      </w:r>
    </w:p>
    <w:p w14:paraId="0E0F629D" w14:textId="77777777" w:rsidR="00B815D4" w:rsidRPr="00B815D4" w:rsidRDefault="00B815D4" w:rsidP="00B815D4">
      <w:pPr>
        <w:pStyle w:val="af9"/>
        <w:numPr>
          <w:ilvl w:val="0"/>
          <w:numId w:val="41"/>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BWP parameters</w:t>
      </w:r>
    </w:p>
    <w:p w14:paraId="7F46DCC0" w14:textId="77777777" w:rsidR="00B815D4" w:rsidRPr="00B815D4" w:rsidRDefault="00B815D4" w:rsidP="00B815D4">
      <w:pPr>
        <w:pStyle w:val="af9"/>
        <w:numPr>
          <w:ilvl w:val="1"/>
          <w:numId w:val="42"/>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locationAndBandwidth</w:t>
      </w:r>
    </w:p>
    <w:p w14:paraId="5C8FA909" w14:textId="77777777" w:rsidR="00B815D4" w:rsidRPr="00B815D4" w:rsidRDefault="00B815D4" w:rsidP="00B815D4">
      <w:pPr>
        <w:pStyle w:val="af9"/>
        <w:numPr>
          <w:ilvl w:val="1"/>
          <w:numId w:val="42"/>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subcarrierSpacing</w:t>
      </w:r>
    </w:p>
    <w:p w14:paraId="0E549EB5" w14:textId="77777777" w:rsidR="00B815D4" w:rsidRPr="00B815D4" w:rsidRDefault="00B815D4" w:rsidP="00B815D4">
      <w:pPr>
        <w:pStyle w:val="af9"/>
        <w:numPr>
          <w:ilvl w:val="1"/>
          <w:numId w:val="42"/>
        </w:numPr>
        <w:snapToGrid w:val="0"/>
        <w:spacing w:beforeLines="50" w:before="120" w:line="288" w:lineRule="auto"/>
        <w:rPr>
          <w:rFonts w:ascii="Arial" w:hAnsi="Arial" w:cs="Arial"/>
          <w:b/>
          <w:bCs/>
          <w:sz w:val="20"/>
          <w:szCs w:val="20"/>
          <w:lang w:val="en-GB" w:eastAsia="zh-CN"/>
        </w:rPr>
      </w:pPr>
      <w:r w:rsidRPr="00B815D4">
        <w:rPr>
          <w:rFonts w:ascii="Arial" w:hAnsi="Arial" w:cs="Arial"/>
          <w:b/>
          <w:bCs/>
          <w:sz w:val="20"/>
          <w:szCs w:val="20"/>
          <w:lang w:eastAsia="zh-CN"/>
        </w:rPr>
        <w:t>cyclicPrefix</w:t>
      </w:r>
    </w:p>
    <w:p w14:paraId="5F593076" w14:textId="77777777" w:rsidR="00B815D4" w:rsidRPr="00B815D4" w:rsidRDefault="00B815D4" w:rsidP="00B815D4">
      <w:pPr>
        <w:pStyle w:val="af9"/>
        <w:numPr>
          <w:ilvl w:val="0"/>
          <w:numId w:val="41"/>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srs-PosConfig</w:t>
      </w:r>
    </w:p>
    <w:p w14:paraId="7BA50D3C" w14:textId="77777777" w:rsidR="00B815D4" w:rsidRPr="00B815D4" w:rsidRDefault="00B815D4" w:rsidP="00B815D4">
      <w:pPr>
        <w:pStyle w:val="af9"/>
        <w:numPr>
          <w:ilvl w:val="1"/>
          <w:numId w:val="42"/>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SRS-PosResourceSet</w:t>
      </w:r>
    </w:p>
    <w:p w14:paraId="05F9A5FF"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srs-PosResourceSetId</w:t>
      </w:r>
    </w:p>
    <w:p w14:paraId="5561CA07"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srs-PosResourceIdList</w:t>
      </w:r>
    </w:p>
    <w:p w14:paraId="239056B2"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resourceType</w:t>
      </w:r>
    </w:p>
    <w:p w14:paraId="735AB092" w14:textId="77777777" w:rsidR="00B815D4" w:rsidRPr="00B815D4" w:rsidRDefault="00B815D4" w:rsidP="00B815D4">
      <w:pPr>
        <w:pStyle w:val="af9"/>
        <w:numPr>
          <w:ilvl w:val="1"/>
          <w:numId w:val="42"/>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w:t>
      </w:r>
    </w:p>
    <w:p w14:paraId="7934BCEF"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srs-PosResourceId</w:t>
      </w:r>
    </w:p>
    <w:p w14:paraId="77410C3D"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transmissionComb</w:t>
      </w:r>
    </w:p>
    <w:p w14:paraId="157F8443"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lastRenderedPageBreak/>
        <w:t>resourceMapping</w:t>
      </w:r>
    </w:p>
    <w:p w14:paraId="5801BACE"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freqDomainShift</w:t>
      </w:r>
    </w:p>
    <w:p w14:paraId="55686114"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freqHopping</w:t>
      </w:r>
    </w:p>
    <w:p w14:paraId="206119DA"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groupOrSequenceHopping</w:t>
      </w:r>
    </w:p>
    <w:p w14:paraId="48299504"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resourceType</w:t>
      </w:r>
    </w:p>
    <w:p w14:paraId="7E46859A" w14:textId="77777777" w:rsidR="00B815D4" w:rsidRPr="00B815D4" w:rsidRDefault="00B815D4" w:rsidP="00B815D4">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sequenceID</w:t>
      </w:r>
    </w:p>
    <w:p w14:paraId="66DA1D11" w14:textId="77777777" w:rsidR="00B815D4" w:rsidRPr="00B815D4" w:rsidRDefault="00B815D4" w:rsidP="00DC316C">
      <w:pPr>
        <w:snapToGrid w:val="0"/>
        <w:spacing w:beforeLines="50" w:before="120" w:after="0" w:line="288" w:lineRule="auto"/>
        <w:rPr>
          <w:rFonts w:ascii="Arial" w:hAnsi="Arial" w:cs="Arial"/>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D247EC6"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75623">
        <w:rPr>
          <w:rFonts w:ascii="Arial" w:hAnsi="Arial" w:cs="Arial"/>
          <w:lang w:val="fi-FI"/>
        </w:rPr>
        <w:t>the RAN2 LS on LPHAP</w:t>
      </w:r>
      <w:r w:rsidR="00EB1B66">
        <w:rPr>
          <w:rFonts w:ascii="Arial" w:hAnsi="Arial" w:cs="Arial"/>
          <w:lang w:val="fi-FI"/>
        </w:rPr>
        <w:t>, and</w:t>
      </w:r>
      <w:r w:rsidRPr="00B14366">
        <w:rPr>
          <w:rFonts w:ascii="Arial" w:eastAsia="Batang" w:hAnsi="Arial" w:cs="Arial"/>
        </w:rPr>
        <w:t xml:space="preserve"> the following</w:t>
      </w:r>
      <w:r w:rsidR="005326F7">
        <w:rPr>
          <w:rFonts w:ascii="Arial" w:eastAsia="Batang" w:hAnsi="Arial" w:cs="Arial"/>
        </w:rPr>
        <w:t xml:space="preserve"> </w:t>
      </w:r>
      <w:r w:rsidR="0081205F">
        <w:rPr>
          <w:rFonts w:ascii="Arial" w:eastAsia="Batang" w:hAnsi="Arial" w:cs="Arial"/>
        </w:rPr>
        <w:t>proposal</w:t>
      </w:r>
      <w:r w:rsidR="00BF2F7F">
        <w:rPr>
          <w:rFonts w:ascii="Arial" w:eastAsia="Batang" w:hAnsi="Arial" w:cs="Arial"/>
        </w:rPr>
        <w:t>s</w:t>
      </w:r>
      <w:r w:rsidR="001E0282">
        <w:rPr>
          <w:rFonts w:ascii="Arial" w:eastAsia="Batang" w:hAnsi="Arial" w:cs="Arial"/>
        </w:rPr>
        <w:t xml:space="preserve"> </w:t>
      </w:r>
      <w:r w:rsidR="00BF2F7F">
        <w:rPr>
          <w:rFonts w:ascii="Arial" w:eastAsia="Batang" w:hAnsi="Arial" w:cs="Arial"/>
        </w:rPr>
        <w:t>are</w:t>
      </w:r>
      <w:r w:rsidRPr="00B14366">
        <w:rPr>
          <w:rFonts w:ascii="Arial" w:eastAsia="Batang" w:hAnsi="Arial" w:cs="Arial"/>
        </w:rPr>
        <w:t xml:space="preserve"> made:</w:t>
      </w:r>
    </w:p>
    <w:p w14:paraId="6C35BDD9" w14:textId="5FCE1B16" w:rsidR="004D776C" w:rsidRPr="004D776C" w:rsidRDefault="004D776C" w:rsidP="004D776C">
      <w:pPr>
        <w:snapToGrid w:val="0"/>
        <w:spacing w:beforeLines="50" w:before="120" w:line="288" w:lineRule="auto"/>
        <w:rPr>
          <w:rFonts w:ascii="Arial" w:hAnsi="Arial" w:cs="Arial"/>
          <w:b/>
          <w:bCs/>
          <w:lang w:eastAsia="zh-CN"/>
        </w:rPr>
      </w:pPr>
      <w:r w:rsidRPr="00AF2E35">
        <w:rPr>
          <w:rFonts w:ascii="Arial" w:hAnsi="Arial" w:cs="Arial" w:hint="eastAsia"/>
          <w:b/>
          <w:bCs/>
          <w:lang w:eastAsia="zh-CN"/>
        </w:rPr>
        <w:t>P</w:t>
      </w:r>
      <w:r w:rsidRPr="00AF2E35">
        <w:rPr>
          <w:rFonts w:ascii="Arial" w:hAnsi="Arial" w:cs="Arial"/>
          <w:b/>
          <w:bCs/>
          <w:lang w:eastAsia="zh-CN"/>
        </w:rPr>
        <w:t>roposal 1: From RAN1 perspective, the eRedCap agreed eDRX cycle lengths are sufficient for positioning in RRC_INACTIVE.</w:t>
      </w:r>
    </w:p>
    <w:p w14:paraId="09011580" w14:textId="358937FD" w:rsidR="001E0282" w:rsidRPr="00B815D4" w:rsidRDefault="001E0282" w:rsidP="001E0282">
      <w:pPr>
        <w:snapToGrid w:val="0"/>
        <w:spacing w:beforeLines="50" w:before="120" w:after="0" w:line="288" w:lineRule="auto"/>
        <w:rPr>
          <w:rFonts w:ascii="Arial" w:hAnsi="Arial" w:cs="Arial"/>
          <w:b/>
          <w:bCs/>
          <w:lang w:eastAsia="zh-CN"/>
        </w:rPr>
      </w:pPr>
      <w:r w:rsidRPr="00B815D4">
        <w:rPr>
          <w:rFonts w:ascii="Arial" w:hAnsi="Arial" w:cs="Arial" w:hint="eastAsia"/>
          <w:b/>
          <w:bCs/>
          <w:lang w:eastAsia="zh-CN"/>
        </w:rPr>
        <w:t>P</w:t>
      </w:r>
      <w:r w:rsidRPr="00B815D4">
        <w:rPr>
          <w:rFonts w:ascii="Arial" w:hAnsi="Arial" w:cs="Arial"/>
          <w:b/>
          <w:bCs/>
          <w:lang w:eastAsia="zh-CN"/>
        </w:rPr>
        <w:t xml:space="preserve">roposal </w:t>
      </w:r>
      <w:r w:rsidR="00EE15C4">
        <w:rPr>
          <w:rFonts w:ascii="Arial" w:hAnsi="Arial" w:cs="Arial"/>
          <w:b/>
          <w:bCs/>
          <w:lang w:eastAsia="zh-CN"/>
        </w:rPr>
        <w:t>2</w:t>
      </w:r>
      <w:r w:rsidRPr="00B815D4">
        <w:rPr>
          <w:rFonts w:ascii="Arial" w:hAnsi="Arial" w:cs="Arial"/>
          <w:b/>
          <w:bCs/>
          <w:lang w:eastAsia="zh-CN"/>
        </w:rPr>
        <w:t>: RAN1 has agreed the following area-specific parameters for SRS for positioning configurations in a validity area:</w:t>
      </w:r>
    </w:p>
    <w:p w14:paraId="09A28E12" w14:textId="77777777" w:rsidR="001E0282" w:rsidRPr="00B815D4" w:rsidRDefault="001E0282" w:rsidP="001E0282">
      <w:pPr>
        <w:pStyle w:val="af9"/>
        <w:numPr>
          <w:ilvl w:val="0"/>
          <w:numId w:val="41"/>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inactivePosSRS-TimeAlignmentTimer</w:t>
      </w:r>
      <w:r w:rsidRPr="00B815D4">
        <w:rPr>
          <w:rFonts w:ascii="Arial" w:hAnsi="Arial" w:cs="Arial" w:hint="eastAsia"/>
          <w:b/>
          <w:bCs/>
          <w:sz w:val="20"/>
          <w:szCs w:val="20"/>
          <w:lang w:eastAsia="zh-CN"/>
        </w:rPr>
        <w:t xml:space="preserve"> </w:t>
      </w:r>
    </w:p>
    <w:p w14:paraId="3C30EF5A" w14:textId="77777777" w:rsidR="001E0282" w:rsidRPr="00B815D4" w:rsidRDefault="001E0282" w:rsidP="001E0282">
      <w:pPr>
        <w:pStyle w:val="af9"/>
        <w:numPr>
          <w:ilvl w:val="0"/>
          <w:numId w:val="41"/>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 xml:space="preserve">inactivePosSRS-RSRP-ChangeThreshold </w:t>
      </w:r>
    </w:p>
    <w:p w14:paraId="3C5B2CFB" w14:textId="77777777" w:rsidR="001E0282" w:rsidRPr="00B815D4" w:rsidRDefault="001E0282" w:rsidP="001E0282">
      <w:pPr>
        <w:pStyle w:val="af9"/>
        <w:numPr>
          <w:ilvl w:val="0"/>
          <w:numId w:val="41"/>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BWP parameters</w:t>
      </w:r>
    </w:p>
    <w:p w14:paraId="10D9787F" w14:textId="77777777" w:rsidR="001E0282" w:rsidRPr="00B815D4" w:rsidRDefault="001E0282" w:rsidP="001E0282">
      <w:pPr>
        <w:pStyle w:val="af9"/>
        <w:numPr>
          <w:ilvl w:val="1"/>
          <w:numId w:val="42"/>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locationAndBandwidth</w:t>
      </w:r>
    </w:p>
    <w:p w14:paraId="01F0556A" w14:textId="77777777" w:rsidR="001E0282" w:rsidRPr="00B815D4" w:rsidRDefault="001E0282" w:rsidP="001E0282">
      <w:pPr>
        <w:pStyle w:val="af9"/>
        <w:numPr>
          <w:ilvl w:val="1"/>
          <w:numId w:val="42"/>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subcarrierSpacing</w:t>
      </w:r>
    </w:p>
    <w:p w14:paraId="7C097C9A" w14:textId="77777777" w:rsidR="001E0282" w:rsidRPr="00B815D4" w:rsidRDefault="001E0282" w:rsidP="001E0282">
      <w:pPr>
        <w:pStyle w:val="af9"/>
        <w:numPr>
          <w:ilvl w:val="1"/>
          <w:numId w:val="42"/>
        </w:numPr>
        <w:snapToGrid w:val="0"/>
        <w:spacing w:beforeLines="50" w:before="120" w:line="288" w:lineRule="auto"/>
        <w:rPr>
          <w:rFonts w:ascii="Arial" w:hAnsi="Arial" w:cs="Arial"/>
          <w:b/>
          <w:bCs/>
          <w:sz w:val="20"/>
          <w:szCs w:val="20"/>
          <w:lang w:val="en-GB" w:eastAsia="zh-CN"/>
        </w:rPr>
      </w:pPr>
      <w:r w:rsidRPr="00B815D4">
        <w:rPr>
          <w:rFonts w:ascii="Arial" w:hAnsi="Arial" w:cs="Arial"/>
          <w:b/>
          <w:bCs/>
          <w:sz w:val="20"/>
          <w:szCs w:val="20"/>
          <w:lang w:eastAsia="zh-CN"/>
        </w:rPr>
        <w:t>cyclicPrefix</w:t>
      </w:r>
    </w:p>
    <w:p w14:paraId="12FE0986" w14:textId="77777777" w:rsidR="001E0282" w:rsidRPr="00B815D4" w:rsidRDefault="001E0282" w:rsidP="001E0282">
      <w:pPr>
        <w:pStyle w:val="af9"/>
        <w:numPr>
          <w:ilvl w:val="0"/>
          <w:numId w:val="41"/>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srs-PosConfig</w:t>
      </w:r>
    </w:p>
    <w:p w14:paraId="36C02189" w14:textId="77777777" w:rsidR="001E0282" w:rsidRPr="00B815D4" w:rsidRDefault="001E0282" w:rsidP="001E0282">
      <w:pPr>
        <w:pStyle w:val="af9"/>
        <w:numPr>
          <w:ilvl w:val="1"/>
          <w:numId w:val="42"/>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SRS-PosResourceSet</w:t>
      </w:r>
    </w:p>
    <w:p w14:paraId="03D36608"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srs-PosResourceSetId</w:t>
      </w:r>
    </w:p>
    <w:p w14:paraId="5FFDEB8A"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srs-PosResourceIdList</w:t>
      </w:r>
    </w:p>
    <w:p w14:paraId="2B41F489"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resourceType</w:t>
      </w:r>
    </w:p>
    <w:p w14:paraId="1C4EF8B9" w14:textId="77777777" w:rsidR="001E0282" w:rsidRPr="00B815D4" w:rsidRDefault="001E0282" w:rsidP="001E0282">
      <w:pPr>
        <w:pStyle w:val="af9"/>
        <w:numPr>
          <w:ilvl w:val="1"/>
          <w:numId w:val="42"/>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w:t>
      </w:r>
    </w:p>
    <w:p w14:paraId="1CA89997"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srs-PosResourceId</w:t>
      </w:r>
    </w:p>
    <w:p w14:paraId="0B18FB2B"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transmissionComb</w:t>
      </w:r>
    </w:p>
    <w:p w14:paraId="586854C5"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resourceMapping</w:t>
      </w:r>
    </w:p>
    <w:p w14:paraId="3588F397"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freqDomainShift</w:t>
      </w:r>
    </w:p>
    <w:p w14:paraId="61F5C284"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freqHopping</w:t>
      </w:r>
    </w:p>
    <w:p w14:paraId="2C3439EA"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groupOrSequenceHopping</w:t>
      </w:r>
    </w:p>
    <w:p w14:paraId="6A9E986D"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resourceType</w:t>
      </w:r>
    </w:p>
    <w:p w14:paraId="614A864E" w14:textId="77777777" w:rsidR="001E0282" w:rsidRPr="00B815D4" w:rsidRDefault="001E0282" w:rsidP="001E0282">
      <w:pPr>
        <w:pStyle w:val="af9"/>
        <w:numPr>
          <w:ilvl w:val="2"/>
          <w:numId w:val="43"/>
        </w:numPr>
        <w:snapToGrid w:val="0"/>
        <w:spacing w:beforeLines="50" w:before="120" w:line="288" w:lineRule="auto"/>
        <w:rPr>
          <w:rFonts w:ascii="Arial" w:hAnsi="Arial" w:cs="Arial"/>
          <w:b/>
          <w:bCs/>
          <w:sz w:val="20"/>
          <w:szCs w:val="20"/>
          <w:lang w:eastAsia="zh-CN"/>
        </w:rPr>
      </w:pPr>
      <w:r w:rsidRPr="00B815D4">
        <w:rPr>
          <w:rFonts w:ascii="Arial" w:hAnsi="Arial" w:cs="Arial"/>
          <w:b/>
          <w:bCs/>
          <w:sz w:val="20"/>
          <w:szCs w:val="20"/>
          <w:lang w:eastAsia="zh-CN"/>
        </w:rPr>
        <w:t>sequenceID</w:t>
      </w:r>
    </w:p>
    <w:p w14:paraId="7934C443" w14:textId="77777777" w:rsidR="00DD3E79" w:rsidRPr="00E513A1"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1BBC80BC" w:rsidR="006534CD" w:rsidRPr="00240F8E" w:rsidRDefault="00D76884" w:rsidP="00240F8E">
      <w:pPr>
        <w:widowControl w:val="0"/>
        <w:numPr>
          <w:ilvl w:val="0"/>
          <w:numId w:val="2"/>
        </w:numPr>
        <w:overflowPunct/>
        <w:autoSpaceDE/>
        <w:adjustRightInd/>
        <w:spacing w:line="288" w:lineRule="auto"/>
        <w:jc w:val="both"/>
        <w:textAlignment w:val="auto"/>
        <w:rPr>
          <w:rFonts w:ascii="Arial" w:eastAsia="宋体" w:hAnsi="Arial"/>
        </w:rPr>
      </w:pPr>
      <w:bookmarkStart w:id="2" w:name="_Ref101340038"/>
      <w:r>
        <w:rPr>
          <w:rFonts w:ascii="Arial" w:eastAsia="宋体" w:hAnsi="Arial"/>
        </w:rPr>
        <w:t>R</w:t>
      </w:r>
      <w:r w:rsidR="00240F8E">
        <w:rPr>
          <w:rFonts w:ascii="Arial" w:eastAsia="宋体" w:hAnsi="Arial"/>
        </w:rPr>
        <w:t>1-</w:t>
      </w:r>
      <w:r w:rsidR="00DE0415">
        <w:rPr>
          <w:rFonts w:ascii="Arial" w:eastAsia="宋体" w:hAnsi="Arial"/>
        </w:rPr>
        <w:t>2306383</w:t>
      </w:r>
      <w:r>
        <w:rPr>
          <w:rFonts w:ascii="Arial" w:eastAsia="宋体" w:hAnsi="Arial"/>
        </w:rPr>
        <w:t xml:space="preserve">, </w:t>
      </w:r>
      <w:r w:rsidR="00240F8E">
        <w:rPr>
          <w:rFonts w:ascii="Arial" w:eastAsia="宋体" w:hAnsi="Arial"/>
        </w:rPr>
        <w:t xml:space="preserve">LS on </w:t>
      </w:r>
      <w:r w:rsidR="00DE0415">
        <w:rPr>
          <w:rFonts w:ascii="Arial" w:eastAsia="宋体" w:hAnsi="Arial"/>
        </w:rPr>
        <w:t>LPHAP</w:t>
      </w:r>
      <w:r w:rsidR="00240F8E">
        <w:rPr>
          <w:rFonts w:ascii="Arial" w:eastAsia="宋体" w:hAnsi="Arial"/>
        </w:rPr>
        <w:t>, 3GPP RAN1 #11</w:t>
      </w:r>
      <w:r w:rsidR="00DE0415">
        <w:rPr>
          <w:rFonts w:ascii="Arial" w:eastAsia="宋体" w:hAnsi="Arial"/>
        </w:rPr>
        <w:t>4</w:t>
      </w:r>
      <w:r>
        <w:rPr>
          <w:rFonts w:ascii="Arial" w:eastAsia="宋体" w:hAnsi="Arial"/>
        </w:rPr>
        <w:t>.</w:t>
      </w:r>
      <w:bookmarkEnd w:id="2"/>
    </w:p>
    <w:sectPr w:rsidR="006534CD" w:rsidRPr="00240F8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196A" w14:textId="77777777" w:rsidR="00CA366A" w:rsidRDefault="00CA366A">
      <w:r>
        <w:separator/>
      </w:r>
    </w:p>
  </w:endnote>
  <w:endnote w:type="continuationSeparator" w:id="0">
    <w:p w14:paraId="48203E72" w14:textId="77777777" w:rsidR="00CA366A" w:rsidRDefault="00CA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26DCA" w14:textId="77777777" w:rsidR="00CA366A" w:rsidRDefault="00CA366A">
      <w:r>
        <w:separator/>
      </w:r>
    </w:p>
  </w:footnote>
  <w:footnote w:type="continuationSeparator" w:id="0">
    <w:p w14:paraId="3C52F519" w14:textId="77777777" w:rsidR="00CA366A" w:rsidRDefault="00CA3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8225BF"/>
    <w:multiLevelType w:val="hybridMultilevel"/>
    <w:tmpl w:val="6CBCD3A4"/>
    <w:lvl w:ilvl="0" w:tplc="2B885F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6F25C5D"/>
    <w:multiLevelType w:val="hybridMultilevel"/>
    <w:tmpl w:val="C2A237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5791752">
    <w:abstractNumId w:val="22"/>
  </w:num>
  <w:num w:numId="2" w16cid:durableId="940722629">
    <w:abstractNumId w:val="14"/>
  </w:num>
  <w:num w:numId="3" w16cid:durableId="1164278612">
    <w:abstractNumId w:val="4"/>
  </w:num>
  <w:num w:numId="4" w16cid:durableId="780955172">
    <w:abstractNumId w:val="23"/>
  </w:num>
  <w:num w:numId="5" w16cid:durableId="1384912221">
    <w:abstractNumId w:val="24"/>
  </w:num>
  <w:num w:numId="6" w16cid:durableId="1209218107">
    <w:abstractNumId w:val="9"/>
  </w:num>
  <w:num w:numId="7" w16cid:durableId="1681808559">
    <w:abstractNumId w:val="5"/>
  </w:num>
  <w:num w:numId="8" w16cid:durableId="456338304">
    <w:abstractNumId w:val="25"/>
  </w:num>
  <w:num w:numId="9" w16cid:durableId="1357536109">
    <w:abstractNumId w:val="28"/>
  </w:num>
  <w:num w:numId="10" w16cid:durableId="1434520181">
    <w:abstractNumId w:val="2"/>
  </w:num>
  <w:num w:numId="11" w16cid:durableId="2083258839">
    <w:abstractNumId w:val="8"/>
  </w:num>
  <w:num w:numId="12" w16cid:durableId="1125848006">
    <w:abstractNumId w:val="30"/>
  </w:num>
  <w:num w:numId="13" w16cid:durableId="159856186">
    <w:abstractNumId w:val="44"/>
  </w:num>
  <w:num w:numId="14" w16cid:durableId="585378518">
    <w:abstractNumId w:val="31"/>
  </w:num>
  <w:num w:numId="15" w16cid:durableId="958608774">
    <w:abstractNumId w:val="20"/>
  </w:num>
  <w:num w:numId="16" w16cid:durableId="5711519">
    <w:abstractNumId w:val="39"/>
  </w:num>
  <w:num w:numId="17" w16cid:durableId="618529048">
    <w:abstractNumId w:val="13"/>
  </w:num>
  <w:num w:numId="18" w16cid:durableId="205411463">
    <w:abstractNumId w:val="40"/>
  </w:num>
  <w:num w:numId="19" w16cid:durableId="807017017">
    <w:abstractNumId w:val="18"/>
  </w:num>
  <w:num w:numId="20" w16cid:durableId="1602759675">
    <w:abstractNumId w:val="29"/>
  </w:num>
  <w:num w:numId="21" w16cid:durableId="2059158789">
    <w:abstractNumId w:val="33"/>
  </w:num>
  <w:num w:numId="22" w16cid:durableId="457602471">
    <w:abstractNumId w:val="26"/>
  </w:num>
  <w:num w:numId="23" w16cid:durableId="600336746">
    <w:abstractNumId w:val="12"/>
  </w:num>
  <w:num w:numId="24" w16cid:durableId="473106947">
    <w:abstractNumId w:val="3"/>
  </w:num>
  <w:num w:numId="25" w16cid:durableId="158350668">
    <w:abstractNumId w:val="43"/>
  </w:num>
  <w:num w:numId="26" w16cid:durableId="507988616">
    <w:abstractNumId w:val="1"/>
  </w:num>
  <w:num w:numId="27" w16cid:durableId="72355837">
    <w:abstractNumId w:val="11"/>
  </w:num>
  <w:num w:numId="28" w16cid:durableId="449054379">
    <w:abstractNumId w:val="7"/>
  </w:num>
  <w:num w:numId="29" w16cid:durableId="85544299">
    <w:abstractNumId w:val="6"/>
  </w:num>
  <w:num w:numId="30" w16cid:durableId="1020400139">
    <w:abstractNumId w:val="34"/>
  </w:num>
  <w:num w:numId="31" w16cid:durableId="1727144121">
    <w:abstractNumId w:val="21"/>
  </w:num>
  <w:num w:numId="32" w16cid:durableId="813569510">
    <w:abstractNumId w:val="15"/>
  </w:num>
  <w:num w:numId="33" w16cid:durableId="747922973">
    <w:abstractNumId w:val="17"/>
  </w:num>
  <w:num w:numId="34" w16cid:durableId="2039892006">
    <w:abstractNumId w:val="42"/>
  </w:num>
  <w:num w:numId="35" w16cid:durableId="685135364">
    <w:abstractNumId w:val="38"/>
  </w:num>
  <w:num w:numId="36" w16cid:durableId="1184708944">
    <w:abstractNumId w:val="36"/>
  </w:num>
  <w:num w:numId="37" w16cid:durableId="1249120566">
    <w:abstractNumId w:val="27"/>
  </w:num>
  <w:num w:numId="38" w16cid:durableId="1525903177">
    <w:abstractNumId w:val="37"/>
  </w:num>
  <w:num w:numId="39" w16cid:durableId="1385638430">
    <w:abstractNumId w:val="19"/>
  </w:num>
  <w:num w:numId="40" w16cid:durableId="1969781157">
    <w:abstractNumId w:val="35"/>
  </w:num>
  <w:num w:numId="41" w16cid:durableId="1021589059">
    <w:abstractNumId w:val="32"/>
  </w:num>
  <w:num w:numId="42" w16cid:durableId="204149147">
    <w:abstractNumId w:val="16"/>
  </w:num>
  <w:num w:numId="43" w16cid:durableId="1712149376">
    <w:abstractNumId w:val="41"/>
  </w:num>
  <w:num w:numId="44" w16cid:durableId="97225118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98C"/>
    <w:rsid w:val="00011E7D"/>
    <w:rsid w:val="00011F10"/>
    <w:rsid w:val="00011F97"/>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23"/>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736"/>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AB"/>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848"/>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1B4"/>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80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DB5"/>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C7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28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5E4"/>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B3"/>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87"/>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295"/>
    <w:rsid w:val="002373FC"/>
    <w:rsid w:val="0023776F"/>
    <w:rsid w:val="00237C6F"/>
    <w:rsid w:val="00237D22"/>
    <w:rsid w:val="0024012D"/>
    <w:rsid w:val="002405C9"/>
    <w:rsid w:val="00240A3A"/>
    <w:rsid w:val="00240B7D"/>
    <w:rsid w:val="00240E65"/>
    <w:rsid w:val="00240F76"/>
    <w:rsid w:val="00240F8E"/>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3E1"/>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6D0"/>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2EF"/>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A16"/>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5FD7"/>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D61"/>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763"/>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85"/>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AE9"/>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057"/>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AC2"/>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CD1"/>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F5"/>
    <w:rsid w:val="004B0C8C"/>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76C"/>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6F7"/>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22"/>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EC2"/>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101"/>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7F5"/>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4FF0"/>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28F"/>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5C"/>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4E5"/>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0F"/>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5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12D"/>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3E79"/>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595"/>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17F"/>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9E6"/>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C2"/>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04"/>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B4"/>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5E5"/>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623"/>
    <w:rsid w:val="00975672"/>
    <w:rsid w:val="009757B6"/>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77"/>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5D6"/>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465"/>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2E35"/>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2D6"/>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75"/>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5D4"/>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7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09"/>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2F7F"/>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85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9CC"/>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6E"/>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66A"/>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79"/>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075"/>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7C6"/>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53"/>
    <w:rsid w:val="00CF4E61"/>
    <w:rsid w:val="00CF50A9"/>
    <w:rsid w:val="00CF5283"/>
    <w:rsid w:val="00CF52ED"/>
    <w:rsid w:val="00CF5337"/>
    <w:rsid w:val="00CF53CD"/>
    <w:rsid w:val="00CF56A4"/>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16C"/>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415"/>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62B"/>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6D7"/>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3A1"/>
    <w:rsid w:val="00E51548"/>
    <w:rsid w:val="00E515A3"/>
    <w:rsid w:val="00E51812"/>
    <w:rsid w:val="00E51B0C"/>
    <w:rsid w:val="00E51E23"/>
    <w:rsid w:val="00E521C6"/>
    <w:rsid w:val="00E52532"/>
    <w:rsid w:val="00E52547"/>
    <w:rsid w:val="00E52643"/>
    <w:rsid w:val="00E52C2C"/>
    <w:rsid w:val="00E52C64"/>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778"/>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C5C"/>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4"/>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13"/>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Doc-text2">
    <w:name w:val="Doc-text2"/>
    <w:basedOn w:val="a"/>
    <w:link w:val="Doc-text2Char"/>
    <w:qFormat/>
    <w:rsid w:val="00EF58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F581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EED1886-01B2-498A-B92D-3282C2E7DC93}">
  <ds:schemaRefs>
    <ds:schemaRef ds:uri="http://schemas.openxmlformats.org/officeDocument/2006/bibliography"/>
  </ds:schemaRefs>
</ds:datastoreItem>
</file>

<file path=customXml/itemProps4.xml><?xml version="1.0" encoding="utf-8"?>
<ds:datastoreItem xmlns:ds="http://schemas.openxmlformats.org/officeDocument/2006/customXml" ds:itemID="{6352D69C-E459-438E-81FB-402A7AA0B8DB}">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553</Words>
  <Characters>3157</Characters>
  <Application>Microsoft Office Word</Application>
  <DocSecurity>0</DocSecurity>
  <Lines>26</Lines>
  <Paragraphs>7</Paragraphs>
  <ScaleCrop>false</ScaleCrop>
  <Company>CMCC</Company>
  <LinksUpToDate>false</LinksUpToDate>
  <CharactersWithSpaces>3703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4</cp:revision>
  <cp:lastPrinted>2016-05-08T07:33:00Z</cp:lastPrinted>
  <dcterms:created xsi:type="dcterms:W3CDTF">2023-08-11T01:05:00Z</dcterms:created>
  <dcterms:modified xsi:type="dcterms:W3CDTF">2023-08-11T01:06:00Z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