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C9180" w14:textId="78BF0573" w:rsidR="006A4906" w:rsidRPr="00595AD5" w:rsidRDefault="006A4906" w:rsidP="006A4906">
      <w:pPr>
        <w:spacing w:after="0" w:line="240" w:lineRule="auto"/>
        <w:jc w:val="both"/>
        <w:rPr>
          <w:rFonts w:ascii="Arial" w:eastAsia="宋体" w:hAnsi="Arial" w:cs="Arial"/>
          <w:color w:val="000000"/>
          <w:sz w:val="16"/>
          <w:szCs w:val="16"/>
        </w:rPr>
      </w:pPr>
      <w:r>
        <w:rPr>
          <w:rFonts w:ascii="Arial" w:hAnsi="Arial" w:cs="Arial"/>
          <w:b/>
        </w:rPr>
        <w:t>3GPPTSG RAN WG1 #11</w:t>
      </w:r>
      <w:r w:rsidR="005D1BF1">
        <w:rPr>
          <w:rFonts w:ascii="Arial" w:hAnsi="Arial" w:cs="Arial"/>
          <w:b/>
        </w:rPr>
        <w:t>3</w:t>
      </w:r>
      <w:r>
        <w:rPr>
          <w:rFonts w:ascii="Arial" w:hAnsi="Arial" w:cs="Arial"/>
          <w:b/>
        </w:rPr>
        <w:t xml:space="preserve">                                      </w:t>
      </w:r>
      <w:r w:rsidR="00620B4A">
        <w:rPr>
          <w:rFonts w:ascii="Arial" w:hAnsi="Arial" w:cs="Arial"/>
          <w:b/>
        </w:rPr>
        <w:t xml:space="preserve"> </w:t>
      </w:r>
      <w:r w:rsidR="00620B4A" w:rsidRPr="00620B4A">
        <w:rPr>
          <w:rFonts w:ascii="Arial" w:hAnsi="Arial" w:cs="Arial"/>
          <w:b/>
        </w:rPr>
        <w:t>R1-2305012</w:t>
      </w:r>
    </w:p>
    <w:p w14:paraId="1EA69772" w14:textId="77777777" w:rsidR="006A4906" w:rsidRPr="00595AD5" w:rsidRDefault="006A4906" w:rsidP="006A4906">
      <w:pPr>
        <w:tabs>
          <w:tab w:val="right" w:pos="9630"/>
        </w:tabs>
        <w:snapToGrid w:val="0"/>
        <w:spacing w:after="0"/>
        <w:jc w:val="both"/>
        <w:rPr>
          <w:rFonts w:ascii="Arial" w:hAnsi="Arial" w:cs="Arial"/>
        </w:rPr>
      </w:pPr>
    </w:p>
    <w:p w14:paraId="780CAFE0" w14:textId="00D6D3D2" w:rsidR="006A4906" w:rsidRPr="006474D9" w:rsidRDefault="005D1BF1" w:rsidP="006A4906">
      <w:pPr>
        <w:tabs>
          <w:tab w:val="center" w:pos="4536"/>
          <w:tab w:val="right" w:pos="9072"/>
        </w:tabs>
        <w:spacing w:after="0"/>
        <w:rPr>
          <w:rFonts w:ascii="Arial" w:hAnsi="Arial" w:cs="Arial"/>
          <w:b/>
        </w:rPr>
      </w:pPr>
      <w:r>
        <w:rPr>
          <w:rFonts w:ascii="Arial" w:hAnsi="Arial" w:cs="Arial"/>
          <w:b/>
        </w:rPr>
        <w:t>Incheon</w:t>
      </w:r>
      <w:r w:rsidR="006A4906" w:rsidRPr="006474D9">
        <w:rPr>
          <w:rFonts w:ascii="Arial" w:hAnsi="Arial" w:cs="Arial"/>
          <w:b/>
        </w:rPr>
        <w:t xml:space="preserve">, </w:t>
      </w:r>
      <w:r>
        <w:rPr>
          <w:rFonts w:ascii="Arial" w:hAnsi="Arial" w:cs="Arial"/>
          <w:b/>
        </w:rPr>
        <w:t>Korea</w:t>
      </w:r>
      <w:r w:rsidR="006A4906" w:rsidRPr="006474D9">
        <w:rPr>
          <w:rFonts w:ascii="Arial" w:hAnsi="Arial" w:cs="Arial"/>
          <w:b/>
        </w:rPr>
        <w:t xml:space="preserve">, </w:t>
      </w:r>
      <w:r>
        <w:rPr>
          <w:rFonts w:ascii="Arial" w:hAnsi="Arial" w:cs="Arial"/>
          <w:b/>
        </w:rPr>
        <w:t>May</w:t>
      </w:r>
      <w:r w:rsidR="006A4906" w:rsidRPr="006474D9">
        <w:rPr>
          <w:rFonts w:ascii="Arial" w:hAnsi="Arial" w:cs="Arial"/>
          <w:b/>
        </w:rPr>
        <w:t xml:space="preserve"> </w:t>
      </w:r>
      <w:r w:rsidR="006A4906">
        <w:rPr>
          <w:rFonts w:ascii="Arial" w:hAnsi="Arial" w:cs="Arial"/>
          <w:b/>
        </w:rPr>
        <w:t>2</w:t>
      </w:r>
      <w:r>
        <w:rPr>
          <w:rFonts w:ascii="Arial" w:hAnsi="Arial" w:cs="Arial"/>
          <w:b/>
        </w:rPr>
        <w:t>2</w:t>
      </w:r>
      <w:r w:rsidR="006A4906" w:rsidRPr="006474D9">
        <w:rPr>
          <w:rFonts w:ascii="Arial" w:hAnsi="Arial" w:cs="Arial"/>
          <w:b/>
        </w:rPr>
        <w:t xml:space="preserve">th – </w:t>
      </w:r>
      <w:r>
        <w:rPr>
          <w:rFonts w:ascii="Arial" w:hAnsi="Arial" w:cs="Arial"/>
          <w:b/>
        </w:rPr>
        <w:t>May</w:t>
      </w:r>
      <w:r w:rsidR="006A4906">
        <w:rPr>
          <w:rFonts w:ascii="Arial" w:hAnsi="Arial" w:cs="Arial"/>
          <w:b/>
        </w:rPr>
        <w:t xml:space="preserve"> </w:t>
      </w:r>
      <w:r>
        <w:rPr>
          <w:rFonts w:ascii="Arial" w:hAnsi="Arial" w:cs="Arial"/>
          <w:b/>
        </w:rPr>
        <w:t>26th</w:t>
      </w:r>
      <w:r w:rsidR="006A4906" w:rsidRPr="006474D9">
        <w:rPr>
          <w:rFonts w:ascii="Arial" w:hAnsi="Arial" w:cs="Arial"/>
          <w:b/>
        </w:rPr>
        <w:t>, 202</w:t>
      </w:r>
      <w:r w:rsidR="006A4906">
        <w:rPr>
          <w:rFonts w:ascii="Arial" w:hAnsi="Arial" w:cs="Arial"/>
          <w:b/>
        </w:rPr>
        <w:t>3</w:t>
      </w:r>
    </w:p>
    <w:p w14:paraId="19C41ECF" w14:textId="77777777" w:rsidR="006A4906" w:rsidRPr="006474D9" w:rsidRDefault="006A4906" w:rsidP="006A4906">
      <w:pPr>
        <w:tabs>
          <w:tab w:val="center" w:pos="4536"/>
          <w:tab w:val="right" w:pos="8280"/>
          <w:tab w:val="right" w:pos="9639"/>
        </w:tabs>
        <w:snapToGrid w:val="0"/>
        <w:spacing w:after="0" w:line="240" w:lineRule="auto"/>
        <w:ind w:right="2"/>
        <w:jc w:val="both"/>
        <w:rPr>
          <w:rFonts w:ascii="Arial" w:eastAsia="宋体" w:hAnsi="Arial" w:cs="Arial"/>
          <w:b/>
          <w:lang w:val="en-GB"/>
        </w:rPr>
      </w:pPr>
    </w:p>
    <w:p w14:paraId="13DEBD8C" w14:textId="17C0CC97" w:rsidR="006A4906" w:rsidRDefault="006A4906" w:rsidP="006A4906">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Source:        BUPT</w:t>
      </w:r>
    </w:p>
    <w:p w14:paraId="631A6F3C" w14:textId="66F2EDF3" w:rsidR="006A4906" w:rsidRPr="00782A65" w:rsidRDefault="006A4906" w:rsidP="006A4906">
      <w:pPr>
        <w:spacing w:after="0" w:line="240" w:lineRule="auto"/>
        <w:jc w:val="both"/>
        <w:rPr>
          <w:rFonts w:ascii="Arial" w:eastAsia="宋体" w:hAnsi="Arial" w:cs="Arial"/>
          <w:sz w:val="16"/>
          <w:szCs w:val="16"/>
        </w:rPr>
      </w:pPr>
      <w:r>
        <w:rPr>
          <w:rFonts w:ascii="Arial" w:eastAsia="宋体" w:hAnsi="Arial" w:cs="Arial"/>
          <w:b/>
        </w:rPr>
        <w:t xml:space="preserve">Title:          </w:t>
      </w:r>
      <w:r w:rsidR="009C01F0">
        <w:rPr>
          <w:rFonts w:ascii="Arial" w:eastAsia="宋体" w:hAnsi="Arial" w:cs="Arial"/>
          <w:b/>
        </w:rPr>
        <w:t xml:space="preserve"> </w:t>
      </w:r>
      <w:r w:rsidR="00782A65" w:rsidRPr="00782A65">
        <w:rPr>
          <w:rFonts w:ascii="Arial" w:eastAsia="宋体" w:hAnsi="Arial" w:cs="Arial"/>
          <w:b/>
        </w:rPr>
        <w:t>Discussions on Carrier Aggregation for NR Positioning</w:t>
      </w:r>
    </w:p>
    <w:p w14:paraId="082A46AA" w14:textId="77777777" w:rsidR="006A4906" w:rsidRPr="00595AD5" w:rsidRDefault="006A4906" w:rsidP="006A4906">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p>
    <w:p w14:paraId="58E59085" w14:textId="44724E50" w:rsidR="006A4906" w:rsidRDefault="006A4906" w:rsidP="006A4906">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Pr>
          <w:rFonts w:ascii="Arial" w:eastAsia="宋体" w:hAnsi="Arial" w:cs="Arial"/>
          <w:b/>
        </w:rPr>
        <w:t>Agenda item:    9.</w:t>
      </w:r>
      <w:r>
        <w:rPr>
          <w:rFonts w:ascii="Arial" w:eastAsia="宋体" w:hAnsi="Arial" w:cs="Arial" w:hint="eastAsia"/>
          <w:b/>
        </w:rPr>
        <w:t>5</w:t>
      </w:r>
      <w:r>
        <w:rPr>
          <w:rFonts w:ascii="Arial" w:eastAsia="宋体" w:hAnsi="Arial" w:cs="Arial"/>
          <w:b/>
        </w:rPr>
        <w:t>.</w:t>
      </w:r>
      <w:r w:rsidR="00782A65">
        <w:rPr>
          <w:rFonts w:ascii="Arial" w:eastAsia="宋体" w:hAnsi="Arial" w:cs="Arial"/>
          <w:b/>
        </w:rPr>
        <w:t>4</w:t>
      </w:r>
    </w:p>
    <w:p w14:paraId="79E610F6" w14:textId="77777777" w:rsidR="006A4906" w:rsidRDefault="006A4906" w:rsidP="006A4906">
      <w:pPr>
        <w:pBdr>
          <w:bottom w:val="single" w:sz="6" w:space="1" w:color="auto"/>
        </w:pBdr>
        <w:snapToGrid w:val="0"/>
        <w:spacing w:after="0" w:line="240" w:lineRule="auto"/>
        <w:ind w:left="1797" w:hanging="1797"/>
        <w:jc w:val="both"/>
        <w:rPr>
          <w:rFonts w:ascii="Arial" w:eastAsia="宋体" w:hAnsi="Arial" w:cs="Arial"/>
          <w:b/>
        </w:rPr>
      </w:pPr>
      <w:r>
        <w:rPr>
          <w:rFonts w:ascii="Arial" w:hAnsi="Arial" w:cs="Arial"/>
          <w:b/>
        </w:rPr>
        <w:t>Document for:</w:t>
      </w:r>
      <w:r>
        <w:rPr>
          <w:rFonts w:ascii="Arial" w:hAnsi="Arial" w:cs="Arial"/>
          <w:b/>
          <w:lang w:eastAsia="ja-JP"/>
        </w:rPr>
        <w:tab/>
        <w:t>Discussion</w:t>
      </w:r>
    </w:p>
    <w:p w14:paraId="6873B026" w14:textId="5F2DC994" w:rsidR="00413191" w:rsidRPr="001E2BE5" w:rsidRDefault="006A4906" w:rsidP="00413191">
      <w:pPr>
        <w:pStyle w:val="1"/>
        <w:snapToGrid w:val="0"/>
        <w:spacing w:beforeLines="50" w:before="156" w:afterLines="50" w:after="156"/>
        <w:ind w:left="431" w:hanging="431"/>
        <w:jc w:val="both"/>
        <w:rPr>
          <w:sz w:val="28"/>
          <w:lang w:val="en-US"/>
        </w:rPr>
      </w:pPr>
      <w:r>
        <w:rPr>
          <w:sz w:val="28"/>
          <w:lang w:val="en-US"/>
        </w:rPr>
        <w:t>Introduction</w:t>
      </w:r>
    </w:p>
    <w:p w14:paraId="55AE66A0" w14:textId="63178D85" w:rsidR="001E2BE5" w:rsidRPr="00584F16" w:rsidRDefault="001E2BE5" w:rsidP="00413191">
      <w:pPr>
        <w:rPr>
          <w:rFonts w:ascii="Times New Roman" w:hAnsi="Times New Roman"/>
          <w:sz w:val="20"/>
          <w:szCs w:val="20"/>
        </w:rPr>
      </w:pPr>
      <w:r w:rsidRPr="00584F16">
        <w:rPr>
          <w:rFonts w:ascii="Times New Roman" w:hAnsi="Times New Roman"/>
          <w:sz w:val="20"/>
          <w:szCs w:val="20"/>
        </w:rPr>
        <w:t>At the RAN#98-e meeting, the participants reached a consensus on the new Work Item Description (WID) for Rel-18 NR positioning [1]. This work includes the following objectives related to improving accuracy:</w:t>
      </w:r>
    </w:p>
    <w:tbl>
      <w:tblPr>
        <w:tblStyle w:val="a3"/>
        <w:tblW w:w="0" w:type="auto"/>
        <w:tblInd w:w="0" w:type="dxa"/>
        <w:tblLook w:val="04A0" w:firstRow="1" w:lastRow="0" w:firstColumn="1" w:lastColumn="0" w:noHBand="0" w:noVBand="1"/>
      </w:tblPr>
      <w:tblGrid>
        <w:gridCol w:w="8296"/>
      </w:tblGrid>
      <w:tr w:rsidR="00413191" w14:paraId="6313DA2C" w14:textId="77777777" w:rsidTr="006B6511">
        <w:tc>
          <w:tcPr>
            <w:tcW w:w="9286" w:type="dxa"/>
            <w:tcBorders>
              <w:top w:val="single" w:sz="4" w:space="0" w:color="auto"/>
              <w:left w:val="single" w:sz="4" w:space="0" w:color="auto"/>
              <w:bottom w:val="single" w:sz="4" w:space="0" w:color="auto"/>
              <w:right w:val="single" w:sz="4" w:space="0" w:color="auto"/>
            </w:tcBorders>
            <w:hideMark/>
          </w:tcPr>
          <w:p w14:paraId="4B27F3C0" w14:textId="77777777" w:rsidR="00413191" w:rsidRPr="00584F16" w:rsidRDefault="00413191" w:rsidP="00413191">
            <w:pPr>
              <w:numPr>
                <w:ilvl w:val="0"/>
                <w:numId w:val="7"/>
              </w:numPr>
              <w:spacing w:after="0"/>
              <w:ind w:left="360"/>
              <w:rPr>
                <w:rFonts w:ascii="Times New Roman" w:eastAsia="MS Mincho" w:hAnsi="Times New Roman"/>
                <w:sz w:val="20"/>
                <w:lang w:eastAsia="ko-KR"/>
              </w:rPr>
            </w:pPr>
            <w:r w:rsidRPr="00584F16">
              <w:rPr>
                <w:rFonts w:ascii="Times New Roman" w:eastAsia="MS Mincho" w:hAnsi="Times New Roman"/>
                <w:sz w:val="20"/>
                <w:lang w:eastAsia="ko-KR"/>
              </w:rPr>
              <w:t>Specify bandwidth aggregation for positioning measurements across up to three intra-band contiguous carriers [RAN1, RAN2, RAN4].</w:t>
            </w:r>
          </w:p>
          <w:p w14:paraId="56BEFA4B" w14:textId="77777777" w:rsidR="00413191" w:rsidRPr="00584F16" w:rsidRDefault="00413191" w:rsidP="00413191">
            <w:pPr>
              <w:numPr>
                <w:ilvl w:val="1"/>
                <w:numId w:val="7"/>
              </w:numPr>
              <w:spacing w:after="0"/>
              <w:ind w:left="1080"/>
              <w:rPr>
                <w:rFonts w:ascii="Times New Roman" w:eastAsia="MS Gothic" w:hAnsi="Times New Roman"/>
                <w:sz w:val="20"/>
                <w:lang w:eastAsia="ko-KR"/>
              </w:rPr>
            </w:pPr>
            <w:r w:rsidRPr="00584F16">
              <w:rPr>
                <w:rFonts w:ascii="Times New Roman" w:hAnsi="Times New Roman"/>
                <w:sz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794FE83" w14:textId="77777777" w:rsidR="00413191" w:rsidRPr="00584F16" w:rsidRDefault="00413191" w:rsidP="00413191">
            <w:pPr>
              <w:numPr>
                <w:ilvl w:val="2"/>
                <w:numId w:val="7"/>
              </w:numPr>
              <w:spacing w:after="0"/>
              <w:ind w:left="1800"/>
              <w:rPr>
                <w:rFonts w:ascii="Times New Roman" w:hAnsi="Times New Roman"/>
                <w:sz w:val="20"/>
                <w:lang w:eastAsia="ko-KR"/>
              </w:rPr>
            </w:pPr>
            <w:r w:rsidRPr="00584F16">
              <w:rPr>
                <w:rFonts w:ascii="Times New Roman" w:hAnsi="Times New Roman"/>
                <w:sz w:val="20"/>
                <w:lang w:eastAsia="ko-KR"/>
              </w:rPr>
              <w:t>NOTE: The support of bandwidth aggregation for positioning measurements applies only to timing related measurements (e.g., RSTD, RTOA, and UE/gNB Rx-Tx time difference).</w:t>
            </w:r>
          </w:p>
          <w:p w14:paraId="29F4DDAE" w14:textId="77777777" w:rsidR="00413191" w:rsidRPr="00584F16" w:rsidRDefault="00413191" w:rsidP="00413191">
            <w:pPr>
              <w:pStyle w:val="a4"/>
              <w:numPr>
                <w:ilvl w:val="1"/>
                <w:numId w:val="7"/>
              </w:numPr>
              <w:overflowPunct w:val="0"/>
              <w:autoSpaceDE w:val="0"/>
              <w:autoSpaceDN w:val="0"/>
              <w:adjustRightInd w:val="0"/>
              <w:spacing w:after="180"/>
              <w:ind w:leftChars="0" w:left="1080"/>
              <w:contextualSpacing/>
              <w:textAlignment w:val="baseline"/>
              <w:rPr>
                <w:rFonts w:ascii="Times New Roman" w:hAnsi="Times New Roman"/>
                <w:szCs w:val="20"/>
                <w:lang w:val="en-US" w:eastAsia="ko-KR"/>
              </w:rPr>
            </w:pPr>
            <w:r w:rsidRPr="00584F16">
              <w:rPr>
                <w:rFonts w:ascii="Times New Roman" w:hAnsi="Times New Roman"/>
                <w:szCs w:val="20"/>
                <w:lang w:val="en-US" w:eastAsia="ko-KR"/>
              </w:rPr>
              <w:t>Specify RRM requirements with measurement gaps in connected mode, and in inactive mode, including PRS measurement period/reporting [RAN4].</w:t>
            </w:r>
          </w:p>
          <w:p w14:paraId="31E919E1" w14:textId="77777777" w:rsidR="00413191" w:rsidRPr="00584F16" w:rsidRDefault="00413191" w:rsidP="00413191">
            <w:pPr>
              <w:numPr>
                <w:ilvl w:val="0"/>
                <w:numId w:val="8"/>
              </w:numPr>
              <w:spacing w:after="0" w:line="240" w:lineRule="auto"/>
              <w:ind w:left="360"/>
              <w:rPr>
                <w:rFonts w:ascii="Times New Roman" w:eastAsia="MS Mincho" w:hAnsi="Times New Roman"/>
                <w:sz w:val="20"/>
                <w:lang w:eastAsia="ko-KR"/>
              </w:rPr>
            </w:pPr>
            <w:r w:rsidRPr="00584F16">
              <w:rPr>
                <w:rFonts w:ascii="Times New Roman" w:eastAsia="MS Mincho" w:hAnsi="Times New Roman"/>
                <w:sz w:val="20"/>
                <w:lang w:eastAsia="ko-KR"/>
              </w:rPr>
              <w:t>Specify physical layer measurements and signalling to support NR DL and UL carrier phase positioning for UE-based, UE-assisted, and NG-RAN node assisted positioning [RAN1, RAN2, RAN3, RAN4].</w:t>
            </w:r>
          </w:p>
          <w:p w14:paraId="56929305" w14:textId="77777777" w:rsidR="00413191" w:rsidRPr="00584F16" w:rsidRDefault="00413191" w:rsidP="00413191">
            <w:pPr>
              <w:numPr>
                <w:ilvl w:val="1"/>
                <w:numId w:val="8"/>
              </w:numPr>
              <w:spacing w:after="0" w:line="240" w:lineRule="auto"/>
              <w:ind w:left="1080"/>
              <w:rPr>
                <w:rFonts w:ascii="Times New Roman" w:eastAsia="MS Mincho" w:hAnsi="Times New Roman"/>
                <w:sz w:val="20"/>
                <w:lang w:eastAsia="ko-KR"/>
              </w:rPr>
            </w:pPr>
            <w:r w:rsidRPr="00584F16">
              <w:rPr>
                <w:rFonts w:ascii="Times New Roman" w:eastAsia="MS Mincho" w:hAnsi="Times New Roman"/>
                <w:sz w:val="20"/>
                <w:lang w:eastAsia="ko-KR"/>
              </w:rPr>
              <w:t>Existing DL PRS and UL SRS for positioning are used for NR carrier phase measurements.</w:t>
            </w:r>
          </w:p>
          <w:p w14:paraId="501F0F31" w14:textId="77777777" w:rsidR="00413191" w:rsidRPr="00584F16" w:rsidRDefault="00413191" w:rsidP="00413191">
            <w:pPr>
              <w:numPr>
                <w:ilvl w:val="1"/>
                <w:numId w:val="8"/>
              </w:numPr>
              <w:spacing w:after="0" w:line="240" w:lineRule="auto"/>
              <w:ind w:left="1080"/>
              <w:rPr>
                <w:rFonts w:ascii="Times New Roman" w:eastAsia="MS Mincho" w:hAnsi="Times New Roman"/>
                <w:sz w:val="20"/>
                <w:lang w:eastAsia="ko-KR"/>
              </w:rPr>
            </w:pPr>
            <w:r w:rsidRPr="00584F16">
              <w:rPr>
                <w:rFonts w:ascii="Times New Roman" w:eastAsia="MS Mincho" w:hAnsi="Times New Roman"/>
                <w:sz w:val="20"/>
                <w:lang w:eastAsia="ko-KR"/>
              </w:rPr>
              <w:t xml:space="preserve">Specify measurements that are limited to a single carrier/PFL. </w:t>
            </w:r>
          </w:p>
          <w:p w14:paraId="343B540A" w14:textId="6DBFEF41" w:rsidR="00413191" w:rsidRPr="00413191" w:rsidRDefault="00413191" w:rsidP="00413191">
            <w:pPr>
              <w:numPr>
                <w:ilvl w:val="1"/>
                <w:numId w:val="8"/>
              </w:numPr>
              <w:spacing w:after="0"/>
              <w:ind w:left="1080"/>
              <w:rPr>
                <w:rFonts w:eastAsia="MS Gothic"/>
                <w:sz w:val="21"/>
                <w:szCs w:val="16"/>
                <w:lang w:eastAsia="ko-KR"/>
              </w:rPr>
            </w:pPr>
            <w:r w:rsidRPr="00584F16">
              <w:rPr>
                <w:rFonts w:ascii="Times New Roman" w:hAnsi="Times New Roman"/>
                <w:sz w:val="20"/>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3D92F2BB" w14:textId="05B02922" w:rsidR="00F10429" w:rsidRPr="00584F16" w:rsidRDefault="00F10429" w:rsidP="00584F16">
      <w:pPr>
        <w:spacing w:before="240"/>
        <w:rPr>
          <w:rFonts w:ascii="Times New Roman" w:hAnsi="Times New Roman"/>
          <w:sz w:val="20"/>
          <w:szCs w:val="20"/>
        </w:rPr>
      </w:pPr>
      <w:r w:rsidRPr="00584F16">
        <w:rPr>
          <w:rFonts w:ascii="Times New Roman" w:hAnsi="Times New Roman"/>
          <w:sz w:val="20"/>
          <w:szCs w:val="20"/>
        </w:rPr>
        <w:t>In this proposal, we will present our views on carrier aggregation positioning in Rel-18 NR positioning, focusing primarily on the discussion of time error-related aspects in carrier aggregation.</w:t>
      </w:r>
    </w:p>
    <w:p w14:paraId="0AFB218D" w14:textId="610D94AD" w:rsidR="006648C8" w:rsidRDefault="00C53BA9" w:rsidP="006648C8">
      <w:pPr>
        <w:pStyle w:val="1"/>
        <w:snapToGrid w:val="0"/>
        <w:spacing w:beforeLines="50" w:before="156" w:afterLines="50" w:after="156"/>
        <w:ind w:left="431" w:hanging="431"/>
        <w:jc w:val="both"/>
        <w:rPr>
          <w:sz w:val="28"/>
          <w:lang w:val="en-US"/>
        </w:rPr>
      </w:pPr>
      <w:r w:rsidRPr="00C53BA9">
        <w:rPr>
          <w:sz w:val="28"/>
          <w:lang w:val="en-US"/>
        </w:rPr>
        <w:t>Time error in carrier aggregation</w:t>
      </w:r>
    </w:p>
    <w:p w14:paraId="7FBDFD96" w14:textId="26F7A9DF" w:rsidR="00C433E9" w:rsidRDefault="00C433E9" w:rsidP="00BE534D">
      <w:pPr>
        <w:keepNext/>
        <w:keepLines/>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bCs/>
          <w:iCs/>
          <w:sz w:val="28"/>
          <w:szCs w:val="28"/>
        </w:rPr>
      </w:pPr>
      <w:r>
        <w:rPr>
          <w:rFonts w:ascii="Arial" w:eastAsia="宋体" w:hAnsi="Arial" w:cs="Arial"/>
          <w:bCs/>
          <w:iCs/>
          <w:sz w:val="28"/>
          <w:szCs w:val="28"/>
        </w:rPr>
        <w:lastRenderedPageBreak/>
        <w:t>2.1</w:t>
      </w:r>
      <w:r w:rsidR="00790BD9">
        <w:rPr>
          <w:rFonts w:ascii="Arial" w:eastAsia="宋体" w:hAnsi="Arial" w:cs="Arial"/>
          <w:bCs/>
          <w:iCs/>
          <w:sz w:val="28"/>
          <w:szCs w:val="28"/>
        </w:rPr>
        <w:t xml:space="preserve"> S</w:t>
      </w:r>
      <w:r w:rsidR="00790BD9" w:rsidRPr="00790BD9">
        <w:rPr>
          <w:rFonts w:ascii="Arial" w:eastAsia="宋体" w:hAnsi="Arial" w:cs="Arial"/>
          <w:bCs/>
          <w:iCs/>
          <w:sz w:val="28"/>
          <w:szCs w:val="28"/>
        </w:rPr>
        <w:t>lot offset</w:t>
      </w:r>
    </w:p>
    <w:p w14:paraId="4DE0A727" w14:textId="60549F2A" w:rsidR="00666EE0" w:rsidRPr="00584F16" w:rsidRDefault="00B42D1E" w:rsidP="00666EE0">
      <w:pPr>
        <w:rPr>
          <w:rFonts w:ascii="Times New Roman" w:hAnsi="Times New Roman"/>
          <w:sz w:val="20"/>
          <w:szCs w:val="20"/>
        </w:rPr>
      </w:pPr>
      <w:r w:rsidRPr="00584F16">
        <w:rPr>
          <w:rFonts w:ascii="Times New Roman" w:hAnsi="Times New Roman"/>
          <w:sz w:val="20"/>
          <w:szCs w:val="20"/>
        </w:rPr>
        <w:t>In LTE CA and Rel-15 NR CA, when multiple carriers are aggregated, it is necessary to align the system frame and time slots of multiple carriers. This is illustrated in Figure 1 below.</w:t>
      </w:r>
      <w:r w:rsidRPr="00584F16">
        <w:rPr>
          <w:rFonts w:ascii="Times New Roman" w:hAnsi="Times New Roman"/>
          <w:sz w:val="20"/>
          <w:szCs w:val="20"/>
        </w:rPr>
        <w:t xml:space="preserve"> </w:t>
      </w:r>
    </w:p>
    <w:p w14:paraId="2FAEAC72" w14:textId="5881C6C3" w:rsidR="00666EE0" w:rsidRDefault="00666EE0" w:rsidP="00666EE0">
      <w:pPr>
        <w:jc w:val="center"/>
      </w:pPr>
      <w:r>
        <w:rPr>
          <w:rFonts w:hint="eastAsia"/>
          <w:noProof/>
        </w:rPr>
        <w:drawing>
          <wp:inline distT="0" distB="0" distL="0" distR="0" wp14:anchorId="05B3113E" wp14:editId="4257CB4D">
            <wp:extent cx="5274310" cy="1484630"/>
            <wp:effectExtent l="0" t="0" r="2540" b="1270"/>
            <wp:docPr id="168984144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841443" name="图片 1689841443"/>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74310" cy="1484630"/>
                    </a:xfrm>
                    <a:prstGeom prst="rect">
                      <a:avLst/>
                    </a:prstGeom>
                  </pic:spPr>
                </pic:pic>
              </a:graphicData>
            </a:graphic>
          </wp:inline>
        </w:drawing>
      </w:r>
    </w:p>
    <w:p w14:paraId="575B5F55" w14:textId="09F27680" w:rsidR="00035D81" w:rsidRPr="00584F16" w:rsidRDefault="00666EE0" w:rsidP="00035D81">
      <w:pPr>
        <w:jc w:val="center"/>
        <w:rPr>
          <w:rFonts w:ascii="Times New Roman" w:hAnsi="Times New Roman"/>
          <w:sz w:val="20"/>
          <w:szCs w:val="20"/>
        </w:rPr>
      </w:pPr>
      <w:r w:rsidRPr="00584F16">
        <w:rPr>
          <w:rFonts w:ascii="Times New Roman" w:hAnsi="Times New Roman"/>
          <w:sz w:val="20"/>
          <w:szCs w:val="20"/>
        </w:rPr>
        <w:t>a).</w:t>
      </w:r>
      <w:r w:rsidR="00035D81" w:rsidRPr="00584F16">
        <w:rPr>
          <w:rFonts w:ascii="Times New Roman" w:hAnsi="Times New Roman"/>
          <w:sz w:val="20"/>
          <w:szCs w:val="20"/>
        </w:rPr>
        <w:t>The system frame and time slots are aligned for both BW A and B, with a subcarrier spacing of 15 kHz.</w:t>
      </w:r>
    </w:p>
    <w:p w14:paraId="642A4CEF" w14:textId="30B72651" w:rsidR="00666EE0" w:rsidRDefault="00666EE0" w:rsidP="00666EE0">
      <w:pPr>
        <w:jc w:val="center"/>
      </w:pPr>
      <w:r>
        <w:rPr>
          <w:rFonts w:hint="eastAsia"/>
          <w:noProof/>
        </w:rPr>
        <w:drawing>
          <wp:inline distT="0" distB="0" distL="0" distR="0" wp14:anchorId="7D45AC77" wp14:editId="2FA72252">
            <wp:extent cx="5274310" cy="1477010"/>
            <wp:effectExtent l="0" t="0" r="2540" b="8890"/>
            <wp:docPr id="70373773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737731" name="图片 70373773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4310" cy="1477010"/>
                    </a:xfrm>
                    <a:prstGeom prst="rect">
                      <a:avLst/>
                    </a:prstGeom>
                  </pic:spPr>
                </pic:pic>
              </a:graphicData>
            </a:graphic>
          </wp:inline>
        </w:drawing>
      </w:r>
    </w:p>
    <w:p w14:paraId="29D4D3A4" w14:textId="633D8223" w:rsidR="00147EA3" w:rsidRPr="00584F16" w:rsidRDefault="00666EE0" w:rsidP="00147EA3">
      <w:pPr>
        <w:jc w:val="center"/>
        <w:rPr>
          <w:rFonts w:ascii="Times New Roman" w:hAnsi="Times New Roman"/>
          <w:sz w:val="20"/>
          <w:szCs w:val="20"/>
        </w:rPr>
      </w:pPr>
      <w:r w:rsidRPr="00584F16">
        <w:rPr>
          <w:rFonts w:ascii="Times New Roman" w:hAnsi="Times New Roman"/>
          <w:sz w:val="20"/>
          <w:szCs w:val="20"/>
        </w:rPr>
        <w:t>b).</w:t>
      </w:r>
      <w:r w:rsidR="00147EA3" w:rsidRPr="00584F16">
        <w:rPr>
          <w:rFonts w:ascii="Times New Roman" w:hAnsi="Times New Roman"/>
          <w:sz w:val="20"/>
          <w:szCs w:val="20"/>
        </w:rPr>
        <w:t>The system frame and time slots are aligned for both BW A and B, with a subcarrier spacing of 15 kHz and 30 kHz, respectively.</w:t>
      </w:r>
    </w:p>
    <w:p w14:paraId="63DD0F6B" w14:textId="7CC4EE3F" w:rsidR="00666EE0" w:rsidRPr="00584F16" w:rsidRDefault="00816BAF" w:rsidP="00666EE0">
      <w:pPr>
        <w:jc w:val="center"/>
        <w:rPr>
          <w:rFonts w:ascii="Times New Roman" w:hAnsi="Times New Roman"/>
          <w:sz w:val="20"/>
          <w:szCs w:val="20"/>
        </w:rPr>
      </w:pPr>
      <w:r w:rsidRPr="00584F16">
        <w:rPr>
          <w:rFonts w:ascii="Times New Roman" w:hAnsi="Times New Roman"/>
          <w:sz w:val="20"/>
          <w:szCs w:val="20"/>
        </w:rPr>
        <w:t xml:space="preserve">Figure </w:t>
      </w:r>
      <w:r w:rsidR="00666EE0" w:rsidRPr="00584F16">
        <w:rPr>
          <w:rFonts w:ascii="Times New Roman" w:hAnsi="Times New Roman"/>
          <w:sz w:val="20"/>
          <w:szCs w:val="20"/>
        </w:rPr>
        <w:t>1.</w:t>
      </w:r>
      <w:r w:rsidRPr="00584F16">
        <w:rPr>
          <w:rFonts w:ascii="Times New Roman" w:hAnsi="Times New Roman"/>
          <w:sz w:val="20"/>
          <w:szCs w:val="20"/>
        </w:rPr>
        <w:t xml:space="preserve"> </w:t>
      </w:r>
      <w:r w:rsidRPr="00584F16">
        <w:rPr>
          <w:rFonts w:ascii="Times New Roman" w:hAnsi="Times New Roman"/>
          <w:sz w:val="20"/>
          <w:szCs w:val="20"/>
        </w:rPr>
        <w:t>Carrier aggregation with system frame and time slot alignment</w:t>
      </w:r>
    </w:p>
    <w:p w14:paraId="194EAE8F" w14:textId="06DDACB7" w:rsidR="006B521A" w:rsidRPr="00584F16" w:rsidRDefault="00A7405D" w:rsidP="00D363D9">
      <w:pPr>
        <w:rPr>
          <w:rFonts w:ascii="Times New Roman" w:hAnsi="Times New Roman"/>
          <w:sz w:val="20"/>
          <w:szCs w:val="20"/>
        </w:rPr>
      </w:pPr>
      <w:r w:rsidRPr="00584F16">
        <w:rPr>
          <w:rFonts w:ascii="Times New Roman" w:hAnsi="Times New Roman"/>
          <w:sz w:val="20"/>
          <w:szCs w:val="20"/>
        </w:rPr>
        <w:t>During the LTE and Rel-15 phases, carrier aggregation must satisfy the above conditions, which imposes strict requirements on practical network deployment. The implementation conditions for the above synchronization are relatively stringent. If the system frames and time slots of the two carrier components cannot be aligned due to possible timing synchronization issues between base stations or other factors, the goal of carrier aggregation cannot be achieved effectively.</w:t>
      </w:r>
    </w:p>
    <w:p w14:paraId="4D2CA899" w14:textId="50BB02EB" w:rsidR="00A7405D" w:rsidRPr="00584F16" w:rsidRDefault="00A7405D" w:rsidP="00D363D9">
      <w:pPr>
        <w:rPr>
          <w:rFonts w:ascii="Times New Roman" w:hAnsi="Times New Roman"/>
          <w:sz w:val="20"/>
          <w:szCs w:val="20"/>
        </w:rPr>
      </w:pPr>
      <w:r w:rsidRPr="00584F16">
        <w:rPr>
          <w:rFonts w:ascii="Times New Roman" w:hAnsi="Times New Roman"/>
          <w:sz w:val="20"/>
          <w:szCs w:val="20"/>
        </w:rPr>
        <w:t>Therefore, asynchronous carrier aggregation with time slot alignment and partial SFN alignment is supported in Rel-16, as shown in Figure 2.</w:t>
      </w:r>
    </w:p>
    <w:p w14:paraId="0EEBF4A6" w14:textId="04262D05" w:rsidR="00392F3F" w:rsidRDefault="00392F3F" w:rsidP="00D363D9">
      <w:r>
        <w:rPr>
          <w:rFonts w:hint="eastAsia"/>
          <w:noProof/>
        </w:rPr>
        <w:lastRenderedPageBreak/>
        <w:drawing>
          <wp:inline distT="0" distB="0" distL="0" distR="0" wp14:anchorId="4799C45A" wp14:editId="6E5FF7AF">
            <wp:extent cx="5274310" cy="1400175"/>
            <wp:effectExtent l="0" t="0" r="2540" b="9525"/>
            <wp:docPr id="99830615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306150" name="图片 998306150"/>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1400175"/>
                    </a:xfrm>
                    <a:prstGeom prst="rect">
                      <a:avLst/>
                    </a:prstGeom>
                  </pic:spPr>
                </pic:pic>
              </a:graphicData>
            </a:graphic>
          </wp:inline>
        </w:drawing>
      </w:r>
    </w:p>
    <w:p w14:paraId="3E9AF60B" w14:textId="65D1FAD1" w:rsidR="00E2749C" w:rsidRPr="004A4E17" w:rsidRDefault="00392F3F" w:rsidP="00E2749C">
      <w:pPr>
        <w:jc w:val="center"/>
        <w:rPr>
          <w:rFonts w:ascii="Times New Roman" w:hAnsi="Times New Roman"/>
          <w:sz w:val="20"/>
          <w:szCs w:val="20"/>
        </w:rPr>
      </w:pPr>
      <w:r w:rsidRPr="004A4E17">
        <w:rPr>
          <w:rFonts w:ascii="Times New Roman" w:hAnsi="Times New Roman"/>
          <w:sz w:val="20"/>
          <w:szCs w:val="20"/>
        </w:rPr>
        <w:t>a).</w:t>
      </w:r>
      <w:r w:rsidR="00E2749C" w:rsidRPr="004A4E17">
        <w:rPr>
          <w:rFonts w:ascii="Times New Roman" w:hAnsi="Times New Roman"/>
          <w:sz w:val="20"/>
          <w:szCs w:val="20"/>
        </w:rPr>
        <w:t>BW A and B with time slot alignment and partial system frame alignment, with a subcarrier spacing of 15 kHz.</w:t>
      </w:r>
    </w:p>
    <w:p w14:paraId="17833281" w14:textId="77720532" w:rsidR="00392F3F" w:rsidRDefault="00392F3F" w:rsidP="00392F3F">
      <w:pPr>
        <w:jc w:val="center"/>
      </w:pPr>
      <w:r>
        <w:rPr>
          <w:rFonts w:hint="eastAsia"/>
          <w:noProof/>
        </w:rPr>
        <w:drawing>
          <wp:inline distT="0" distB="0" distL="0" distR="0" wp14:anchorId="6C3E4493" wp14:editId="32FB8166">
            <wp:extent cx="5274310" cy="1527810"/>
            <wp:effectExtent l="0" t="0" r="2540" b="0"/>
            <wp:docPr id="50513311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133117" name="图片 50513311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4310" cy="1527810"/>
                    </a:xfrm>
                    <a:prstGeom prst="rect">
                      <a:avLst/>
                    </a:prstGeom>
                  </pic:spPr>
                </pic:pic>
              </a:graphicData>
            </a:graphic>
          </wp:inline>
        </w:drawing>
      </w:r>
    </w:p>
    <w:p w14:paraId="15962C76" w14:textId="16B5C6E1" w:rsidR="00392F3F" w:rsidRPr="004A4E17" w:rsidRDefault="00392F3F" w:rsidP="00392F3F">
      <w:pPr>
        <w:jc w:val="center"/>
        <w:rPr>
          <w:rFonts w:ascii="Times New Roman" w:hAnsi="Times New Roman"/>
          <w:sz w:val="20"/>
          <w:szCs w:val="20"/>
        </w:rPr>
      </w:pPr>
      <w:r w:rsidRPr="004A4E17">
        <w:rPr>
          <w:rFonts w:ascii="Times New Roman" w:hAnsi="Times New Roman"/>
          <w:sz w:val="20"/>
          <w:szCs w:val="20"/>
        </w:rPr>
        <w:t>b)</w:t>
      </w:r>
      <w:r w:rsidRPr="004A4E17">
        <w:rPr>
          <w:rFonts w:ascii="Times New Roman" w:hAnsi="Times New Roman" w:hint="eastAsia"/>
          <w:sz w:val="20"/>
          <w:szCs w:val="20"/>
        </w:rPr>
        <w:t>.</w:t>
      </w:r>
      <w:r w:rsidR="00E2749C" w:rsidRPr="004A4E17">
        <w:rPr>
          <w:rFonts w:ascii="Times New Roman" w:hAnsi="Times New Roman"/>
          <w:sz w:val="20"/>
          <w:szCs w:val="20"/>
        </w:rPr>
        <w:t xml:space="preserve"> </w:t>
      </w:r>
      <w:r w:rsidR="00E2749C" w:rsidRPr="004A4E17">
        <w:rPr>
          <w:rFonts w:ascii="Times New Roman" w:hAnsi="Times New Roman"/>
          <w:sz w:val="20"/>
          <w:szCs w:val="20"/>
        </w:rPr>
        <w:t>BW A and B with time slot alignment and partial system frame alignment, with a subcarrier spacing of 15 kHz and 30 kHz, respectively.</w:t>
      </w:r>
    </w:p>
    <w:p w14:paraId="5DB68DDB" w14:textId="22DD7892" w:rsidR="00392F3F" w:rsidRPr="004A4E17" w:rsidRDefault="00D777E9" w:rsidP="00392F3F">
      <w:pPr>
        <w:jc w:val="center"/>
        <w:rPr>
          <w:rFonts w:ascii="Times New Roman" w:hAnsi="Times New Roman"/>
          <w:sz w:val="20"/>
          <w:szCs w:val="20"/>
        </w:rPr>
      </w:pPr>
      <w:r w:rsidRPr="004A4E17">
        <w:rPr>
          <w:rFonts w:ascii="Times New Roman" w:hAnsi="Times New Roman" w:hint="eastAsia"/>
          <w:sz w:val="20"/>
          <w:szCs w:val="20"/>
        </w:rPr>
        <w:t>Figure</w:t>
      </w:r>
      <w:r w:rsidRPr="004A4E17">
        <w:rPr>
          <w:rFonts w:ascii="Times New Roman" w:hAnsi="Times New Roman"/>
          <w:sz w:val="20"/>
          <w:szCs w:val="20"/>
        </w:rPr>
        <w:t xml:space="preserve"> </w:t>
      </w:r>
      <w:r w:rsidR="00392F3F" w:rsidRPr="004A4E17">
        <w:rPr>
          <w:rFonts w:ascii="Times New Roman" w:hAnsi="Times New Roman" w:hint="eastAsia"/>
          <w:sz w:val="20"/>
          <w:szCs w:val="20"/>
        </w:rPr>
        <w:t>2</w:t>
      </w:r>
      <w:r w:rsidR="00392F3F" w:rsidRPr="004A4E17">
        <w:rPr>
          <w:rFonts w:ascii="Times New Roman" w:hAnsi="Times New Roman"/>
          <w:sz w:val="20"/>
          <w:szCs w:val="20"/>
        </w:rPr>
        <w:t>.</w:t>
      </w:r>
      <w:r w:rsidRPr="004A4E17">
        <w:rPr>
          <w:rFonts w:ascii="Times New Roman" w:hAnsi="Times New Roman"/>
          <w:sz w:val="20"/>
          <w:szCs w:val="20"/>
        </w:rPr>
        <w:t xml:space="preserve"> </w:t>
      </w:r>
      <w:r w:rsidRPr="004A4E17">
        <w:rPr>
          <w:rFonts w:ascii="Times New Roman" w:hAnsi="Times New Roman"/>
          <w:sz w:val="20"/>
          <w:szCs w:val="20"/>
        </w:rPr>
        <w:t>Carrier aggregation with time slot alignment and partial system frame alignment</w:t>
      </w:r>
    </w:p>
    <w:p w14:paraId="63CEE55B" w14:textId="305FA47A" w:rsidR="00EA3556" w:rsidRPr="004A4E17" w:rsidRDefault="00F71004" w:rsidP="004A4E17">
      <w:pPr>
        <w:rPr>
          <w:rFonts w:ascii="Times New Roman" w:hAnsi="Times New Roman" w:hint="eastAsia"/>
          <w:sz w:val="20"/>
          <w:szCs w:val="20"/>
        </w:rPr>
      </w:pPr>
      <w:r w:rsidRPr="004A4E17">
        <w:rPr>
          <w:rFonts w:ascii="Times New Roman" w:hAnsi="Times New Roman"/>
          <w:sz w:val="20"/>
          <w:szCs w:val="20"/>
        </w:rPr>
        <w:t>Rel-16 introduces asynchronous carrier aggregation with support for multiple subcarrier spacings, such as when the subcarrier spacing of the primary cell and the secondary cell are different. Different subcarrier spacings can result in different granularities for the time slot offset. When determining the granularity of the time slot offset between the primary and secondary cells, the smallest subcarrier spacing is selected for both the primary and secondary carriers. The maximum value of the smallest subcarrier spacings of the primary and secondary cells is then used as the subcarrier spacing corresponding to the time slot offset. This support method relaxes the conditions for carrier aggregation, no longer imposing overly stringent requirements on network deployment and timing.</w:t>
      </w:r>
    </w:p>
    <w:p w14:paraId="060149C2" w14:textId="2B919AFC" w:rsidR="00EA3556" w:rsidRPr="004A4E17" w:rsidRDefault="00624CF1" w:rsidP="004A4E17">
      <w:pPr>
        <w:rPr>
          <w:rFonts w:ascii="Times New Roman" w:hAnsi="Times New Roman"/>
          <w:b/>
          <w:bCs/>
          <w:i/>
          <w:iCs/>
          <w:sz w:val="20"/>
          <w:szCs w:val="20"/>
        </w:rPr>
      </w:pPr>
      <w:r w:rsidRPr="004A4E17">
        <w:rPr>
          <w:rFonts w:ascii="Times New Roman" w:hAnsi="Times New Roman"/>
          <w:b/>
          <w:bCs/>
          <w:i/>
          <w:iCs/>
          <w:sz w:val="20"/>
          <w:szCs w:val="20"/>
        </w:rPr>
        <w:t>Observation 1: Relaxing the requirements for network deployment and timing has expanded the conditions for carrier aggregation, but there may be some trade-offs or losses as a result of relaxing these conditions.</w:t>
      </w:r>
    </w:p>
    <w:p w14:paraId="0325C1B2" w14:textId="01232182" w:rsidR="00AD0369" w:rsidRPr="004A4E17" w:rsidRDefault="00624CF1" w:rsidP="00194C01">
      <w:pPr>
        <w:rPr>
          <w:rFonts w:ascii="Times New Roman" w:hAnsi="Times New Roman"/>
          <w:b/>
          <w:bCs/>
          <w:i/>
          <w:iCs/>
          <w:sz w:val="20"/>
          <w:szCs w:val="20"/>
        </w:rPr>
      </w:pPr>
      <w:r w:rsidRPr="004A4E17">
        <w:rPr>
          <w:rFonts w:ascii="Times New Roman" w:hAnsi="Times New Roman"/>
          <w:b/>
          <w:bCs/>
          <w:i/>
          <w:iCs/>
          <w:sz w:val="20"/>
          <w:szCs w:val="20"/>
        </w:rPr>
        <w:t>P</w:t>
      </w:r>
      <w:r w:rsidRPr="004A4E17">
        <w:rPr>
          <w:rFonts w:ascii="Times New Roman" w:hAnsi="Times New Roman" w:hint="eastAsia"/>
          <w:b/>
          <w:bCs/>
          <w:i/>
          <w:iCs/>
          <w:sz w:val="20"/>
          <w:szCs w:val="20"/>
        </w:rPr>
        <w:t>roposal</w:t>
      </w:r>
      <w:r w:rsidRPr="004A4E17">
        <w:rPr>
          <w:rFonts w:ascii="Times New Roman" w:hAnsi="Times New Roman"/>
          <w:b/>
          <w:bCs/>
          <w:i/>
          <w:iCs/>
          <w:sz w:val="20"/>
          <w:szCs w:val="20"/>
        </w:rPr>
        <w:t xml:space="preserve"> 1: The difference in positioning performance between carrier aggregation with system frame and slot alignment and carrier aggregation with partial system frame and slot alignment should be evaluated.</w:t>
      </w:r>
    </w:p>
    <w:p w14:paraId="7E8C365B" w14:textId="65F85B91" w:rsidR="00624CF1" w:rsidRPr="004A4E17" w:rsidRDefault="00624CF1" w:rsidP="00194C01">
      <w:pPr>
        <w:rPr>
          <w:rFonts w:ascii="Times New Roman" w:hAnsi="Times New Roman" w:hint="eastAsia"/>
          <w:b/>
          <w:bCs/>
          <w:i/>
          <w:iCs/>
          <w:sz w:val="20"/>
          <w:szCs w:val="20"/>
        </w:rPr>
      </w:pPr>
      <w:r w:rsidRPr="004A4E17">
        <w:rPr>
          <w:rFonts w:ascii="Times New Roman" w:hAnsi="Times New Roman"/>
          <w:b/>
          <w:bCs/>
          <w:i/>
          <w:iCs/>
          <w:sz w:val="20"/>
          <w:szCs w:val="20"/>
        </w:rPr>
        <w:lastRenderedPageBreak/>
        <w:t>P</w:t>
      </w:r>
      <w:r w:rsidRPr="004A4E17">
        <w:rPr>
          <w:rFonts w:ascii="Times New Roman" w:hAnsi="Times New Roman" w:hint="eastAsia"/>
          <w:b/>
          <w:bCs/>
          <w:i/>
          <w:iCs/>
          <w:sz w:val="20"/>
          <w:szCs w:val="20"/>
        </w:rPr>
        <w:t>roposal</w:t>
      </w:r>
      <w:r w:rsidRPr="004A4E17">
        <w:rPr>
          <w:rFonts w:ascii="Times New Roman" w:hAnsi="Times New Roman"/>
          <w:b/>
          <w:bCs/>
          <w:i/>
          <w:iCs/>
          <w:sz w:val="20"/>
          <w:szCs w:val="20"/>
        </w:rPr>
        <w:t xml:space="preserve"> 2: The reporting of the time slot offset should be supported for use in the calculation of carrier aggregation positioning.</w:t>
      </w:r>
    </w:p>
    <w:p w14:paraId="7CD62A78" w14:textId="4AFCC940" w:rsidR="00DC36E6" w:rsidRPr="005E4DFE" w:rsidRDefault="002F0CC4" w:rsidP="005E4DFE">
      <w:pPr>
        <w:keepNext/>
        <w:keepLines/>
        <w:tabs>
          <w:tab w:val="num" w:pos="576"/>
        </w:tabs>
        <w:overflowPunct w:val="0"/>
        <w:autoSpaceDE w:val="0"/>
        <w:autoSpaceDN w:val="0"/>
        <w:adjustRightInd w:val="0"/>
        <w:spacing w:before="120"/>
        <w:ind w:left="576" w:hanging="576"/>
        <w:jc w:val="both"/>
        <w:textAlignment w:val="baseline"/>
        <w:outlineLvl w:val="1"/>
        <w:rPr>
          <w:rFonts w:ascii="Arial" w:eastAsia="宋体" w:hAnsi="Arial" w:cs="Arial" w:hint="eastAsia"/>
          <w:bCs/>
          <w:iCs/>
          <w:sz w:val="28"/>
          <w:szCs w:val="28"/>
        </w:rPr>
      </w:pPr>
      <w:bookmarkStart w:id="0" w:name="_Hlk127448533"/>
      <w:r>
        <w:rPr>
          <w:rFonts w:ascii="Arial" w:eastAsia="宋体" w:hAnsi="Arial" w:cs="Arial"/>
          <w:bCs/>
          <w:iCs/>
          <w:sz w:val="28"/>
          <w:szCs w:val="28"/>
        </w:rPr>
        <w:t xml:space="preserve">2.2 </w:t>
      </w:r>
      <w:r w:rsidR="005E4DFE" w:rsidRPr="005E4DFE">
        <w:rPr>
          <w:rFonts w:ascii="Arial" w:eastAsia="宋体" w:hAnsi="Arial" w:cs="Arial"/>
          <w:bCs/>
          <w:iCs/>
          <w:sz w:val="28"/>
          <w:szCs w:val="28"/>
        </w:rPr>
        <w:t>TEG problem in carrier aggregation</w:t>
      </w:r>
      <w:bookmarkEnd w:id="0"/>
    </w:p>
    <w:p w14:paraId="1C611B64" w14:textId="0E291EE1" w:rsidR="005252C4" w:rsidRPr="004A4E17" w:rsidRDefault="005E4DFE" w:rsidP="000F6733">
      <w:pPr>
        <w:rPr>
          <w:rFonts w:ascii="Times New Roman" w:hAnsi="Times New Roman"/>
          <w:sz w:val="20"/>
          <w:szCs w:val="20"/>
        </w:rPr>
      </w:pPr>
      <w:r w:rsidRPr="004A4E17">
        <w:rPr>
          <w:rFonts w:ascii="Times New Roman" w:hAnsi="Times New Roman"/>
          <w:sz w:val="20"/>
          <w:szCs w:val="20"/>
        </w:rPr>
        <w:t>In NR positioning, to conduct further measurements, RAN1 introduced the concept of Transmit and/or Receive Timing Error Groups (TEGs). These errors originate from the delay between signal generation and actual transmission to the antenna and can be influenced by various factors such as physical signal path length and carrier frequency. By using TEG information, the location measurement function (LMF) can perform more accurate measurements, such as combining RSTD measurements associated with the same RX TEG. However, it should be noted that TX/RX TEGs are defined and reported at the PFL level, and even if two different Tx-TEGs have the same Tx-TEG ID, they may not be the same. This is because timing errors are influenced by frequency, and different PFLs correspond to different CCs. Therefore, when aggregating bandwidth PRS resources, different Tx TEGs should be used to transmit them.</w:t>
      </w:r>
    </w:p>
    <w:p w14:paraId="026D6AB4" w14:textId="3B9FA2C9" w:rsidR="00B25856" w:rsidRPr="004A4E17" w:rsidRDefault="006765BE" w:rsidP="000F6733">
      <w:pPr>
        <w:rPr>
          <w:rFonts w:ascii="Times New Roman" w:hAnsi="Times New Roman"/>
          <w:b/>
          <w:bCs/>
          <w:i/>
          <w:iCs/>
          <w:sz w:val="20"/>
          <w:szCs w:val="20"/>
        </w:rPr>
      </w:pPr>
      <w:r w:rsidRPr="004A4E17">
        <w:rPr>
          <w:rFonts w:ascii="Times New Roman" w:hAnsi="Times New Roman" w:hint="eastAsia"/>
          <w:b/>
          <w:bCs/>
          <w:i/>
          <w:iCs/>
          <w:sz w:val="20"/>
          <w:szCs w:val="20"/>
        </w:rPr>
        <w:t>Proposal</w:t>
      </w:r>
      <w:r w:rsidRPr="004A4E17">
        <w:rPr>
          <w:rFonts w:ascii="Times New Roman" w:hAnsi="Times New Roman"/>
          <w:b/>
          <w:bCs/>
          <w:i/>
          <w:iCs/>
          <w:sz w:val="20"/>
          <w:szCs w:val="20"/>
        </w:rPr>
        <w:t xml:space="preserve"> 3</w:t>
      </w:r>
      <w:r w:rsidRPr="004A4E17">
        <w:rPr>
          <w:rFonts w:ascii="Times New Roman" w:hAnsi="Times New Roman" w:hint="eastAsia"/>
          <w:b/>
          <w:bCs/>
          <w:i/>
          <w:iCs/>
          <w:sz w:val="20"/>
          <w:szCs w:val="20"/>
        </w:rPr>
        <w:t>：</w:t>
      </w:r>
      <w:r w:rsidRPr="004A4E17">
        <w:rPr>
          <w:rFonts w:ascii="Times New Roman" w:hAnsi="Times New Roman"/>
          <w:b/>
          <w:bCs/>
          <w:i/>
          <w:iCs/>
          <w:sz w:val="20"/>
          <w:szCs w:val="20"/>
        </w:rPr>
        <w:t>RAN1 should consider introducing the TEG concept on the PFL to mitigate the Tx timing error of PRS resources sent from different PFLs.</w:t>
      </w:r>
    </w:p>
    <w:p w14:paraId="1DF3672A" w14:textId="5396250D" w:rsidR="001C7DE7" w:rsidRPr="004A4E17" w:rsidRDefault="006B0ED5" w:rsidP="001C7DE7">
      <w:pPr>
        <w:rPr>
          <w:rFonts w:ascii="Times New Roman" w:hAnsi="Times New Roman"/>
          <w:b/>
          <w:bCs/>
          <w:i/>
          <w:iCs/>
          <w:sz w:val="20"/>
          <w:szCs w:val="20"/>
        </w:rPr>
      </w:pPr>
      <w:r w:rsidRPr="004A4E17">
        <w:rPr>
          <w:rFonts w:ascii="Times New Roman" w:hAnsi="Times New Roman"/>
          <w:b/>
          <w:bCs/>
          <w:i/>
          <w:iCs/>
          <w:sz w:val="20"/>
          <w:szCs w:val="20"/>
        </w:rPr>
        <w:t>P</w:t>
      </w:r>
      <w:r w:rsidRPr="004A4E17">
        <w:rPr>
          <w:rFonts w:ascii="Times New Roman" w:hAnsi="Times New Roman" w:hint="eastAsia"/>
          <w:b/>
          <w:bCs/>
          <w:i/>
          <w:iCs/>
          <w:sz w:val="20"/>
          <w:szCs w:val="20"/>
        </w:rPr>
        <w:t>roposal</w:t>
      </w:r>
      <w:r w:rsidRPr="004A4E17">
        <w:rPr>
          <w:rFonts w:ascii="Times New Roman" w:hAnsi="Times New Roman"/>
          <w:b/>
          <w:bCs/>
          <w:i/>
          <w:iCs/>
          <w:sz w:val="20"/>
          <w:szCs w:val="20"/>
        </w:rPr>
        <w:t xml:space="preserve"> 4: The PFL aggregation index should be supported in the measurement report, and the decision on which PFLs to aggregate should be based on different Tx-TEG information and index information.</w:t>
      </w:r>
    </w:p>
    <w:p w14:paraId="7FA6ED74" w14:textId="0CEA7A6F" w:rsidR="00613BCF" w:rsidRPr="004A4E17" w:rsidRDefault="00613BCF" w:rsidP="001C7DE7">
      <w:pPr>
        <w:rPr>
          <w:rFonts w:ascii="Times New Roman" w:hAnsi="Times New Roman"/>
          <w:sz w:val="20"/>
          <w:szCs w:val="20"/>
        </w:rPr>
      </w:pPr>
      <w:r w:rsidRPr="004A4E17">
        <w:rPr>
          <w:rFonts w:ascii="Times New Roman" w:hAnsi="Times New Roman"/>
          <w:sz w:val="20"/>
          <w:szCs w:val="20"/>
        </w:rPr>
        <w:t>In RAN1#112, the following agreements [2] have been reached.</w:t>
      </w:r>
    </w:p>
    <w:tbl>
      <w:tblPr>
        <w:tblStyle w:val="a3"/>
        <w:tblW w:w="0" w:type="auto"/>
        <w:tblInd w:w="0" w:type="dxa"/>
        <w:tblLook w:val="04A0" w:firstRow="1" w:lastRow="0" w:firstColumn="1" w:lastColumn="0" w:noHBand="0" w:noVBand="1"/>
      </w:tblPr>
      <w:tblGrid>
        <w:gridCol w:w="8296"/>
      </w:tblGrid>
      <w:tr w:rsidR="001C7DE7" w14:paraId="2D5F2116" w14:textId="77777777" w:rsidTr="00DF5CDF">
        <w:tc>
          <w:tcPr>
            <w:tcW w:w="8296" w:type="dxa"/>
            <w:tcBorders>
              <w:top w:val="single" w:sz="4" w:space="0" w:color="auto"/>
              <w:left w:val="single" w:sz="4" w:space="0" w:color="auto"/>
              <w:bottom w:val="single" w:sz="4" w:space="0" w:color="auto"/>
              <w:right w:val="single" w:sz="4" w:space="0" w:color="auto"/>
            </w:tcBorders>
            <w:hideMark/>
          </w:tcPr>
          <w:p w14:paraId="1DC97B58" w14:textId="77777777" w:rsidR="001C7DE7" w:rsidRPr="004A4E17" w:rsidRDefault="001C7DE7">
            <w:pPr>
              <w:spacing w:after="0"/>
              <w:rPr>
                <w:rFonts w:ascii="Times New Roman" w:eastAsia="Times New Roman" w:hAnsi="Times New Roman"/>
                <w:b/>
                <w:bCs/>
                <w:i/>
                <w:iCs/>
                <w:sz w:val="20"/>
              </w:rPr>
            </w:pPr>
            <w:r w:rsidRPr="004A4E17">
              <w:rPr>
                <w:rFonts w:ascii="Times New Roman" w:eastAsia="Times New Roman" w:hAnsi="Times New Roman"/>
                <w:b/>
                <w:bCs/>
                <w:i/>
                <w:iCs/>
                <w:sz w:val="20"/>
                <w:highlight w:val="green"/>
              </w:rPr>
              <w:t>Agreement</w:t>
            </w:r>
          </w:p>
          <w:p w14:paraId="558DA493" w14:textId="77777777" w:rsidR="001C7DE7" w:rsidRPr="004A4E17" w:rsidRDefault="001C7DE7">
            <w:pPr>
              <w:spacing w:after="0"/>
              <w:rPr>
                <w:rFonts w:ascii="Times New Roman" w:eastAsia="Times New Roman" w:hAnsi="Times New Roman"/>
                <w:bCs/>
                <w:sz w:val="20"/>
              </w:rPr>
            </w:pPr>
            <w:r w:rsidRPr="004A4E17">
              <w:rPr>
                <w:rFonts w:ascii="Times New Roman" w:eastAsia="Times New Roman" w:hAnsi="Times New Roman"/>
                <w:bCs/>
                <w:sz w:val="20"/>
              </w:rPr>
              <w:t xml:space="preserve">To enable PRS bandwidth aggregation between PRS in two or three different PFLs, the following conditions should be satisfied for the aggregated PRS resources from a TRP across the aggregated PFLs:  </w:t>
            </w:r>
          </w:p>
          <w:p w14:paraId="35EF91CA" w14:textId="77777777" w:rsidR="001C7DE7" w:rsidRPr="004A4E17" w:rsidRDefault="001C7DE7" w:rsidP="001C7DE7">
            <w:pPr>
              <w:widowControl w:val="0"/>
              <w:numPr>
                <w:ilvl w:val="0"/>
                <w:numId w:val="10"/>
              </w:numPr>
              <w:autoSpaceDN w:val="0"/>
              <w:spacing w:after="0" w:line="240" w:lineRule="auto"/>
              <w:ind w:hanging="363"/>
              <w:contextualSpacing/>
              <w:rPr>
                <w:rFonts w:ascii="Times New Roman" w:eastAsia="宋体" w:hAnsi="Times New Roman"/>
                <w:i/>
                <w:iCs/>
                <w:sz w:val="20"/>
              </w:rPr>
            </w:pPr>
            <w:r w:rsidRPr="004A4E17">
              <w:rPr>
                <w:rFonts w:ascii="Times New Roman" w:eastAsia="宋体" w:hAnsi="Times New Roman"/>
                <w:i/>
                <w:iCs/>
                <w:sz w:val="20"/>
              </w:rPr>
              <w:t xml:space="preserve">In the same slot, in same symbols, by the same TRP associated with the same ARP, from the same RF chain (i.e. the same antenna), this implies </w:t>
            </w:r>
          </w:p>
          <w:p w14:paraId="42B8CBEC" w14:textId="77777777" w:rsidR="001C7DE7" w:rsidRPr="004A4E17" w:rsidRDefault="001C7DE7" w:rsidP="001C7DE7">
            <w:pPr>
              <w:widowControl w:val="0"/>
              <w:numPr>
                <w:ilvl w:val="1"/>
                <w:numId w:val="10"/>
              </w:numPr>
              <w:autoSpaceDN w:val="0"/>
              <w:spacing w:after="0" w:line="240" w:lineRule="auto"/>
              <w:ind w:hanging="363"/>
              <w:contextualSpacing/>
              <w:rPr>
                <w:rFonts w:ascii="Times New Roman" w:eastAsia="宋体" w:hAnsi="Times New Roman"/>
                <w:i/>
                <w:iCs/>
                <w:sz w:val="20"/>
              </w:rPr>
            </w:pPr>
            <w:r w:rsidRPr="004A4E17">
              <w:rPr>
                <w:rFonts w:ascii="Times New Roman" w:eastAsia="Times New Roman" w:hAnsi="Times New Roman"/>
                <w:i/>
                <w:iCs/>
                <w:sz w:val="20"/>
              </w:rPr>
              <w:t>FFS: The same gNB Tx TEG and the same UE Rx TEG, the maximum TX timing error margin</w:t>
            </w:r>
          </w:p>
          <w:p w14:paraId="4673F8E5" w14:textId="77777777" w:rsidR="001C7DE7" w:rsidRPr="004A4E17" w:rsidRDefault="001C7DE7" w:rsidP="001C7DE7">
            <w:pPr>
              <w:widowControl w:val="0"/>
              <w:numPr>
                <w:ilvl w:val="1"/>
                <w:numId w:val="10"/>
              </w:numPr>
              <w:autoSpaceDN w:val="0"/>
              <w:spacing w:after="0" w:line="240" w:lineRule="auto"/>
              <w:ind w:hanging="363"/>
              <w:contextualSpacing/>
              <w:rPr>
                <w:rFonts w:ascii="Times New Roman" w:eastAsia="宋体" w:hAnsi="Times New Roman"/>
                <w:i/>
                <w:iCs/>
                <w:sz w:val="20"/>
              </w:rPr>
            </w:pPr>
            <w:r w:rsidRPr="004A4E17">
              <w:rPr>
                <w:rFonts w:ascii="Times New Roman" w:eastAsia="宋体" w:hAnsi="Times New Roman"/>
                <w:i/>
                <w:iCs/>
                <w:sz w:val="20"/>
              </w:rPr>
              <w:t>The same QCL</w:t>
            </w:r>
          </w:p>
          <w:p w14:paraId="6A205310" w14:textId="77777777" w:rsidR="001C7DE7" w:rsidRPr="004A4E17" w:rsidRDefault="001C7DE7" w:rsidP="001C7DE7">
            <w:pPr>
              <w:widowControl w:val="0"/>
              <w:numPr>
                <w:ilvl w:val="0"/>
                <w:numId w:val="10"/>
              </w:numPr>
              <w:autoSpaceDN w:val="0"/>
              <w:spacing w:after="120" w:line="240" w:lineRule="auto"/>
              <w:contextualSpacing/>
              <w:rPr>
                <w:rFonts w:ascii="Times New Roman" w:eastAsia="宋体" w:hAnsi="Times New Roman"/>
                <w:i/>
                <w:iCs/>
                <w:sz w:val="20"/>
              </w:rPr>
            </w:pPr>
            <w:r w:rsidRPr="004A4E17">
              <w:rPr>
                <w:rFonts w:ascii="Times New Roman" w:eastAsia="Times New Roman" w:hAnsi="Times New Roman"/>
                <w:i/>
                <w:iCs/>
                <w:sz w:val="20"/>
              </w:rPr>
              <w:t xml:space="preserve">The same number of symbols, symbol location within one slot, </w:t>
            </w:r>
            <w:r w:rsidRPr="004A4E17">
              <w:rPr>
                <w:rFonts w:ascii="Times New Roman" w:eastAsia="宋体" w:hAnsi="Times New Roman"/>
                <w:i/>
                <w:iCs/>
                <w:sz w:val="20"/>
              </w:rPr>
              <w:t xml:space="preserve">repetition factor, </w:t>
            </w:r>
          </w:p>
          <w:p w14:paraId="751F7FE6" w14:textId="77777777" w:rsidR="001C7DE7" w:rsidRPr="004A4E17" w:rsidRDefault="001C7DE7" w:rsidP="001C7DE7">
            <w:pPr>
              <w:widowControl w:val="0"/>
              <w:numPr>
                <w:ilvl w:val="0"/>
                <w:numId w:val="10"/>
              </w:numPr>
              <w:autoSpaceDN w:val="0"/>
              <w:spacing w:after="120" w:line="240" w:lineRule="auto"/>
              <w:contextualSpacing/>
              <w:rPr>
                <w:rFonts w:ascii="Times New Roman" w:eastAsia="宋体" w:hAnsi="Times New Roman"/>
                <w:i/>
                <w:iCs/>
                <w:sz w:val="20"/>
              </w:rPr>
            </w:pPr>
            <w:r w:rsidRPr="004A4E17">
              <w:rPr>
                <w:rFonts w:ascii="Times New Roman" w:eastAsia="Times New Roman" w:hAnsi="Times New Roman"/>
                <w:i/>
                <w:iCs/>
                <w:sz w:val="20"/>
              </w:rPr>
              <w:t>FFS: the same periodicity and slot offset</w:t>
            </w:r>
          </w:p>
          <w:p w14:paraId="547A9AC2" w14:textId="77777777" w:rsidR="001C7DE7" w:rsidRPr="004A4E17" w:rsidRDefault="001C7DE7" w:rsidP="001C7DE7">
            <w:pPr>
              <w:widowControl w:val="0"/>
              <w:numPr>
                <w:ilvl w:val="0"/>
                <w:numId w:val="10"/>
              </w:numPr>
              <w:autoSpaceDN w:val="0"/>
              <w:spacing w:after="120" w:line="240" w:lineRule="auto"/>
              <w:contextualSpacing/>
              <w:rPr>
                <w:rFonts w:ascii="Times New Roman" w:eastAsia="宋体" w:hAnsi="Times New Roman"/>
                <w:i/>
                <w:iCs/>
                <w:sz w:val="20"/>
              </w:rPr>
            </w:pPr>
            <w:r w:rsidRPr="004A4E17">
              <w:rPr>
                <w:rFonts w:ascii="Times New Roman" w:eastAsia="Times New Roman" w:hAnsi="Times New Roman"/>
                <w:i/>
                <w:iCs/>
                <w:sz w:val="20"/>
              </w:rPr>
              <w:t>FFS muting pattern</w:t>
            </w:r>
          </w:p>
          <w:p w14:paraId="7E8FD638" w14:textId="77777777" w:rsidR="001C7DE7" w:rsidRPr="004A4E17" w:rsidRDefault="001C7DE7" w:rsidP="001C7DE7">
            <w:pPr>
              <w:widowControl w:val="0"/>
              <w:numPr>
                <w:ilvl w:val="0"/>
                <w:numId w:val="10"/>
              </w:numPr>
              <w:autoSpaceDN w:val="0"/>
              <w:spacing w:after="0" w:line="240" w:lineRule="auto"/>
              <w:ind w:hanging="363"/>
              <w:contextualSpacing/>
              <w:rPr>
                <w:rFonts w:ascii="Times New Roman" w:eastAsia="宋体" w:hAnsi="Times New Roman"/>
                <w:i/>
                <w:iCs/>
                <w:sz w:val="20"/>
              </w:rPr>
            </w:pPr>
            <w:r w:rsidRPr="004A4E17">
              <w:rPr>
                <w:rFonts w:ascii="Times New Roman" w:eastAsia="宋体" w:hAnsi="Times New Roman"/>
                <w:i/>
                <w:iCs/>
                <w:sz w:val="20"/>
              </w:rPr>
              <w:t>The same numerology, i.e. the same CP and SCS</w:t>
            </w:r>
          </w:p>
          <w:p w14:paraId="6F1A2910" w14:textId="77777777" w:rsidR="001C7DE7" w:rsidRPr="004A4E17" w:rsidRDefault="001C7DE7" w:rsidP="001C7DE7">
            <w:pPr>
              <w:widowControl w:val="0"/>
              <w:numPr>
                <w:ilvl w:val="0"/>
                <w:numId w:val="10"/>
              </w:numPr>
              <w:autoSpaceDN w:val="0"/>
              <w:spacing w:after="0" w:line="240" w:lineRule="auto"/>
              <w:ind w:hanging="363"/>
              <w:contextualSpacing/>
              <w:rPr>
                <w:rFonts w:ascii="Times New Roman" w:eastAsia="宋体" w:hAnsi="Times New Roman"/>
                <w:i/>
                <w:iCs/>
                <w:sz w:val="20"/>
              </w:rPr>
            </w:pPr>
            <w:r w:rsidRPr="004A4E17">
              <w:rPr>
                <w:rFonts w:ascii="Times New Roman" w:eastAsia="宋体" w:hAnsi="Times New Roman"/>
                <w:i/>
                <w:iCs/>
                <w:sz w:val="20"/>
              </w:rPr>
              <w:t>The same or different bandwidths</w:t>
            </w:r>
          </w:p>
          <w:p w14:paraId="59A63B6E" w14:textId="77777777" w:rsidR="001C7DE7" w:rsidRPr="004A4E17" w:rsidRDefault="001C7DE7" w:rsidP="001C7DE7">
            <w:pPr>
              <w:widowControl w:val="0"/>
              <w:numPr>
                <w:ilvl w:val="0"/>
                <w:numId w:val="10"/>
              </w:numPr>
              <w:autoSpaceDN w:val="0"/>
              <w:spacing w:after="0" w:line="240" w:lineRule="auto"/>
              <w:ind w:hanging="363"/>
              <w:contextualSpacing/>
              <w:rPr>
                <w:rFonts w:ascii="Times New Roman" w:eastAsia="宋体" w:hAnsi="Times New Roman"/>
                <w:i/>
                <w:iCs/>
                <w:sz w:val="20"/>
              </w:rPr>
            </w:pPr>
            <w:r w:rsidRPr="004A4E17">
              <w:rPr>
                <w:rFonts w:ascii="Times New Roman" w:eastAsia="宋体" w:hAnsi="Times New Roman"/>
                <w:i/>
                <w:iCs/>
                <w:sz w:val="20"/>
              </w:rPr>
              <w:t>The same comb size</w:t>
            </w:r>
          </w:p>
          <w:p w14:paraId="5942C519" w14:textId="77777777" w:rsidR="001C7DE7" w:rsidRPr="004A4E17" w:rsidRDefault="001C7DE7" w:rsidP="001C7DE7">
            <w:pPr>
              <w:widowControl w:val="0"/>
              <w:numPr>
                <w:ilvl w:val="0"/>
                <w:numId w:val="10"/>
              </w:numPr>
              <w:autoSpaceDN w:val="0"/>
              <w:spacing w:after="0" w:line="240" w:lineRule="auto"/>
              <w:ind w:hanging="363"/>
              <w:contextualSpacing/>
              <w:rPr>
                <w:rFonts w:ascii="Times New Roman" w:eastAsia="宋体" w:hAnsi="Times New Roman"/>
                <w:i/>
                <w:iCs/>
                <w:sz w:val="20"/>
              </w:rPr>
            </w:pPr>
            <w:r w:rsidRPr="004A4E17">
              <w:rPr>
                <w:rFonts w:ascii="Times New Roman" w:eastAsia="宋体" w:hAnsi="Times New Roman"/>
                <w:i/>
                <w:iCs/>
                <w:sz w:val="20"/>
              </w:rPr>
              <w:t xml:space="preserve">FFS: The same number of PRS resource sets and resources for a TRP </w:t>
            </w:r>
          </w:p>
          <w:p w14:paraId="71903DA0" w14:textId="77777777" w:rsidR="001C7DE7" w:rsidRPr="004A4E17" w:rsidRDefault="001C7DE7" w:rsidP="001C7DE7">
            <w:pPr>
              <w:widowControl w:val="0"/>
              <w:numPr>
                <w:ilvl w:val="0"/>
                <w:numId w:val="10"/>
              </w:numPr>
              <w:autoSpaceDN w:val="0"/>
              <w:spacing w:after="0" w:line="240" w:lineRule="auto"/>
              <w:ind w:hanging="363"/>
              <w:contextualSpacing/>
              <w:rPr>
                <w:rFonts w:ascii="Times New Roman" w:eastAsia="宋体" w:hAnsi="Times New Roman"/>
                <w:i/>
                <w:iCs/>
                <w:sz w:val="20"/>
              </w:rPr>
            </w:pPr>
            <w:r w:rsidRPr="004A4E17">
              <w:rPr>
                <w:rFonts w:ascii="Times New Roman" w:eastAsia="宋体" w:hAnsi="Times New Roman"/>
                <w:i/>
                <w:iCs/>
                <w:sz w:val="20"/>
              </w:rPr>
              <w:t>The same power per subcarrier</w:t>
            </w:r>
          </w:p>
          <w:p w14:paraId="45991265" w14:textId="77777777" w:rsidR="001C7DE7" w:rsidRPr="004A4E17" w:rsidRDefault="001C7DE7" w:rsidP="001C7DE7">
            <w:pPr>
              <w:widowControl w:val="0"/>
              <w:numPr>
                <w:ilvl w:val="0"/>
                <w:numId w:val="10"/>
              </w:numPr>
              <w:autoSpaceDN w:val="0"/>
              <w:spacing w:after="0" w:line="240" w:lineRule="auto"/>
              <w:ind w:hanging="363"/>
              <w:contextualSpacing/>
              <w:rPr>
                <w:rFonts w:ascii="Times New Roman" w:eastAsia="宋体" w:hAnsi="Times New Roman"/>
                <w:i/>
                <w:iCs/>
                <w:sz w:val="20"/>
              </w:rPr>
            </w:pPr>
            <w:r w:rsidRPr="004A4E17">
              <w:rPr>
                <w:rFonts w:ascii="Times New Roman" w:eastAsia="宋体" w:hAnsi="Times New Roman"/>
                <w:i/>
                <w:iCs/>
                <w:sz w:val="20"/>
              </w:rPr>
              <w:lastRenderedPageBreak/>
              <w:t>FFS: the</w:t>
            </w:r>
            <w:r w:rsidRPr="004A4E17">
              <w:rPr>
                <w:rFonts w:ascii="Times New Roman" w:eastAsia="Times New Roman" w:hAnsi="Times New Roman"/>
                <w:i/>
                <w:iCs/>
                <w:sz w:val="20"/>
              </w:rPr>
              <w:t xml:space="preserve"> same NR-DL-PRS-SFN0-Offset </w:t>
            </w:r>
          </w:p>
          <w:p w14:paraId="1C637C7E" w14:textId="77777777" w:rsidR="001C7DE7" w:rsidRPr="004A4E17" w:rsidRDefault="001C7DE7" w:rsidP="001C7DE7">
            <w:pPr>
              <w:widowControl w:val="0"/>
              <w:numPr>
                <w:ilvl w:val="0"/>
                <w:numId w:val="10"/>
              </w:numPr>
              <w:autoSpaceDN w:val="0"/>
              <w:spacing w:after="0" w:line="240" w:lineRule="auto"/>
              <w:ind w:hanging="363"/>
              <w:contextualSpacing/>
              <w:rPr>
                <w:rFonts w:ascii="Times New Roman" w:eastAsia="宋体" w:hAnsi="Times New Roman"/>
                <w:i/>
                <w:iCs/>
                <w:sz w:val="20"/>
              </w:rPr>
            </w:pPr>
            <w:r w:rsidRPr="004A4E17">
              <w:rPr>
                <w:rFonts w:ascii="Times New Roman" w:eastAsia="宋体" w:hAnsi="Times New Roman"/>
                <w:i/>
                <w:iCs/>
                <w:sz w:val="20"/>
              </w:rPr>
              <w:t>Aggregated PFLs are configured on the same aligned numerology grid</w:t>
            </w:r>
          </w:p>
          <w:p w14:paraId="2FABB269" w14:textId="77777777" w:rsidR="001C7DE7" w:rsidRPr="004A4E17" w:rsidRDefault="001C7DE7" w:rsidP="001C7DE7">
            <w:pPr>
              <w:widowControl w:val="0"/>
              <w:numPr>
                <w:ilvl w:val="0"/>
                <w:numId w:val="10"/>
              </w:numPr>
              <w:autoSpaceDN w:val="0"/>
              <w:spacing w:after="0" w:line="240" w:lineRule="auto"/>
              <w:ind w:hanging="363"/>
              <w:contextualSpacing/>
              <w:rPr>
                <w:rFonts w:ascii="Times New Roman" w:eastAsia="宋体" w:hAnsi="Times New Roman"/>
                <w:i/>
                <w:iCs/>
                <w:sz w:val="20"/>
              </w:rPr>
            </w:pPr>
            <w:r w:rsidRPr="004A4E17">
              <w:rPr>
                <w:rFonts w:ascii="Times New Roman" w:eastAsia="宋体" w:hAnsi="Times New Roman"/>
                <w:i/>
                <w:iCs/>
                <w:sz w:val="20"/>
              </w:rPr>
              <w:t>FFS: How to maintain contiguous PRS pattern across aggregated bandwidths even in the presence of guard tones (e.g, PFLs with different RE-offset configurations, PFLs with different point A)</w:t>
            </w:r>
          </w:p>
          <w:p w14:paraId="68E8284E" w14:textId="77777777" w:rsidR="001C7DE7" w:rsidRDefault="001C7DE7" w:rsidP="001C7DE7">
            <w:pPr>
              <w:widowControl w:val="0"/>
              <w:numPr>
                <w:ilvl w:val="0"/>
                <w:numId w:val="10"/>
              </w:numPr>
              <w:autoSpaceDN w:val="0"/>
              <w:spacing w:after="0" w:line="240" w:lineRule="auto"/>
              <w:ind w:hanging="363"/>
              <w:contextualSpacing/>
              <w:rPr>
                <w:rFonts w:eastAsia="宋体"/>
              </w:rPr>
            </w:pPr>
            <w:r w:rsidRPr="004A4E17">
              <w:rPr>
                <w:rFonts w:ascii="Times New Roman" w:eastAsia="宋体" w:hAnsi="Times New Roman"/>
                <w:i/>
                <w:iCs/>
                <w:sz w:val="20"/>
              </w:rPr>
              <w:t xml:space="preserve">Phase continuity between aggregated PFLs </w:t>
            </w:r>
          </w:p>
        </w:tc>
      </w:tr>
    </w:tbl>
    <w:p w14:paraId="1C36B20F" w14:textId="7EC4AB6E" w:rsidR="00DF5CDF" w:rsidRPr="004A4E17" w:rsidRDefault="00613BCF" w:rsidP="00DF5CDF">
      <w:pPr>
        <w:rPr>
          <w:rFonts w:ascii="Times New Roman" w:hAnsi="Times New Roman"/>
          <w:sz w:val="20"/>
          <w:szCs w:val="20"/>
        </w:rPr>
      </w:pPr>
      <w:r w:rsidRPr="004A4E17">
        <w:rPr>
          <w:rFonts w:ascii="Times New Roman" w:hAnsi="Times New Roman"/>
          <w:sz w:val="20"/>
          <w:szCs w:val="20"/>
        </w:rPr>
        <w:lastRenderedPageBreak/>
        <w:t>We believe that for periodicity and slot offset, it is not necessary to restrict different PRS resources belonging to the aggregated PRS resources to the same periodicity and slot offset. This means that different PRS resources can have different periodicity and slot offsets, and UE can perform aggregated reception based on overlapping PRS transmission timing. However, we need to consider the impact of this approach on location functionality.</w:t>
      </w:r>
    </w:p>
    <w:p w14:paraId="280D42C0" w14:textId="06CE58A4" w:rsidR="00DF5CDF" w:rsidRPr="004A4E17" w:rsidRDefault="00600DAC" w:rsidP="00DF5CDF">
      <w:pPr>
        <w:rPr>
          <w:rFonts w:ascii="Times New Roman" w:hAnsi="Times New Roman"/>
          <w:sz w:val="20"/>
          <w:szCs w:val="20"/>
        </w:rPr>
      </w:pPr>
      <w:r w:rsidRPr="004A4E17">
        <w:rPr>
          <w:rFonts w:ascii="Times New Roman" w:hAnsi="Times New Roman"/>
          <w:sz w:val="20"/>
          <w:szCs w:val="20"/>
        </w:rPr>
        <w:t xml:space="preserve">For the </w:t>
      </w:r>
      <w:r w:rsidRPr="004A4E17">
        <w:rPr>
          <w:rFonts w:ascii="Times New Roman" w:eastAsia="Times New Roman" w:hAnsi="Times New Roman"/>
          <w:sz w:val="20"/>
          <w:szCs w:val="20"/>
        </w:rPr>
        <w:t>muting pattern</w:t>
      </w:r>
      <w:r w:rsidRPr="004A4E17">
        <w:rPr>
          <w:rFonts w:ascii="Times New Roman" w:hAnsi="Times New Roman"/>
          <w:sz w:val="20"/>
          <w:szCs w:val="20"/>
        </w:rPr>
        <w:t>, we believe that different periodicity and slot offsets can be configured, but the impact on the location functionality needs to be considered since these settings will affect the reception of aggregated PRS resources.</w:t>
      </w:r>
    </w:p>
    <w:p w14:paraId="56E9A154" w14:textId="33DC7BB9" w:rsidR="00DF5CDF" w:rsidRPr="004A4E17" w:rsidRDefault="00600DAC" w:rsidP="00DF5CDF">
      <w:pPr>
        <w:rPr>
          <w:rFonts w:ascii="Times New Roman" w:hAnsi="Times New Roman"/>
          <w:b/>
          <w:bCs/>
          <w:i/>
          <w:iCs/>
          <w:sz w:val="20"/>
          <w:szCs w:val="20"/>
        </w:rPr>
      </w:pPr>
      <w:r w:rsidRPr="004A4E17">
        <w:rPr>
          <w:rFonts w:ascii="Times New Roman" w:hAnsi="Times New Roman"/>
          <w:b/>
          <w:bCs/>
          <w:i/>
          <w:iCs/>
          <w:sz w:val="20"/>
          <w:szCs w:val="20"/>
        </w:rPr>
        <w:t>Proposal</w:t>
      </w:r>
      <w:r w:rsidRPr="004A4E17">
        <w:rPr>
          <w:rFonts w:ascii="Times New Roman" w:hAnsi="Times New Roman"/>
          <w:b/>
          <w:bCs/>
          <w:i/>
          <w:iCs/>
          <w:sz w:val="20"/>
          <w:szCs w:val="20"/>
        </w:rPr>
        <w:t xml:space="preserve"> 5: Different PRS resources belonging to the aggregated PRS resources can have different periodicity and slot offset, but the impact on location performance should be considered.</w:t>
      </w:r>
    </w:p>
    <w:p w14:paraId="71DAA51E" w14:textId="77428256" w:rsidR="00016B55" w:rsidRDefault="00C9555B" w:rsidP="007673BA">
      <w:pPr>
        <w:pStyle w:val="1"/>
        <w:snapToGrid w:val="0"/>
        <w:spacing w:beforeLines="50" w:before="156" w:afterLines="50" w:after="156"/>
        <w:ind w:left="431" w:hanging="431"/>
        <w:jc w:val="both"/>
        <w:rPr>
          <w:sz w:val="28"/>
          <w:lang w:val="en-US"/>
        </w:rPr>
      </w:pPr>
      <w:bookmarkStart w:id="1" w:name="_Hlk127450267"/>
      <w:r>
        <w:rPr>
          <w:rFonts w:hint="eastAsia"/>
          <w:sz w:val="28"/>
          <w:lang w:val="en-US"/>
        </w:rPr>
        <w:t>Conclusion</w:t>
      </w:r>
      <w:bookmarkEnd w:id="1"/>
    </w:p>
    <w:p w14:paraId="3592AF6E" w14:textId="77777777" w:rsidR="009F797C" w:rsidRPr="004A4E17" w:rsidRDefault="009F797C" w:rsidP="009F797C">
      <w:pPr>
        <w:rPr>
          <w:rFonts w:ascii="Times New Roman" w:hAnsi="Times New Roman"/>
          <w:b/>
          <w:bCs/>
          <w:i/>
          <w:iCs/>
          <w:sz w:val="20"/>
          <w:szCs w:val="20"/>
        </w:rPr>
      </w:pPr>
      <w:r w:rsidRPr="004A4E17">
        <w:rPr>
          <w:rFonts w:ascii="Times New Roman" w:hAnsi="Times New Roman"/>
          <w:b/>
          <w:bCs/>
          <w:i/>
          <w:iCs/>
          <w:sz w:val="20"/>
          <w:szCs w:val="20"/>
        </w:rPr>
        <w:t>Observation 1: Relaxing the requirements for network deployment and timing has expanded the conditions for carrier aggregation, but there may be some trade-offs or losses as a result of relaxing these conditions.</w:t>
      </w:r>
    </w:p>
    <w:p w14:paraId="5760D0F9" w14:textId="77777777" w:rsidR="009F797C" w:rsidRPr="004A4E17" w:rsidRDefault="009F797C" w:rsidP="009F797C">
      <w:pPr>
        <w:rPr>
          <w:rFonts w:ascii="Times New Roman" w:hAnsi="Times New Roman"/>
          <w:b/>
          <w:bCs/>
          <w:i/>
          <w:iCs/>
          <w:sz w:val="20"/>
          <w:szCs w:val="20"/>
        </w:rPr>
      </w:pPr>
      <w:r w:rsidRPr="004A4E17">
        <w:rPr>
          <w:rFonts w:ascii="Times New Roman" w:hAnsi="Times New Roman"/>
          <w:b/>
          <w:bCs/>
          <w:i/>
          <w:iCs/>
          <w:sz w:val="20"/>
          <w:szCs w:val="20"/>
        </w:rPr>
        <w:t>P</w:t>
      </w:r>
      <w:r w:rsidRPr="004A4E17">
        <w:rPr>
          <w:rFonts w:ascii="Times New Roman" w:hAnsi="Times New Roman" w:hint="eastAsia"/>
          <w:b/>
          <w:bCs/>
          <w:i/>
          <w:iCs/>
          <w:sz w:val="20"/>
          <w:szCs w:val="20"/>
        </w:rPr>
        <w:t>roposal</w:t>
      </w:r>
      <w:r w:rsidRPr="004A4E17">
        <w:rPr>
          <w:rFonts w:ascii="Times New Roman" w:hAnsi="Times New Roman"/>
          <w:b/>
          <w:bCs/>
          <w:i/>
          <w:iCs/>
          <w:sz w:val="20"/>
          <w:szCs w:val="20"/>
        </w:rPr>
        <w:t xml:space="preserve"> 1: The difference in positioning performance between carrier aggregation with system frame and slot alignment and carrier aggregation with partial system frame and slot alignment should be evaluated.</w:t>
      </w:r>
    </w:p>
    <w:p w14:paraId="383DBB45" w14:textId="77777777" w:rsidR="009F797C" w:rsidRPr="004A4E17" w:rsidRDefault="009F797C" w:rsidP="009F797C">
      <w:pPr>
        <w:rPr>
          <w:rFonts w:ascii="Times New Roman" w:hAnsi="Times New Roman" w:hint="eastAsia"/>
          <w:b/>
          <w:bCs/>
          <w:i/>
          <w:iCs/>
          <w:sz w:val="20"/>
          <w:szCs w:val="20"/>
        </w:rPr>
      </w:pPr>
      <w:r w:rsidRPr="004A4E17">
        <w:rPr>
          <w:rFonts w:ascii="Times New Roman" w:hAnsi="Times New Roman"/>
          <w:b/>
          <w:bCs/>
          <w:i/>
          <w:iCs/>
          <w:sz w:val="20"/>
          <w:szCs w:val="20"/>
        </w:rPr>
        <w:t>P</w:t>
      </w:r>
      <w:r w:rsidRPr="004A4E17">
        <w:rPr>
          <w:rFonts w:ascii="Times New Roman" w:hAnsi="Times New Roman" w:hint="eastAsia"/>
          <w:b/>
          <w:bCs/>
          <w:i/>
          <w:iCs/>
          <w:sz w:val="20"/>
          <w:szCs w:val="20"/>
        </w:rPr>
        <w:t>roposal</w:t>
      </w:r>
      <w:r w:rsidRPr="004A4E17">
        <w:rPr>
          <w:rFonts w:ascii="Times New Roman" w:hAnsi="Times New Roman"/>
          <w:b/>
          <w:bCs/>
          <w:i/>
          <w:iCs/>
          <w:sz w:val="20"/>
          <w:szCs w:val="20"/>
        </w:rPr>
        <w:t xml:space="preserve"> 2: The reporting of the time slot offset should be supported for use in the calculation of carrier aggregation positioning.</w:t>
      </w:r>
    </w:p>
    <w:p w14:paraId="707151B8" w14:textId="77777777" w:rsidR="009F797C" w:rsidRPr="004A4E17" w:rsidRDefault="009F797C" w:rsidP="009F797C">
      <w:pPr>
        <w:rPr>
          <w:rFonts w:ascii="Times New Roman" w:hAnsi="Times New Roman"/>
          <w:b/>
          <w:bCs/>
          <w:i/>
          <w:iCs/>
          <w:sz w:val="20"/>
          <w:szCs w:val="20"/>
        </w:rPr>
      </w:pPr>
      <w:r w:rsidRPr="004A4E17">
        <w:rPr>
          <w:rFonts w:ascii="Times New Roman" w:hAnsi="Times New Roman" w:hint="eastAsia"/>
          <w:b/>
          <w:bCs/>
          <w:i/>
          <w:iCs/>
          <w:sz w:val="20"/>
          <w:szCs w:val="20"/>
        </w:rPr>
        <w:t>Proposal</w:t>
      </w:r>
      <w:r w:rsidRPr="004A4E17">
        <w:rPr>
          <w:rFonts w:ascii="Times New Roman" w:hAnsi="Times New Roman"/>
          <w:b/>
          <w:bCs/>
          <w:i/>
          <w:iCs/>
          <w:sz w:val="20"/>
          <w:szCs w:val="20"/>
        </w:rPr>
        <w:t xml:space="preserve"> 3</w:t>
      </w:r>
      <w:r w:rsidRPr="004A4E17">
        <w:rPr>
          <w:rFonts w:ascii="Times New Roman" w:hAnsi="Times New Roman" w:hint="eastAsia"/>
          <w:b/>
          <w:bCs/>
          <w:i/>
          <w:iCs/>
          <w:sz w:val="20"/>
          <w:szCs w:val="20"/>
        </w:rPr>
        <w:t>：</w:t>
      </w:r>
      <w:r w:rsidRPr="004A4E17">
        <w:rPr>
          <w:rFonts w:ascii="Times New Roman" w:hAnsi="Times New Roman"/>
          <w:b/>
          <w:bCs/>
          <w:i/>
          <w:iCs/>
          <w:sz w:val="20"/>
          <w:szCs w:val="20"/>
        </w:rPr>
        <w:t>RAN1 should consider introducing the TEG concept on the PFL to mitigate the Tx timing error of PRS resources sent from different PFLs.</w:t>
      </w:r>
    </w:p>
    <w:p w14:paraId="4658EA8B" w14:textId="77777777" w:rsidR="009F797C" w:rsidRPr="004A4E17" w:rsidRDefault="009F797C" w:rsidP="009F797C">
      <w:pPr>
        <w:rPr>
          <w:rFonts w:ascii="Times New Roman" w:hAnsi="Times New Roman"/>
          <w:b/>
          <w:bCs/>
          <w:i/>
          <w:iCs/>
          <w:sz w:val="20"/>
          <w:szCs w:val="20"/>
        </w:rPr>
      </w:pPr>
      <w:r w:rsidRPr="004A4E17">
        <w:rPr>
          <w:rFonts w:ascii="Times New Roman" w:hAnsi="Times New Roman"/>
          <w:b/>
          <w:bCs/>
          <w:i/>
          <w:iCs/>
          <w:sz w:val="20"/>
          <w:szCs w:val="20"/>
        </w:rPr>
        <w:t>P</w:t>
      </w:r>
      <w:r w:rsidRPr="004A4E17">
        <w:rPr>
          <w:rFonts w:ascii="Times New Roman" w:hAnsi="Times New Roman" w:hint="eastAsia"/>
          <w:b/>
          <w:bCs/>
          <w:i/>
          <w:iCs/>
          <w:sz w:val="20"/>
          <w:szCs w:val="20"/>
        </w:rPr>
        <w:t>roposal</w:t>
      </w:r>
      <w:r w:rsidRPr="004A4E17">
        <w:rPr>
          <w:rFonts w:ascii="Times New Roman" w:hAnsi="Times New Roman"/>
          <w:b/>
          <w:bCs/>
          <w:i/>
          <w:iCs/>
          <w:sz w:val="20"/>
          <w:szCs w:val="20"/>
        </w:rPr>
        <w:t xml:space="preserve"> 4: The PFL aggregation index should be supported in the measurement report, and the decision on which PFLs to aggregate should be based on different Tx-TEG information and index information.</w:t>
      </w:r>
    </w:p>
    <w:p w14:paraId="64F21168" w14:textId="2549B1A4" w:rsidR="009F797C" w:rsidRPr="009F797C" w:rsidRDefault="009F797C" w:rsidP="009F797C">
      <w:pPr>
        <w:rPr>
          <w:rFonts w:ascii="Times New Roman" w:hAnsi="Times New Roman" w:hint="eastAsia"/>
          <w:b/>
          <w:bCs/>
          <w:i/>
          <w:iCs/>
          <w:sz w:val="20"/>
          <w:szCs w:val="20"/>
        </w:rPr>
      </w:pPr>
      <w:r w:rsidRPr="004A4E17">
        <w:rPr>
          <w:rFonts w:ascii="Times New Roman" w:hAnsi="Times New Roman"/>
          <w:b/>
          <w:bCs/>
          <w:i/>
          <w:iCs/>
          <w:sz w:val="20"/>
          <w:szCs w:val="20"/>
        </w:rPr>
        <w:t>Proposal 5: Different PRS resources belonging to the aggregated PRS resources can have different periodicity and slot offset, but the impact on location performance should be considered.</w:t>
      </w:r>
    </w:p>
    <w:p w14:paraId="4E7AB3EC" w14:textId="0F95495C" w:rsidR="00AE6785" w:rsidRDefault="00C9555B" w:rsidP="00AE6785">
      <w:pPr>
        <w:pStyle w:val="1"/>
        <w:snapToGrid w:val="0"/>
        <w:spacing w:beforeLines="50" w:before="156" w:afterLines="50" w:after="156"/>
        <w:ind w:left="431" w:hanging="431"/>
        <w:jc w:val="both"/>
        <w:rPr>
          <w:sz w:val="28"/>
          <w:lang w:val="en-US"/>
        </w:rPr>
      </w:pPr>
      <w:bookmarkStart w:id="2" w:name="_Hlk127450357"/>
      <w:r>
        <w:rPr>
          <w:sz w:val="28"/>
          <w:lang w:val="en-US"/>
        </w:rPr>
        <w:t>R</w:t>
      </w:r>
      <w:r w:rsidRPr="00C9555B">
        <w:rPr>
          <w:sz w:val="28"/>
          <w:lang w:val="en-US"/>
        </w:rPr>
        <w:t>eference</w:t>
      </w:r>
    </w:p>
    <w:bookmarkEnd w:id="2"/>
    <w:p w14:paraId="556038EF" w14:textId="77777777" w:rsidR="0064125E" w:rsidRDefault="0064125E" w:rsidP="0064125E">
      <w:pPr>
        <w:pStyle w:val="a4"/>
        <w:numPr>
          <w:ilvl w:val="0"/>
          <w:numId w:val="9"/>
        </w:numPr>
        <w:ind w:leftChars="0"/>
        <w:jc w:val="both"/>
        <w:rPr>
          <w:rFonts w:ascii="Times New Roman" w:eastAsia="MS Mincho" w:hAnsi="Times New Roman"/>
          <w:sz w:val="22"/>
        </w:rPr>
      </w:pPr>
      <w:r>
        <w:rPr>
          <w:rFonts w:eastAsia="MS Mincho"/>
          <w:sz w:val="22"/>
        </w:rPr>
        <w:lastRenderedPageBreak/>
        <w:t>RP-223549, 3GPP RAN#98-e, “New WID on Expanded and Improved NR Positioning”, Electronic Meeting, Dec. 2022.</w:t>
      </w:r>
    </w:p>
    <w:p w14:paraId="49E9F706" w14:textId="2555A49C" w:rsidR="00016B55" w:rsidRPr="00B91780" w:rsidRDefault="00B91780" w:rsidP="00B91780">
      <w:pPr>
        <w:pStyle w:val="a4"/>
        <w:numPr>
          <w:ilvl w:val="0"/>
          <w:numId w:val="9"/>
        </w:numPr>
        <w:autoSpaceDE w:val="0"/>
        <w:autoSpaceDN w:val="0"/>
        <w:adjustRightInd w:val="0"/>
        <w:snapToGrid w:val="0"/>
        <w:spacing w:after="120"/>
        <w:ind w:leftChars="0"/>
        <w:jc w:val="both"/>
        <w:rPr>
          <w:rFonts w:ascii="Times New Roman" w:hAnsi="Times New Roman"/>
          <w:sz w:val="22"/>
          <w:szCs w:val="20"/>
          <w:lang w:eastAsia="zh-CN"/>
        </w:rPr>
      </w:pPr>
      <w:r>
        <w:rPr>
          <w:szCs w:val="20"/>
          <w:lang w:eastAsia="zh-CN"/>
        </w:rPr>
        <w:t>3GPP RAN1#112 Chairman’s Notes, February 27th – March 3rd, 2023.</w:t>
      </w:r>
    </w:p>
    <w:sectPr w:rsidR="00016B55" w:rsidRPr="00B9178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7C4FB" w14:textId="77777777" w:rsidR="00D918AF" w:rsidRDefault="00D918AF" w:rsidP="005D1BF1">
      <w:pPr>
        <w:spacing w:after="0" w:line="240" w:lineRule="auto"/>
      </w:pPr>
      <w:r>
        <w:separator/>
      </w:r>
    </w:p>
  </w:endnote>
  <w:endnote w:type="continuationSeparator" w:id="0">
    <w:p w14:paraId="4DEDCEC3" w14:textId="77777777" w:rsidR="00D918AF" w:rsidRDefault="00D918AF" w:rsidP="005D1B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6BC1B" w14:textId="77777777" w:rsidR="00D918AF" w:rsidRDefault="00D918AF" w:rsidP="005D1BF1">
      <w:pPr>
        <w:spacing w:after="0" w:line="240" w:lineRule="auto"/>
      </w:pPr>
      <w:r>
        <w:separator/>
      </w:r>
    </w:p>
  </w:footnote>
  <w:footnote w:type="continuationSeparator" w:id="0">
    <w:p w14:paraId="5DC16711" w14:textId="77777777" w:rsidR="00D918AF" w:rsidRDefault="00D918AF" w:rsidP="005D1B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C0DCEB"/>
    <w:multiLevelType w:val="singleLevel"/>
    <w:tmpl w:val="98C0DCEB"/>
    <w:lvl w:ilvl="0">
      <w:start w:val="1"/>
      <w:numFmt w:val="decimal"/>
      <w:suff w:val="space"/>
      <w:lvlText w:val="[%1]"/>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0DE83EA3"/>
    <w:multiLevelType w:val="hybridMultilevel"/>
    <w:tmpl w:val="005AD276"/>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2363080"/>
    <w:lvl w:ilvl="0">
      <w:start w:val="1"/>
      <w:numFmt w:val="decimal"/>
      <w:lvlText w:val="[%1]"/>
      <w:lvlJc w:val="left"/>
      <w:pPr>
        <w:tabs>
          <w:tab w:val="num" w:pos="420"/>
        </w:tabs>
        <w:ind w:left="420" w:hanging="420"/>
      </w:pPr>
      <w:rPr>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116027937">
    <w:abstractNumId w:val="7"/>
  </w:num>
  <w:num w:numId="2" w16cid:durableId="116292251">
    <w:abstractNumId w:val="3"/>
  </w:num>
  <w:num w:numId="3" w16cid:durableId="1076784421">
    <w:abstractNumId w:val="2"/>
  </w:num>
  <w:num w:numId="4" w16cid:durableId="1360161789">
    <w:abstractNumId w:val="6"/>
  </w:num>
  <w:num w:numId="5" w16cid:durableId="2071230208">
    <w:abstractNumId w:val="9"/>
  </w:num>
  <w:num w:numId="6" w16cid:durableId="638876529">
    <w:abstractNumId w:val="0"/>
  </w:num>
  <w:num w:numId="7" w16cid:durableId="1251817165">
    <w:abstractNumId w:val="10"/>
  </w:num>
  <w:num w:numId="8" w16cid:durableId="265355571">
    <w:abstractNumId w:val="1"/>
  </w:num>
  <w:num w:numId="9" w16cid:durableId="21201016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6834011">
    <w:abstractNumId w:val="8"/>
  </w:num>
  <w:num w:numId="11" w16cid:durableId="5117207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C49"/>
    <w:rsid w:val="00012414"/>
    <w:rsid w:val="00016B55"/>
    <w:rsid w:val="00035D81"/>
    <w:rsid w:val="000607B1"/>
    <w:rsid w:val="00066A18"/>
    <w:rsid w:val="000C15D5"/>
    <w:rsid w:val="000F6733"/>
    <w:rsid w:val="00133BDF"/>
    <w:rsid w:val="00147EA3"/>
    <w:rsid w:val="00194C01"/>
    <w:rsid w:val="001A4522"/>
    <w:rsid w:val="001C7DE7"/>
    <w:rsid w:val="001E2BE5"/>
    <w:rsid w:val="001F75B5"/>
    <w:rsid w:val="00272CF1"/>
    <w:rsid w:val="002B5DA4"/>
    <w:rsid w:val="002F020B"/>
    <w:rsid w:val="002F0CC4"/>
    <w:rsid w:val="00392F3F"/>
    <w:rsid w:val="00413191"/>
    <w:rsid w:val="00432AA7"/>
    <w:rsid w:val="004A4E17"/>
    <w:rsid w:val="0051325A"/>
    <w:rsid w:val="005252C4"/>
    <w:rsid w:val="005425E9"/>
    <w:rsid w:val="0054424C"/>
    <w:rsid w:val="00584F16"/>
    <w:rsid w:val="005949ED"/>
    <w:rsid w:val="005D0BA1"/>
    <w:rsid w:val="005D1BF1"/>
    <w:rsid w:val="005E4DFE"/>
    <w:rsid w:val="00600DAC"/>
    <w:rsid w:val="00606861"/>
    <w:rsid w:val="00613BCF"/>
    <w:rsid w:val="006163BA"/>
    <w:rsid w:val="00620B4A"/>
    <w:rsid w:val="00624CF1"/>
    <w:rsid w:val="0064125E"/>
    <w:rsid w:val="006648C8"/>
    <w:rsid w:val="00666EE0"/>
    <w:rsid w:val="006765BE"/>
    <w:rsid w:val="006A4906"/>
    <w:rsid w:val="006B0ED5"/>
    <w:rsid w:val="006B521A"/>
    <w:rsid w:val="0071380D"/>
    <w:rsid w:val="007153EE"/>
    <w:rsid w:val="007673BA"/>
    <w:rsid w:val="00782A65"/>
    <w:rsid w:val="00790BD9"/>
    <w:rsid w:val="007D0673"/>
    <w:rsid w:val="007F4970"/>
    <w:rsid w:val="008023B2"/>
    <w:rsid w:val="00816BAF"/>
    <w:rsid w:val="009B29EC"/>
    <w:rsid w:val="009C01F0"/>
    <w:rsid w:val="009F797C"/>
    <w:rsid w:val="00A055C2"/>
    <w:rsid w:val="00A2696F"/>
    <w:rsid w:val="00A47C3C"/>
    <w:rsid w:val="00A52C48"/>
    <w:rsid w:val="00A7405D"/>
    <w:rsid w:val="00AA548E"/>
    <w:rsid w:val="00AA5719"/>
    <w:rsid w:val="00AD0369"/>
    <w:rsid w:val="00AE6785"/>
    <w:rsid w:val="00B25856"/>
    <w:rsid w:val="00B42D1E"/>
    <w:rsid w:val="00B91780"/>
    <w:rsid w:val="00BE1A1E"/>
    <w:rsid w:val="00BE534D"/>
    <w:rsid w:val="00C433E9"/>
    <w:rsid w:val="00C460A9"/>
    <w:rsid w:val="00C53BA9"/>
    <w:rsid w:val="00C9555B"/>
    <w:rsid w:val="00CE4C3E"/>
    <w:rsid w:val="00D363D9"/>
    <w:rsid w:val="00D61B75"/>
    <w:rsid w:val="00D72ECB"/>
    <w:rsid w:val="00D777E9"/>
    <w:rsid w:val="00D918AF"/>
    <w:rsid w:val="00DC36E6"/>
    <w:rsid w:val="00DD3FF6"/>
    <w:rsid w:val="00DF5CDF"/>
    <w:rsid w:val="00E21C32"/>
    <w:rsid w:val="00E2749C"/>
    <w:rsid w:val="00E92C49"/>
    <w:rsid w:val="00EA3556"/>
    <w:rsid w:val="00ED219D"/>
    <w:rsid w:val="00F10429"/>
    <w:rsid w:val="00F71004"/>
    <w:rsid w:val="00F72EE7"/>
    <w:rsid w:val="00F9546C"/>
    <w:rsid w:val="00FD0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6BD7E"/>
  <w15:chartTrackingRefBased/>
  <w15:docId w15:val="{BFAA4586-8B72-418F-84C5-389BA69E6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4906"/>
    <w:pPr>
      <w:spacing w:after="200" w:line="276" w:lineRule="auto"/>
    </w:pPr>
    <w:rPr>
      <w:rFonts w:ascii="Calibri" w:hAnsi="Calibri" w:cs="Times New Roman"/>
      <w:kern w:val="0"/>
      <w:sz w:val="22"/>
    </w:rPr>
  </w:style>
  <w:style w:type="paragraph" w:styleId="1">
    <w:name w:val="heading 1"/>
    <w:basedOn w:val="a"/>
    <w:next w:val="a"/>
    <w:link w:val="10"/>
    <w:qFormat/>
    <w:rsid w:val="006A4906"/>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6A4906"/>
    <w:rPr>
      <w:rFonts w:ascii="Arial" w:eastAsia="黑体" w:hAnsi="Arial" w:cs="Times New Roman"/>
      <w:b/>
      <w:bCs/>
      <w:kern w:val="0"/>
      <w:sz w:val="30"/>
      <w:szCs w:val="30"/>
      <w:lang w:val="zh-CN"/>
    </w:rPr>
  </w:style>
  <w:style w:type="table" w:styleId="a3">
    <w:name w:val="Table Grid"/>
    <w:basedOn w:val="a1"/>
    <w:qFormat/>
    <w:rsid w:val="00DD3FF6"/>
    <w:rPr>
      <w:rFonts w:ascii="Times New Roman" w:eastAsia="等线"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numbere,목록 단락"/>
    <w:basedOn w:val="a"/>
    <w:link w:val="a5"/>
    <w:uiPriority w:val="34"/>
    <w:qFormat/>
    <w:rsid w:val="000607B1"/>
    <w:pPr>
      <w:spacing w:after="0" w:line="240" w:lineRule="auto"/>
      <w:ind w:leftChars="400" w:left="840"/>
    </w:pPr>
    <w:rPr>
      <w:rFonts w:ascii="Times" w:eastAsia="Batang" w:hAnsi="Times"/>
      <w:sz w:val="20"/>
      <w:szCs w:val="24"/>
      <w:lang w:val="en-GB" w:eastAsia="x-none"/>
    </w:rPr>
  </w:style>
  <w:style w:type="character" w:customStyle="1" w:styleId="a5">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4"/>
    <w:uiPriority w:val="34"/>
    <w:qFormat/>
    <w:rsid w:val="000607B1"/>
    <w:rPr>
      <w:rFonts w:ascii="Times" w:eastAsia="Batang" w:hAnsi="Times" w:cs="Times New Roman"/>
      <w:kern w:val="0"/>
      <w:sz w:val="20"/>
      <w:szCs w:val="24"/>
      <w:lang w:val="en-GB" w:eastAsia="x-none"/>
    </w:rPr>
  </w:style>
  <w:style w:type="character" w:styleId="a6">
    <w:name w:val="Placeholder Text"/>
    <w:basedOn w:val="a0"/>
    <w:uiPriority w:val="99"/>
    <w:semiHidden/>
    <w:rsid w:val="00E21C32"/>
    <w:rPr>
      <w:color w:val="808080"/>
    </w:rPr>
  </w:style>
  <w:style w:type="paragraph" w:styleId="a7">
    <w:name w:val="header"/>
    <w:basedOn w:val="a"/>
    <w:link w:val="a8"/>
    <w:uiPriority w:val="99"/>
    <w:unhideWhenUsed/>
    <w:rsid w:val="005D1BF1"/>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uiPriority w:val="99"/>
    <w:rsid w:val="005D1BF1"/>
    <w:rPr>
      <w:rFonts w:ascii="Calibri" w:hAnsi="Calibri" w:cs="Times New Roman"/>
      <w:kern w:val="0"/>
      <w:sz w:val="18"/>
      <w:szCs w:val="18"/>
    </w:rPr>
  </w:style>
  <w:style w:type="paragraph" w:styleId="a9">
    <w:name w:val="footer"/>
    <w:basedOn w:val="a"/>
    <w:link w:val="aa"/>
    <w:uiPriority w:val="99"/>
    <w:unhideWhenUsed/>
    <w:rsid w:val="005D1BF1"/>
    <w:pPr>
      <w:tabs>
        <w:tab w:val="center" w:pos="4153"/>
        <w:tab w:val="right" w:pos="8306"/>
      </w:tabs>
      <w:snapToGrid w:val="0"/>
      <w:spacing w:line="240" w:lineRule="auto"/>
    </w:pPr>
    <w:rPr>
      <w:sz w:val="18"/>
      <w:szCs w:val="18"/>
    </w:rPr>
  </w:style>
  <w:style w:type="character" w:customStyle="1" w:styleId="aa">
    <w:name w:val="页脚 字符"/>
    <w:basedOn w:val="a0"/>
    <w:link w:val="a9"/>
    <w:uiPriority w:val="99"/>
    <w:rsid w:val="005D1BF1"/>
    <w:rPr>
      <w:rFonts w:ascii="Calibri" w:hAnsi="Calibri" w:cs="Times New Roman"/>
      <w:kern w:val="0"/>
      <w:sz w:val="18"/>
      <w:szCs w:val="18"/>
    </w:rPr>
  </w:style>
  <w:style w:type="paragraph" w:styleId="ab">
    <w:name w:val="Normal (Web)"/>
    <w:basedOn w:val="a"/>
    <w:uiPriority w:val="99"/>
    <w:unhideWhenUsed/>
    <w:rsid w:val="00DF5CDF"/>
    <w:pPr>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68413">
      <w:bodyDiv w:val="1"/>
      <w:marLeft w:val="0"/>
      <w:marRight w:val="0"/>
      <w:marTop w:val="0"/>
      <w:marBottom w:val="0"/>
      <w:divBdr>
        <w:top w:val="none" w:sz="0" w:space="0" w:color="auto"/>
        <w:left w:val="none" w:sz="0" w:space="0" w:color="auto"/>
        <w:bottom w:val="none" w:sz="0" w:space="0" w:color="auto"/>
        <w:right w:val="none" w:sz="0" w:space="0" w:color="auto"/>
      </w:divBdr>
    </w:div>
    <w:div w:id="379668916">
      <w:bodyDiv w:val="1"/>
      <w:marLeft w:val="0"/>
      <w:marRight w:val="0"/>
      <w:marTop w:val="0"/>
      <w:marBottom w:val="0"/>
      <w:divBdr>
        <w:top w:val="none" w:sz="0" w:space="0" w:color="auto"/>
        <w:left w:val="none" w:sz="0" w:space="0" w:color="auto"/>
        <w:bottom w:val="none" w:sz="0" w:space="0" w:color="auto"/>
        <w:right w:val="none" w:sz="0" w:space="0" w:color="auto"/>
      </w:divBdr>
    </w:div>
    <w:div w:id="391781716">
      <w:bodyDiv w:val="1"/>
      <w:marLeft w:val="0"/>
      <w:marRight w:val="0"/>
      <w:marTop w:val="0"/>
      <w:marBottom w:val="0"/>
      <w:divBdr>
        <w:top w:val="none" w:sz="0" w:space="0" w:color="auto"/>
        <w:left w:val="none" w:sz="0" w:space="0" w:color="auto"/>
        <w:bottom w:val="none" w:sz="0" w:space="0" w:color="auto"/>
        <w:right w:val="none" w:sz="0" w:space="0" w:color="auto"/>
      </w:divBdr>
    </w:div>
    <w:div w:id="743916610">
      <w:bodyDiv w:val="1"/>
      <w:marLeft w:val="0"/>
      <w:marRight w:val="0"/>
      <w:marTop w:val="0"/>
      <w:marBottom w:val="0"/>
      <w:divBdr>
        <w:top w:val="none" w:sz="0" w:space="0" w:color="auto"/>
        <w:left w:val="none" w:sz="0" w:space="0" w:color="auto"/>
        <w:bottom w:val="none" w:sz="0" w:space="0" w:color="auto"/>
        <w:right w:val="none" w:sz="0" w:space="0" w:color="auto"/>
      </w:divBdr>
    </w:div>
    <w:div w:id="764766831">
      <w:bodyDiv w:val="1"/>
      <w:marLeft w:val="0"/>
      <w:marRight w:val="0"/>
      <w:marTop w:val="0"/>
      <w:marBottom w:val="0"/>
      <w:divBdr>
        <w:top w:val="none" w:sz="0" w:space="0" w:color="auto"/>
        <w:left w:val="none" w:sz="0" w:space="0" w:color="auto"/>
        <w:bottom w:val="none" w:sz="0" w:space="0" w:color="auto"/>
        <w:right w:val="none" w:sz="0" w:space="0" w:color="auto"/>
      </w:divBdr>
    </w:div>
    <w:div w:id="833687713">
      <w:bodyDiv w:val="1"/>
      <w:marLeft w:val="0"/>
      <w:marRight w:val="0"/>
      <w:marTop w:val="0"/>
      <w:marBottom w:val="0"/>
      <w:divBdr>
        <w:top w:val="none" w:sz="0" w:space="0" w:color="auto"/>
        <w:left w:val="none" w:sz="0" w:space="0" w:color="auto"/>
        <w:bottom w:val="none" w:sz="0" w:space="0" w:color="auto"/>
        <w:right w:val="none" w:sz="0" w:space="0" w:color="auto"/>
      </w:divBdr>
    </w:div>
    <w:div w:id="1152209394">
      <w:bodyDiv w:val="1"/>
      <w:marLeft w:val="0"/>
      <w:marRight w:val="0"/>
      <w:marTop w:val="0"/>
      <w:marBottom w:val="0"/>
      <w:divBdr>
        <w:top w:val="none" w:sz="0" w:space="0" w:color="auto"/>
        <w:left w:val="none" w:sz="0" w:space="0" w:color="auto"/>
        <w:bottom w:val="none" w:sz="0" w:space="0" w:color="auto"/>
        <w:right w:val="none" w:sz="0" w:space="0" w:color="auto"/>
      </w:divBdr>
    </w:div>
    <w:div w:id="1211578209">
      <w:bodyDiv w:val="1"/>
      <w:marLeft w:val="0"/>
      <w:marRight w:val="0"/>
      <w:marTop w:val="0"/>
      <w:marBottom w:val="0"/>
      <w:divBdr>
        <w:top w:val="none" w:sz="0" w:space="0" w:color="auto"/>
        <w:left w:val="none" w:sz="0" w:space="0" w:color="auto"/>
        <w:bottom w:val="none" w:sz="0" w:space="0" w:color="auto"/>
        <w:right w:val="none" w:sz="0" w:space="0" w:color="auto"/>
      </w:divBdr>
    </w:div>
    <w:div w:id="1228495475">
      <w:bodyDiv w:val="1"/>
      <w:marLeft w:val="0"/>
      <w:marRight w:val="0"/>
      <w:marTop w:val="0"/>
      <w:marBottom w:val="0"/>
      <w:divBdr>
        <w:top w:val="none" w:sz="0" w:space="0" w:color="auto"/>
        <w:left w:val="none" w:sz="0" w:space="0" w:color="auto"/>
        <w:bottom w:val="none" w:sz="0" w:space="0" w:color="auto"/>
        <w:right w:val="none" w:sz="0" w:space="0" w:color="auto"/>
      </w:divBdr>
    </w:div>
    <w:div w:id="1642880959">
      <w:bodyDiv w:val="1"/>
      <w:marLeft w:val="0"/>
      <w:marRight w:val="0"/>
      <w:marTop w:val="0"/>
      <w:marBottom w:val="0"/>
      <w:divBdr>
        <w:top w:val="none" w:sz="0" w:space="0" w:color="auto"/>
        <w:left w:val="none" w:sz="0" w:space="0" w:color="auto"/>
        <w:bottom w:val="none" w:sz="0" w:space="0" w:color="auto"/>
        <w:right w:val="none" w:sz="0" w:space="0" w:color="auto"/>
      </w:divBdr>
    </w:div>
    <w:div w:id="1688754366">
      <w:bodyDiv w:val="1"/>
      <w:marLeft w:val="0"/>
      <w:marRight w:val="0"/>
      <w:marTop w:val="0"/>
      <w:marBottom w:val="0"/>
      <w:divBdr>
        <w:top w:val="none" w:sz="0" w:space="0" w:color="auto"/>
        <w:left w:val="none" w:sz="0" w:space="0" w:color="auto"/>
        <w:bottom w:val="none" w:sz="0" w:space="0" w:color="auto"/>
        <w:right w:val="none" w:sz="0" w:space="0" w:color="auto"/>
      </w:divBdr>
    </w:div>
    <w:div w:id="1734890150">
      <w:bodyDiv w:val="1"/>
      <w:marLeft w:val="0"/>
      <w:marRight w:val="0"/>
      <w:marTop w:val="0"/>
      <w:marBottom w:val="0"/>
      <w:divBdr>
        <w:top w:val="none" w:sz="0" w:space="0" w:color="auto"/>
        <w:left w:val="none" w:sz="0" w:space="0" w:color="auto"/>
        <w:bottom w:val="none" w:sz="0" w:space="0" w:color="auto"/>
        <w:right w:val="none" w:sz="0" w:space="0" w:color="auto"/>
      </w:divBdr>
    </w:div>
    <w:div w:id="1750737400">
      <w:bodyDiv w:val="1"/>
      <w:marLeft w:val="0"/>
      <w:marRight w:val="0"/>
      <w:marTop w:val="0"/>
      <w:marBottom w:val="0"/>
      <w:divBdr>
        <w:top w:val="none" w:sz="0" w:space="0" w:color="auto"/>
        <w:left w:val="none" w:sz="0" w:space="0" w:color="auto"/>
        <w:bottom w:val="none" w:sz="0" w:space="0" w:color="auto"/>
        <w:right w:val="none" w:sz="0" w:space="0" w:color="auto"/>
      </w:divBdr>
    </w:div>
    <w:div w:id="1932808204">
      <w:bodyDiv w:val="1"/>
      <w:marLeft w:val="0"/>
      <w:marRight w:val="0"/>
      <w:marTop w:val="0"/>
      <w:marBottom w:val="0"/>
      <w:divBdr>
        <w:top w:val="none" w:sz="0" w:space="0" w:color="auto"/>
        <w:left w:val="none" w:sz="0" w:space="0" w:color="auto"/>
        <w:bottom w:val="none" w:sz="0" w:space="0" w:color="auto"/>
        <w:right w:val="none" w:sz="0" w:space="0" w:color="auto"/>
      </w:divBdr>
    </w:div>
    <w:div w:id="214368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6</Pages>
  <Words>1421</Words>
  <Characters>8106</Characters>
  <Application>Microsoft Office Word</Application>
  <DocSecurity>0</DocSecurity>
  <Lines>67</Lines>
  <Paragraphs>19</Paragraphs>
  <ScaleCrop>false</ScaleCrop>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 海龙</dc:creator>
  <cp:keywords/>
  <dc:description/>
  <cp:lastModifiedBy>任 海龙</cp:lastModifiedBy>
  <cp:revision>467</cp:revision>
  <dcterms:created xsi:type="dcterms:W3CDTF">2023-02-16T02:00:00Z</dcterms:created>
  <dcterms:modified xsi:type="dcterms:W3CDTF">2023-05-14T08:04:00Z</dcterms:modified>
</cp:coreProperties>
</file>