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successRAR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lastRenderedPageBreak/>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lastRenderedPageBreak/>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lastRenderedPageBreak/>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w:t>
            </w:r>
            <w:r>
              <w:rPr>
                <w:rFonts w:eastAsiaTheme="minorEastAsia"/>
                <w:lang w:val="en-US" w:eastAsia="zh-CN"/>
              </w:rPr>
              <w:lastRenderedPageBreak/>
              <w:t>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lastRenderedPageBreak/>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lastRenderedPageBreak/>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lastRenderedPageBreak/>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lastRenderedPageBreak/>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lastRenderedPageBreak/>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lastRenderedPageBreak/>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lastRenderedPageBreak/>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lastRenderedPageBreak/>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lastRenderedPageBreak/>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lastRenderedPageBreak/>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lastRenderedPageBreak/>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lastRenderedPageBreak/>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lastRenderedPageBreak/>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t>
            </w:r>
            <w:r>
              <w:rPr>
                <w:rFonts w:eastAsiaTheme="minorEastAsia"/>
                <w:lang w:val="en-US" w:eastAsia="zh-CN"/>
              </w:rPr>
              <w:lastRenderedPageBreak/>
              <w:t xml:space="preserve">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lastRenderedPageBreak/>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lastRenderedPageBreak/>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lastRenderedPageBreak/>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pt;height:90.6pt" o:ole="">
                  <v:imagedata r:id="rId18" o:title=""/>
                </v:shape>
                <o:OLEObject Type="Embed" ProgID="Visio.Drawing.15" ShapeID="_x0000_i1025" DrawAspect="Content" ObjectID="_1743910298"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8pt;height:90.6pt" o:ole="">
                  <v:imagedata r:id="rId18" o:title=""/>
                </v:shape>
                <o:OLEObject Type="Embed" ProgID="Visio.Drawing.15" ShapeID="_x0000_i1026" DrawAspect="Content" ObjectID="_1743910299"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lastRenderedPageBreak/>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lastRenderedPageBreak/>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lastRenderedPageBreak/>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lastRenderedPageBreak/>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lastRenderedPageBreak/>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MsgB as Msg2 and need to change the proposal. We prefer the option 2 for maximizing gNB scheduling flexibility, which seems </w:t>
            </w:r>
            <w:r>
              <w:rPr>
                <w:rFonts w:eastAsiaTheme="minorEastAsia"/>
                <w:lang w:val="en-US" w:eastAsia="zh-CN"/>
              </w:rPr>
              <w:lastRenderedPageBreak/>
              <w:t>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lastRenderedPageBreak/>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lastRenderedPageBreak/>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lastRenderedPageBreak/>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lastRenderedPageBreak/>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lastRenderedPageBreak/>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lastRenderedPageBreak/>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"10" to specification language, it will be similarly difficult to translate another number. So, we are </w:t>
            </w:r>
            <w:r>
              <w:rPr>
                <w:rFonts w:eastAsia="Yu Mincho"/>
                <w:lang w:val="en-US" w:eastAsia="ja-JP"/>
              </w:rPr>
              <w:lastRenderedPageBreak/>
              <w:t>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w:t>
            </w:r>
            <w:r>
              <w:rPr>
                <w:rFonts w:eastAsia="SimSun" w:hint="eastAsia"/>
                <w:lang w:val="en-US" w:eastAsia="zh-CN"/>
              </w:rPr>
              <w:lastRenderedPageBreak/>
              <w:t>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hint="eastAsia"/>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hint="eastAsia"/>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hint="eastAsia"/>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bl>
    <w:p w14:paraId="336E79B0" w14:textId="77777777" w:rsidR="00DD6239"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lastRenderedPageBreak/>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lastRenderedPageBreak/>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lastRenderedPageBreak/>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w:t>
            </w:r>
            <w:r>
              <w:rPr>
                <w:rFonts w:eastAsiaTheme="minorEastAsia"/>
                <w:lang w:val="en-US" w:eastAsia="zh-CN"/>
              </w:rPr>
              <w:lastRenderedPageBreak/>
              <w:t xml:space="preserve">“&gt;=”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lastRenderedPageBreak/>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eRedCap, given that the number of UEs is expected to be largely increased if NW accommodate both Rel-17 and Rel-18 RedCap, we have a concern on capacity on </w:t>
            </w:r>
            <w:r>
              <w:rPr>
                <w:rFonts w:eastAsia="Yu Mincho"/>
                <w:szCs w:val="22"/>
                <w:lang w:val="en-US" w:eastAsia="ja-JP"/>
              </w:rPr>
              <w:lastRenderedPageBreak/>
              <w:t>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lastRenderedPageBreak/>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626CCC">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626CCC">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626CCC">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626CCC">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626CCC">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626CCC">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626CCC">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626CCC">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626CCC">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626CCC">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626CCC">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626CCC">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626CCC">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626CCC">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626CCC">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626CCC">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626CCC">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626CCC">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626CCC">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lastRenderedPageBreak/>
              <w:t>[20]</w:t>
            </w:r>
          </w:p>
        </w:tc>
        <w:tc>
          <w:tcPr>
            <w:tcW w:w="1456" w:type="dxa"/>
            <w:tcMar>
              <w:top w:w="0" w:type="dxa"/>
              <w:left w:w="70" w:type="dxa"/>
              <w:bottom w:w="0" w:type="dxa"/>
              <w:right w:w="70" w:type="dxa"/>
            </w:tcMar>
          </w:tcPr>
          <w:p w14:paraId="165789B6" w14:textId="77777777" w:rsidR="00DD6239" w:rsidRDefault="00626CCC">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626CCC">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626CCC">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626CCC">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626CCC">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626CCC">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626CCC">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626CCC">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626CCC">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626CCC">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626CCC">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626CCC">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626CCC">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626CCC">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626CCC">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626CCC">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626CCC">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626CCC">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626CCC">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626CCC">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626CCC">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626CCC">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626CCC">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2AC6" w14:textId="77777777" w:rsidR="00AE0EEB" w:rsidRDefault="00AE0EEB">
      <w:pPr>
        <w:spacing w:line="240" w:lineRule="auto"/>
      </w:pPr>
      <w:r>
        <w:separator/>
      </w:r>
    </w:p>
  </w:endnote>
  <w:endnote w:type="continuationSeparator" w:id="0">
    <w:p w14:paraId="58045988" w14:textId="77777777" w:rsidR="00AE0EEB" w:rsidRDefault="00AE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1410" w14:textId="77777777" w:rsidR="00AE0EEB" w:rsidRDefault="00AE0EEB">
      <w:pPr>
        <w:spacing w:after="0" w:line="240" w:lineRule="auto"/>
      </w:pPr>
      <w:r>
        <w:separator/>
      </w:r>
    </w:p>
  </w:footnote>
  <w:footnote w:type="continuationSeparator" w:id="0">
    <w:p w14:paraId="4E7D518B" w14:textId="77777777" w:rsidR="00AE0EEB" w:rsidRDefault="00AE0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63976243">
    <w:abstractNumId w:val="20"/>
  </w:num>
  <w:num w:numId="2" w16cid:durableId="1498227761">
    <w:abstractNumId w:val="3"/>
  </w:num>
  <w:num w:numId="3" w16cid:durableId="981274374">
    <w:abstractNumId w:val="2"/>
  </w:num>
  <w:num w:numId="4" w16cid:durableId="305865035">
    <w:abstractNumId w:val="25"/>
  </w:num>
  <w:num w:numId="5" w16cid:durableId="498079430">
    <w:abstractNumId w:val="33"/>
    <w:lvlOverride w:ilvl="0">
      <w:startOverride w:val="1"/>
    </w:lvlOverride>
  </w:num>
  <w:num w:numId="6" w16cid:durableId="881406317">
    <w:abstractNumId w:val="34"/>
  </w:num>
  <w:num w:numId="7" w16cid:durableId="689914854">
    <w:abstractNumId w:val="48"/>
  </w:num>
  <w:num w:numId="8" w16cid:durableId="1206790187">
    <w:abstractNumId w:val="63"/>
  </w:num>
  <w:num w:numId="9" w16cid:durableId="789937446">
    <w:abstractNumId w:val="68"/>
  </w:num>
  <w:num w:numId="10" w16cid:durableId="1822964775">
    <w:abstractNumId w:val="50"/>
  </w:num>
  <w:num w:numId="11" w16cid:durableId="1368217319">
    <w:abstractNumId w:val="27"/>
  </w:num>
  <w:num w:numId="12" w16cid:durableId="780076298">
    <w:abstractNumId w:val="39"/>
  </w:num>
  <w:num w:numId="13" w16cid:durableId="1759709632">
    <w:abstractNumId w:val="21"/>
  </w:num>
  <w:num w:numId="14" w16cid:durableId="539048582">
    <w:abstractNumId w:val="55"/>
  </w:num>
  <w:num w:numId="15" w16cid:durableId="688995285">
    <w:abstractNumId w:val="6"/>
  </w:num>
  <w:num w:numId="16" w16cid:durableId="1782846175">
    <w:abstractNumId w:val="24"/>
  </w:num>
  <w:num w:numId="17" w16cid:durableId="1040743858">
    <w:abstractNumId w:val="12"/>
  </w:num>
  <w:num w:numId="18" w16cid:durableId="1203977653">
    <w:abstractNumId w:val="23"/>
  </w:num>
  <w:num w:numId="19" w16cid:durableId="1721172864">
    <w:abstractNumId w:val="56"/>
  </w:num>
  <w:num w:numId="20" w16cid:durableId="1864324231">
    <w:abstractNumId w:val="49"/>
  </w:num>
  <w:num w:numId="21" w16cid:durableId="1628511554">
    <w:abstractNumId w:val="58"/>
  </w:num>
  <w:num w:numId="22" w16cid:durableId="376667486">
    <w:abstractNumId w:val="40"/>
  </w:num>
  <w:num w:numId="23" w16cid:durableId="1546916808">
    <w:abstractNumId w:val="4"/>
  </w:num>
  <w:num w:numId="24" w16cid:durableId="45373642">
    <w:abstractNumId w:val="54"/>
  </w:num>
  <w:num w:numId="25" w16cid:durableId="411467679">
    <w:abstractNumId w:val="57"/>
  </w:num>
  <w:num w:numId="26" w16cid:durableId="373507376">
    <w:abstractNumId w:val="45"/>
  </w:num>
  <w:num w:numId="27" w16cid:durableId="498351474">
    <w:abstractNumId w:val="41"/>
  </w:num>
  <w:num w:numId="28" w16cid:durableId="265626727">
    <w:abstractNumId w:val="66"/>
  </w:num>
  <w:num w:numId="29" w16cid:durableId="1269000229">
    <w:abstractNumId w:val="11"/>
  </w:num>
  <w:num w:numId="30" w16cid:durableId="560092501">
    <w:abstractNumId w:val="1"/>
  </w:num>
  <w:num w:numId="31" w16cid:durableId="1719431613">
    <w:abstractNumId w:val="42"/>
  </w:num>
  <w:num w:numId="32" w16cid:durableId="876968035">
    <w:abstractNumId w:val="15"/>
  </w:num>
  <w:num w:numId="33" w16cid:durableId="748692960">
    <w:abstractNumId w:val="61"/>
  </w:num>
  <w:num w:numId="34" w16cid:durableId="1218392449">
    <w:abstractNumId w:val="22"/>
  </w:num>
  <w:num w:numId="35" w16cid:durableId="1440947465">
    <w:abstractNumId w:val="28"/>
  </w:num>
  <w:num w:numId="36" w16cid:durableId="1287345923">
    <w:abstractNumId w:val="46"/>
  </w:num>
  <w:num w:numId="37" w16cid:durableId="897089093">
    <w:abstractNumId w:val="64"/>
  </w:num>
  <w:num w:numId="38" w16cid:durableId="1359814969">
    <w:abstractNumId w:val="31"/>
  </w:num>
  <w:num w:numId="39" w16cid:durableId="1898782272">
    <w:abstractNumId w:val="47"/>
  </w:num>
  <w:num w:numId="40" w16cid:durableId="664893188">
    <w:abstractNumId w:val="8"/>
  </w:num>
  <w:num w:numId="41" w16cid:durableId="1222593992">
    <w:abstractNumId w:val="13"/>
  </w:num>
  <w:num w:numId="42" w16cid:durableId="7682493">
    <w:abstractNumId w:val="52"/>
  </w:num>
  <w:num w:numId="43" w16cid:durableId="698697936">
    <w:abstractNumId w:val="70"/>
  </w:num>
  <w:num w:numId="44" w16cid:durableId="269053667">
    <w:abstractNumId w:val="69"/>
  </w:num>
  <w:num w:numId="45" w16cid:durableId="2037271210">
    <w:abstractNumId w:val="60"/>
  </w:num>
  <w:num w:numId="46" w16cid:durableId="261686253">
    <w:abstractNumId w:val="5"/>
  </w:num>
  <w:num w:numId="47" w16cid:durableId="98840249">
    <w:abstractNumId w:val="59"/>
  </w:num>
  <w:num w:numId="48" w16cid:durableId="1602377869">
    <w:abstractNumId w:val="19"/>
  </w:num>
  <w:num w:numId="49" w16cid:durableId="1672296357">
    <w:abstractNumId w:val="9"/>
  </w:num>
  <w:num w:numId="50" w16cid:durableId="517738350">
    <w:abstractNumId w:val="67"/>
  </w:num>
  <w:num w:numId="51" w16cid:durableId="1514682291">
    <w:abstractNumId w:val="26"/>
  </w:num>
  <w:num w:numId="52" w16cid:durableId="1534031761">
    <w:abstractNumId w:val="29"/>
  </w:num>
  <w:num w:numId="53" w16cid:durableId="953711520">
    <w:abstractNumId w:val="51"/>
  </w:num>
  <w:num w:numId="54" w16cid:durableId="292758343">
    <w:abstractNumId w:val="38"/>
  </w:num>
  <w:num w:numId="55" w16cid:durableId="1904019701">
    <w:abstractNumId w:val="44"/>
  </w:num>
  <w:num w:numId="56" w16cid:durableId="444617817">
    <w:abstractNumId w:val="17"/>
  </w:num>
  <w:num w:numId="57" w16cid:durableId="1892693197">
    <w:abstractNumId w:val="62"/>
  </w:num>
  <w:num w:numId="58" w16cid:durableId="205223533">
    <w:abstractNumId w:val="30"/>
  </w:num>
  <w:num w:numId="59" w16cid:durableId="1143158000">
    <w:abstractNumId w:val="37"/>
  </w:num>
  <w:num w:numId="60" w16cid:durableId="447241155">
    <w:abstractNumId w:val="10"/>
  </w:num>
  <w:num w:numId="61" w16cid:durableId="1278953472">
    <w:abstractNumId w:val="18"/>
  </w:num>
  <w:num w:numId="62" w16cid:durableId="1722561145">
    <w:abstractNumId w:val="35"/>
  </w:num>
  <w:num w:numId="63" w16cid:durableId="1675647970">
    <w:abstractNumId w:val="32"/>
  </w:num>
  <w:num w:numId="64" w16cid:durableId="64649215">
    <w:abstractNumId w:val="0"/>
  </w:num>
  <w:num w:numId="65" w16cid:durableId="1335231555">
    <w:abstractNumId w:val="71"/>
  </w:num>
  <w:num w:numId="66" w16cid:durableId="330374838">
    <w:abstractNumId w:val="43"/>
  </w:num>
  <w:num w:numId="67" w16cid:durableId="380441293">
    <w:abstractNumId w:val="36"/>
  </w:num>
  <w:num w:numId="68" w16cid:durableId="676928581">
    <w:abstractNumId w:val="7"/>
  </w:num>
  <w:num w:numId="69" w16cid:durableId="643001974">
    <w:abstractNumId w:val="65"/>
  </w:num>
  <w:num w:numId="70" w16cid:durableId="685062238">
    <w:abstractNumId w:val="14"/>
  </w:num>
  <w:num w:numId="71" w16cid:durableId="345375311">
    <w:abstractNumId w:val="53"/>
  </w:num>
  <w:num w:numId="72" w16cid:durableId="1382946498">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106</Pages>
  <Words>41105</Words>
  <Characters>234303</Characters>
  <Application>Microsoft Office Word</Application>
  <DocSecurity>0</DocSecurity>
  <Lines>1952</Lines>
  <Paragraphs>549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15</cp:revision>
  <dcterms:created xsi:type="dcterms:W3CDTF">2023-04-25T11:25:00Z</dcterms:created>
  <dcterms:modified xsi:type="dcterms:W3CDTF">2023-04-25T11:45:00Z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