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86CBD">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ListParagraph"/>
              <w:numPr>
                <w:ilvl w:val="0"/>
                <w:numId w:val="63"/>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ListParagraph"/>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86CBD">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86CBD">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lastRenderedPageBreak/>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w:t>
            </w:r>
            <w:r w:rsidRPr="00FC303A">
              <w:rPr>
                <w:sz w:val="22"/>
                <w:szCs w:val="18"/>
              </w:rPr>
              <w:lastRenderedPageBreak/>
              <w:t xml:space="preserve">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w:t>
            </w:r>
            <w:r w:rsidRPr="00C853F1">
              <w:rPr>
                <w:rFonts w:eastAsia="Calibri"/>
                <w:sz w:val="20"/>
                <w:lang w:val="en-US" w:eastAsia="en-US"/>
              </w:rPr>
              <w:lastRenderedPageBreak/>
              <w:t xml:space="preserve">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w:t>
                  </w:r>
                  <w:r w:rsidRPr="001A760E">
                    <w:rPr>
                      <w:sz w:val="22"/>
                      <w:lang w:val="en-US"/>
                    </w:rPr>
                    <w:lastRenderedPageBreak/>
                    <w:t xml:space="preserve">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新細明體" w:hAnsi="Calibri" w:cs="Calibri"/>
                      <w:sz w:val="22"/>
                      <w:szCs w:val="22"/>
                      <w:lang w:val="en-US" w:eastAsia="zh-TW"/>
                    </w:rPr>
                  </w:pPr>
                  <w:r w:rsidRPr="008A6642">
                    <w:rPr>
                      <w:rFonts w:ascii="Calibri" w:eastAsia="新細明體"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新細明體"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新細明體"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lastRenderedPageBreak/>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86CBD">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86CBD">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Overall we do not consider this critical enough to justify it as a Rel-18 TEI.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lastRenderedPageBreak/>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lastRenderedPageBreak/>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lastRenderedPageBreak/>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lastRenderedPageBreak/>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新細明體" w:hAnsi="Calibri" w:cs="Calibri"/>
                      <w:sz w:val="22"/>
                      <w:szCs w:val="22"/>
                      <w:lang w:val="en-US" w:eastAsia="zh-TW"/>
                    </w:rPr>
                    <w:t>We do not support this proposal. The UE implementation-specific approach to Tx antenna switching works well in our understanding,</w:t>
                  </w:r>
                  <w:r>
                    <w:rPr>
                      <w:rFonts w:ascii="Calibri" w:eastAsia="新細明體" w:hAnsi="Calibri" w:cs="Calibri"/>
                      <w:sz w:val="22"/>
                      <w:szCs w:val="22"/>
                      <w:lang w:val="en-US" w:eastAsia="zh-TW"/>
                    </w:rPr>
                    <w:t xml:space="preserve"> </w:t>
                  </w:r>
                  <w:r w:rsidRPr="00771457">
                    <w:rPr>
                      <w:rFonts w:ascii="Calibri" w:eastAsia="新細明體"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新細明體"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w:t>
                  </w:r>
                  <w:r>
                    <w:rPr>
                      <w:rFonts w:eastAsiaTheme="minorEastAsia"/>
                      <w:sz w:val="22"/>
                      <w:lang w:val="en-US" w:eastAsia="zh-CN"/>
                    </w:rPr>
                    <w:lastRenderedPageBreak/>
                    <w:t>(corresponding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86CBD">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86CBD">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pt;height:10pt;mso-width-percent:0;mso-height-percent:0;mso-width-percent:0;mso-height-percent:0" o:ole="">
                        <v:imagedata r:id="rId18" o:title=""/>
                      </v:shape>
                      <o:OLEObject Type="Embed" ProgID="Equation.3" ShapeID="_x0000_i1025" DrawAspect="Content" ObjectID="_1743370786"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10pt;height:10pt;mso-width-percent:0;mso-height-percent:0;mso-width-percent:0;mso-height-percent:0" o:ole="">
                        <v:imagedata r:id="rId18" o:title=""/>
                      </v:shape>
                      <o:OLEObject Type="Embed" ProgID="Equation.3" ShapeID="_x0000_i1026" DrawAspect="Content" ObjectID="_1743370787"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10pt;height:10pt;mso-width-percent:0;mso-height-percent:0;mso-width-percent:0;mso-height-percent:0" o:ole="">
                        <v:imagedata r:id="rId18" o:title=""/>
                      </v:shape>
                      <o:OLEObject Type="Embed" ProgID="Equation.3" ShapeID="_x0000_i1027" DrawAspect="Content" ObjectID="_1743370788"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10pt;height:10pt;mso-width-percent:0;mso-height-percent:0;mso-width-percent:0;mso-height-percent:0" o:ole="">
                        <v:imagedata r:id="rId18" o:title=""/>
                      </v:shape>
                      <o:OLEObject Type="Embed" ProgID="Equation.3" ShapeID="_x0000_i1028" DrawAspect="Content" ObjectID="_1743370789"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86CBD">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86CBD">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Also it would seem to require </w:t>
            </w:r>
            <w:r>
              <w:rPr>
                <w:sz w:val="22"/>
                <w:lang w:val="en-US"/>
              </w:rPr>
              <w:lastRenderedPageBreak/>
              <w:t>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5pt;height:14.5pt;mso-width-percent:0;mso-height-percent:0;mso-width-percent:0;mso-height-percent:0" o:ole="">
                        <v:imagedata r:id="rId23" o:title=""/>
                      </v:shape>
                      <o:OLEObject Type="Embed" ProgID="Equation.3" ShapeID="_x0000_i1029" DrawAspect="Content" ObjectID="_1743370790"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5pt;height:14.5pt;mso-width-percent:0;mso-height-percent:0;mso-width-percent:0;mso-height-percent:0" o:ole="">
                        <v:imagedata r:id="rId25" o:title=""/>
                      </v:shape>
                      <o:OLEObject Type="Embed" ProgID="Equation.3" ShapeID="_x0000_i1030" DrawAspect="Content" ObjectID="_1743370791"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4pt;height:14.5pt;mso-width-percent:0;mso-height-percent:0;mso-width-percent:0;mso-height-percent:0" o:ole="">
                        <v:imagedata r:id="rId27" o:title=""/>
                      </v:shape>
                      <o:OLEObject Type="Embed" ProgID="Equation.3" ShapeID="_x0000_i1031" DrawAspect="Content" ObjectID="_1743370792"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5pt;height:14.5pt;mso-width-percent:0;mso-height-percent:0;mso-width-percent:0;mso-height-percent:0" o:ole="">
                        <v:imagedata r:id="rId29" o:title=""/>
                      </v:shape>
                      <o:OLEObject Type="Embed" ProgID="Equation.3" ShapeID="_x0000_i1032" DrawAspect="Content" ObjectID="_1743370793"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pt;height:14.5pt;mso-width-percent:0;mso-height-percent:0;mso-width-percent:0;mso-height-percent:0" o:ole="">
                        <v:imagedata r:id="rId31" o:title=""/>
                      </v:shape>
                      <o:OLEObject Type="Embed" ProgID="Equation.3" ShapeID="_x0000_i1033" DrawAspect="Content" ObjectID="_1743370794"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5pt;height:14.5pt;mso-width-percent:0;mso-height-percent:0;mso-width-percent:0;mso-height-percent:0" o:ole="">
                        <v:imagedata r:id="rId33" o:title=""/>
                      </v:shape>
                      <o:OLEObject Type="Embed" ProgID="Equation.3" ShapeID="_x0000_i1034" DrawAspect="Content" ObjectID="_1743370795"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5pt;height:14.5pt;mso-width-percent:0;mso-height-percent:0;mso-width-percent:0;mso-height-percent:0" o:ole="">
                        <v:imagedata r:id="rId35" o:title=""/>
                      </v:shape>
                      <o:OLEObject Type="Embed" ProgID="Equation.3" ShapeID="_x0000_i1035" DrawAspect="Content" ObjectID="_1743370796"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pt;height:14.5pt;mso-width-percent:0;mso-height-percent:0;mso-width-percent:0;mso-height-percent:0" o:ole="">
                        <v:imagedata r:id="rId37" o:title=""/>
                      </v:shape>
                      <o:OLEObject Type="Embed" ProgID="Equation.3" ShapeID="_x0000_i1036" DrawAspect="Content" ObjectID="_1743370797"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pt;height:14.5pt;mso-width-percent:0;mso-height-percent:0;mso-width-percent:0;mso-height-percent:0" o:ole="">
                        <v:imagedata r:id="rId39" o:title=""/>
                      </v:shape>
                      <o:OLEObject Type="Embed" ProgID="Equation.3" ShapeID="_x0000_i1037" DrawAspect="Content" ObjectID="_1743370798"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pt;height:14.5pt;mso-width-percent:0;mso-height-percent:0;mso-width-percent:0;mso-height-percent:0" o:ole="">
                        <v:imagedata r:id="rId41" o:title=""/>
                      </v:shape>
                      <o:OLEObject Type="Embed" ProgID="Equation.3" ShapeID="_x0000_i1038" DrawAspect="Content" ObjectID="_1743370799"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lastRenderedPageBreak/>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 xml:space="preserve">@DOCOMO, CATT, ZTE: We specifically see this beneficial for the (fairly typical) case where we have a limited number of UEs in RRC connected. If the feature gains support in Rel-18 UEs, then in those cases when new UEs are the ones active we can use the new pattern. It </w:t>
                  </w:r>
                  <w:r w:rsidRPr="00D73D4F">
                    <w:rPr>
                      <w:sz w:val="22"/>
                      <w:lang w:val="en-US"/>
                    </w:rPr>
                    <w:lastRenderedPageBreak/>
                    <w:t>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lastRenderedPageBreak/>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86CBD">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86CBD">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w:t>
            </w:r>
            <w:r w:rsidRPr="005873CC">
              <w:rPr>
                <w:rFonts w:asciiTheme="majorBidi" w:hAnsiTheme="majorBidi" w:cstheme="majorBidi"/>
                <w:bCs/>
                <w:sz w:val="22"/>
                <w:szCs w:val="22"/>
              </w:rPr>
              <w:lastRenderedPageBreak/>
              <w:t>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lastRenderedPageBreak/>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w:t>
                  </w:r>
                  <w:r>
                    <w:rPr>
                      <w:sz w:val="22"/>
                      <w:lang w:val="en-US"/>
                    </w:rPr>
                    <w:lastRenderedPageBreak/>
                    <w:t>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lastRenderedPageBreak/>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86CBD">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86CBD">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xml:space="preserve">: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w:t>
            </w:r>
            <w:r w:rsidRPr="005D716D">
              <w:rPr>
                <w:sz w:val="18"/>
                <w:szCs w:val="18"/>
              </w:rPr>
              <w:lastRenderedPageBreak/>
              <w:t>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lastRenderedPageBreak/>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lastRenderedPageBreak/>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86CBD">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86CBD">
        <w:tc>
          <w:tcPr>
            <w:tcW w:w="1693" w:type="dxa"/>
          </w:tcPr>
          <w:p w14:paraId="456D3F92" w14:textId="70CD9F9F" w:rsidR="005A0106" w:rsidRDefault="00190E5E" w:rsidP="005A0106">
            <w:pPr>
              <w:spacing w:afterLines="50" w:after="120"/>
              <w:jc w:val="both"/>
              <w:rPr>
                <w:rFonts w:eastAsiaTheme="minorEastAsia" w:hint="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新細明體" w:hint="eastAsia"/>
                <w:sz w:val="22"/>
                <w:lang w:val="en-US" w:eastAsia="zh-TW"/>
              </w:rPr>
              <w:t>N</w:t>
            </w:r>
            <w:r>
              <w:rPr>
                <w:rFonts w:eastAsia="新細明體"/>
                <w:sz w:val="22"/>
                <w:lang w:val="en-US" w:eastAsia="zh-TW"/>
              </w:rPr>
              <w:t xml:space="preserve"> for 1</w:t>
            </w:r>
            <w:r w:rsidRPr="00D1110C">
              <w:rPr>
                <w:rFonts w:eastAsia="新細明體"/>
                <w:sz w:val="22"/>
                <w:vertAlign w:val="superscript"/>
                <w:lang w:val="en-US" w:eastAsia="zh-TW"/>
              </w:rPr>
              <w:t>st</w:t>
            </w:r>
            <w:r>
              <w:rPr>
                <w:rFonts w:eastAsia="新細明體"/>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and  SR resources need to be re-aligned; we are open to further discuss the details.</w:t>
            </w:r>
            <w:r>
              <w:rPr>
                <w:rFonts w:eastAsia="Malgun Gothic"/>
                <w:sz w:val="22"/>
                <w:lang w:val="en-US" w:eastAsia="ko-KR"/>
              </w:rPr>
              <w:t xml:space="preserve"> </w:t>
            </w:r>
            <w:r>
              <w:rPr>
                <w:rFonts w:eastAsia="Malgun Gothic"/>
                <w:sz w:val="22"/>
                <w:lang w:val="en-US" w:eastAsia="ko-KR"/>
              </w:rPr>
              <w:lastRenderedPageBreak/>
              <w:t xml:space="preserve">Yet, we share a similar concern with Huawei whether the scope of this proposal can fit into TEI. </w:t>
            </w:r>
            <w:r>
              <w:rPr>
                <w:rFonts w:ascii="新細明體" w:eastAsia="新細明體" w:hAnsi="新細明體" w:hint="eastAsia"/>
                <w:sz w:val="22"/>
                <w:lang w:val="en-US" w:eastAsia="zh-TW"/>
              </w:rPr>
              <w:t xml:space="preserv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PCMAX,f,c</w:t>
                  </w:r>
                  <w:proofErr w:type="spellEnd"/>
                  <w:r w:rsidRPr="001C27DF">
                    <w:rPr>
                      <w:sz w:val="22"/>
                      <w:szCs w:val="18"/>
                    </w:rPr>
                    <w:t xml:space="preserve"> for carrier f of 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w:t>
            </w:r>
            <w:r w:rsidRPr="001C27DF">
              <w:rPr>
                <w:sz w:val="22"/>
                <w:szCs w:val="18"/>
              </w:rPr>
              <w:lastRenderedPageBreak/>
              <w:t xml:space="preserve">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pt;height:216.5pt;mso-width-percent:0;mso-height-percent:0;mso-width-percent:0;mso-height-percent:0" o:ole="">
                  <v:imagedata r:id="rId46" o:title=""/>
                </v:shape>
                <o:OLEObject Type="Embed" ProgID="Visio.Drawing.11" ShapeID="_x0000_i1039" DrawAspect="Content" ObjectID="_1743370800"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86CBD">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lastRenderedPageBreak/>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gNB intends to allocate more resources, </w:t>
            </w:r>
            <w:r w:rsidRPr="00EE05BC">
              <w:rPr>
                <w:sz w:val="22"/>
                <w:szCs w:val="18"/>
              </w:rPr>
              <w:lastRenderedPageBreak/>
              <w:t>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w:t>
            </w:r>
            <w:r w:rsidRPr="00616CF7">
              <w:rPr>
                <w:sz w:val="22"/>
                <w:szCs w:val="18"/>
              </w:rPr>
              <w:lastRenderedPageBreak/>
              <w:t xml:space="preserve">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 xml:space="preserve">An RRC parameter to configure the function of scheduling PDSCH after a UL DCI format and multiplexing associated </w:t>
                  </w:r>
                  <w:r w:rsidRPr="00E348C8">
                    <w:rPr>
                      <w:b/>
                      <w:sz w:val="22"/>
                      <w:szCs w:val="22"/>
                    </w:rPr>
                    <w:lastRenderedPageBreak/>
                    <w:t>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lastRenderedPageBreak/>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D90840">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686CBD">
        <w:tc>
          <w:tcPr>
            <w:tcW w:w="1693"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12"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lastRenderedPageBreak/>
              <w:t>Is the proposal only for the repetitions other than the first repetition?</w:t>
            </w:r>
          </w:p>
          <w:p w14:paraId="0B4C4895"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C5183B">
            <w:pPr>
              <w:pStyle w:val="ListParagraph"/>
              <w:numPr>
                <w:ilvl w:val="0"/>
                <w:numId w:val="64"/>
              </w:numPr>
              <w:ind w:leftChars="0" w:left="454" w:hanging="227"/>
              <w:jc w:val="both"/>
              <w:rPr>
                <w:b/>
                <w:i/>
                <w:sz w:val="22"/>
                <w:szCs w:val="22"/>
              </w:rPr>
            </w:pPr>
            <w:r w:rsidRPr="00CC2DA9">
              <w:rPr>
                <w:rFonts w:eastAsiaTheme="minorEastAsia"/>
                <w:sz w:val="22"/>
                <w:szCs w:val="22"/>
              </w:rPr>
              <w:t xml:space="preserve">Our understanding is it’s up to </w:t>
            </w:r>
            <w:proofErr w:type="spellStart"/>
            <w:r w:rsidRPr="00CC2DA9">
              <w:rPr>
                <w:rFonts w:eastAsiaTheme="minorEastAsia"/>
                <w:sz w:val="22"/>
                <w:szCs w:val="22"/>
              </w:rPr>
              <w:t>gNB</w:t>
            </w:r>
            <w:proofErr w:type="spellEnd"/>
            <w:r w:rsidRPr="00CC2DA9">
              <w:rPr>
                <w:rFonts w:eastAsiaTheme="minorEastAsia"/>
                <w:sz w:val="22"/>
                <w:szCs w:val="22"/>
              </w:rPr>
              <w:t xml:space="preserve">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w:t>
            </w:r>
            <w:proofErr w:type="spellStart"/>
            <w:r w:rsidRPr="00CC2DA9">
              <w:rPr>
                <w:rFonts w:eastAsiaTheme="minorEastAsia"/>
                <w:sz w:val="22"/>
                <w:szCs w:val="22"/>
              </w:rPr>
              <w:t>gNB</w:t>
            </w:r>
            <w:proofErr w:type="spellEnd"/>
            <w:r w:rsidRPr="00CC2DA9">
              <w:rPr>
                <w:rFonts w:eastAsiaTheme="minorEastAsia"/>
                <w:sz w:val="22"/>
                <w:szCs w:val="22"/>
              </w:rPr>
              <w:t xml:space="preserve">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C5183B">
            <w:pPr>
              <w:pStyle w:val="ListParagraph"/>
              <w:numPr>
                <w:ilvl w:val="1"/>
                <w:numId w:val="64"/>
              </w:numPr>
              <w:ind w:leftChars="0"/>
              <w:jc w:val="both"/>
              <w:rPr>
                <w:b/>
                <w:i/>
                <w:sz w:val="22"/>
                <w:szCs w:val="22"/>
              </w:rPr>
            </w:pPr>
            <w:r w:rsidRPr="00CC2DA9">
              <w:rPr>
                <w:rFonts w:eastAsiaTheme="minorEastAsia"/>
                <w:sz w:val="22"/>
                <w:szCs w:val="22"/>
              </w:rPr>
              <w:t xml:space="preserve">In case </w:t>
            </w:r>
            <w:proofErr w:type="spellStart"/>
            <w:r w:rsidRPr="00CC2DA9">
              <w:rPr>
                <w:rFonts w:eastAsiaTheme="minorEastAsia"/>
                <w:sz w:val="22"/>
                <w:szCs w:val="22"/>
              </w:rPr>
              <w:t>gNB</w:t>
            </w:r>
            <w:proofErr w:type="spellEnd"/>
            <w:r w:rsidRPr="00CC2DA9">
              <w:rPr>
                <w:rFonts w:eastAsiaTheme="minorEastAsia"/>
                <w:sz w:val="22"/>
                <w:szCs w:val="22"/>
              </w:rPr>
              <w:t xml:space="preserve">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686CBD">
        <w:tc>
          <w:tcPr>
            <w:tcW w:w="1693" w:type="dxa"/>
          </w:tcPr>
          <w:p w14:paraId="116BB78E" w14:textId="77777777" w:rsidR="00A17CA6" w:rsidRDefault="00A17CA6" w:rsidP="00C5183B">
            <w:pPr>
              <w:spacing w:afterLines="50" w:after="120"/>
              <w:jc w:val="both"/>
              <w:rPr>
                <w:rFonts w:eastAsiaTheme="minorEastAsia" w:hint="eastAsia"/>
                <w:sz w:val="22"/>
                <w:lang w:val="en-US" w:eastAsia="zh-CN"/>
              </w:rPr>
            </w:pPr>
          </w:p>
        </w:tc>
        <w:tc>
          <w:tcPr>
            <w:tcW w:w="1023" w:type="dxa"/>
          </w:tcPr>
          <w:p w14:paraId="6C6D7E27" w14:textId="77777777" w:rsidR="00A17CA6" w:rsidRDefault="00A17CA6" w:rsidP="00C5183B">
            <w:pPr>
              <w:spacing w:afterLines="50" w:after="120"/>
              <w:jc w:val="both"/>
              <w:rPr>
                <w:rFonts w:eastAsiaTheme="minorEastAsia"/>
                <w:sz w:val="22"/>
                <w:lang w:val="en-US" w:eastAsia="zh-CN"/>
              </w:rPr>
            </w:pPr>
          </w:p>
        </w:tc>
        <w:tc>
          <w:tcPr>
            <w:tcW w:w="6912" w:type="dxa"/>
          </w:tcPr>
          <w:p w14:paraId="3F8D8784" w14:textId="77777777" w:rsidR="00A17CA6" w:rsidRDefault="00A17CA6" w:rsidP="00C5183B">
            <w:pPr>
              <w:rPr>
                <w:sz w:val="22"/>
                <w:szCs w:val="22"/>
              </w:rPr>
            </w:pP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lastRenderedPageBreak/>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lastRenderedPageBreak/>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D52E07">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w:t>
            </w:r>
            <w:proofErr w:type="spellStart"/>
            <w:r>
              <w:rPr>
                <w:rFonts w:eastAsia="SimSun" w:hint="eastAsia"/>
                <w:sz w:val="22"/>
                <w:lang w:val="en-US" w:eastAsia="zh-CN"/>
              </w:rPr>
              <w:t>mesurement</w:t>
            </w:r>
            <w:proofErr w:type="spellEnd"/>
            <w:r>
              <w:rPr>
                <w:rFonts w:eastAsia="SimSun" w:hint="eastAsia"/>
                <w:sz w:val="22"/>
                <w:lang w:val="en-US" w:eastAsia="zh-CN"/>
              </w:rPr>
              <w:t xml:space="preserve"> of RSRP is conditioned on UEA being a </w:t>
            </w:r>
            <w:r>
              <w:rPr>
                <w:rFonts w:eastAsia="SimSun" w:hint="eastAsia"/>
                <w:sz w:val="22"/>
                <w:lang w:val="en-US" w:eastAsia="zh-CN"/>
              </w:rPr>
              <w:lastRenderedPageBreak/>
              <w:t>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 xml:space="preserve">t think this change is essential. Moreover the additional exclusion is likely to </w:t>
            </w:r>
            <w:proofErr w:type="spellStart"/>
            <w:r>
              <w:rPr>
                <w:rFonts w:eastAsia="SimSun" w:hint="eastAsia"/>
                <w:sz w:val="22"/>
                <w:lang w:val="en-US" w:eastAsia="zh-CN"/>
              </w:rPr>
              <w:t>detoriorate</w:t>
            </w:r>
            <w:proofErr w:type="spellEnd"/>
            <w:r>
              <w:rPr>
                <w:rFonts w:eastAsia="SimSun" w:hint="eastAsia"/>
                <w:sz w:val="22"/>
                <w:lang w:val="en-US" w:eastAsia="zh-CN"/>
              </w:rPr>
              <w:t xml:space="preserv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lastRenderedPageBreak/>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lastRenderedPageBreak/>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lastRenderedPageBreak/>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D52E07">
        <w:tc>
          <w:tcPr>
            <w:tcW w:w="1693" w:type="dxa"/>
          </w:tcPr>
          <w:p w14:paraId="4D7E0F75" w14:textId="79512B43" w:rsidR="00A17CA6" w:rsidRDefault="00A17CA6" w:rsidP="00A17CA6">
            <w:pPr>
              <w:spacing w:afterLines="50" w:after="120"/>
              <w:jc w:val="both"/>
              <w:rPr>
                <w:rFonts w:eastAsia="Malgun Gothic" w:hint="eastAsia"/>
                <w:sz w:val="22"/>
                <w:lang w:val="en-US" w:eastAsia="ko-KR"/>
              </w:rPr>
            </w:pPr>
            <w:r>
              <w:rPr>
                <w:rFonts w:eastAsia="新細明體" w:hint="eastAsia"/>
                <w:sz w:val="22"/>
                <w:lang w:val="en-US" w:eastAsia="zh-TW"/>
              </w:rPr>
              <w:t>M</w:t>
            </w:r>
            <w:r>
              <w:rPr>
                <w:rFonts w:eastAsia="新細明體"/>
                <w:sz w:val="22"/>
                <w:lang w:val="en-US" w:eastAsia="zh-TW"/>
              </w:rPr>
              <w:t>ediaTek</w:t>
            </w:r>
          </w:p>
        </w:tc>
        <w:tc>
          <w:tcPr>
            <w:tcW w:w="1023" w:type="dxa"/>
          </w:tcPr>
          <w:p w14:paraId="7823E620" w14:textId="56BFA5F8" w:rsidR="00A17CA6" w:rsidRDefault="00A17CA6" w:rsidP="00A17CA6">
            <w:pPr>
              <w:spacing w:afterLines="50" w:after="120"/>
              <w:jc w:val="both"/>
              <w:rPr>
                <w:rFonts w:eastAsia="Malgun Gothic" w:hint="eastAsia"/>
                <w:sz w:val="22"/>
                <w:lang w:val="en-US" w:eastAsia="ko-KR"/>
              </w:rPr>
            </w:pPr>
            <w:r>
              <w:rPr>
                <w:rFonts w:eastAsia="新細明體" w:hint="eastAsia"/>
                <w:sz w:val="22"/>
                <w:lang w:val="en-US" w:eastAsia="zh-TW"/>
              </w:rPr>
              <w:t>N</w:t>
            </w:r>
            <w:r>
              <w:rPr>
                <w:rFonts w:eastAsia="新細明體"/>
                <w:sz w:val="22"/>
                <w:lang w:val="en-US" w:eastAsia="zh-TW"/>
              </w:rPr>
              <w:t xml:space="preserve"> (unless great gain shown for </w:t>
            </w:r>
            <w:r>
              <w:rPr>
                <w:rFonts w:eastAsia="新細明體"/>
                <w:sz w:val="22"/>
                <w:lang w:val="en-US" w:eastAsia="zh-TW"/>
              </w:rPr>
              <w:lastRenderedPageBreak/>
              <w:t>some application)</w:t>
            </w:r>
          </w:p>
        </w:tc>
        <w:tc>
          <w:tcPr>
            <w:tcW w:w="6912" w:type="dxa"/>
          </w:tcPr>
          <w:p w14:paraId="114F0006" w14:textId="77777777" w:rsidR="00A17CA6" w:rsidRDefault="00A17CA6" w:rsidP="00A17CA6">
            <w:pPr>
              <w:spacing w:afterLines="50" w:after="120"/>
              <w:jc w:val="both"/>
              <w:rPr>
                <w:rFonts w:eastAsia="新細明體"/>
                <w:sz w:val="22"/>
                <w:lang w:val="en-US" w:eastAsia="zh-TW"/>
              </w:rPr>
            </w:pPr>
            <w:r>
              <w:rPr>
                <w:rFonts w:eastAsia="新細明體"/>
                <w:sz w:val="22"/>
                <w:lang w:val="en-US" w:eastAsia="zh-TW"/>
              </w:rPr>
              <w:lastRenderedPageBreak/>
              <w:t>From</w:t>
            </w:r>
          </w:p>
          <w:p w14:paraId="1EC0B35C" w14:textId="77777777" w:rsidR="00A17CA6" w:rsidRPr="003E6DF2" w:rsidRDefault="00A17CA6" w:rsidP="00A17CA6">
            <w:pPr>
              <w:pStyle w:val="ListParagraph"/>
              <w:numPr>
                <w:ilvl w:val="0"/>
                <w:numId w:val="65"/>
              </w:numPr>
              <w:spacing w:before="120" w:after="120" w:line="276" w:lineRule="auto"/>
              <w:ind w:leftChars="0"/>
              <w:jc w:val="both"/>
              <w:rPr>
                <w:sz w:val="20"/>
              </w:rPr>
            </w:pPr>
            <w:r w:rsidRPr="003E6DF2">
              <w:rPr>
                <w:b/>
                <w:bCs/>
                <w:sz w:val="20"/>
              </w:rPr>
              <w:lastRenderedPageBreak/>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新細明體"/>
                <w:sz w:val="22"/>
                <w:lang w:eastAsia="zh-TW"/>
              </w:rPr>
              <w:t xml:space="preserve">The </w:t>
            </w:r>
            <w:r w:rsidRPr="003E6DF2">
              <w:rPr>
                <w:rFonts w:eastAsia="新細明體"/>
                <w:sz w:val="22"/>
                <w:szCs w:val="22"/>
                <w:lang w:eastAsia="zh-TW"/>
              </w:rPr>
              <w:t xml:space="preserve">TEI </w:t>
            </w:r>
            <w:proofErr w:type="spellStart"/>
            <w:r w:rsidRPr="003E6DF2">
              <w:rPr>
                <w:rFonts w:eastAsia="新細明體"/>
                <w:sz w:val="22"/>
                <w:szCs w:val="22"/>
                <w:lang w:eastAsia="zh-TW"/>
              </w:rPr>
              <w:t>requries</w:t>
            </w:r>
            <w:proofErr w:type="spellEnd"/>
            <w:r w:rsidRPr="003E6DF2">
              <w:rPr>
                <w:rFonts w:eastAsia="新細明體"/>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-Id mapped with sri-PUSCH-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sri-PUSCH-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5pt;height:15pt;mso-width-percent:0;mso-height-percent:0;mso-width-percent:0;mso-height-percent:0" o:ole="">
                        <v:imagedata r:id="rId63" o:title=""/>
                      </v:shape>
                      <o:OLEObject Type="Embed" ProgID="Equation.3" ShapeID="_x0000_i1040" DrawAspect="Content" ObjectID="_1743370801"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lastRenderedPageBreak/>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5pt;height:15pt;mso-width-percent:0;mso-height-percent:0;mso-width-percent:0;mso-height-percent:0" o:ole="">
                        <v:imagedata r:id="rId63" o:title=""/>
                      </v:shape>
                      <o:OLEObject Type="Embed" ProgID="Equation.3" ShapeID="_x0000_i1041" DrawAspect="Content" ObjectID="_1743370802"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1pt;mso-width-percent:0;mso-height-percent:0;mso-width-percent:0;mso-height-percent:0" o:ole="">
                        <v:imagedata r:id="rId66" o:title=""/>
                      </v:shape>
                      <o:OLEObject Type="Embed" ProgID="Equation.3" ShapeID="_x0000_i1042" DrawAspect="Content" ObjectID="_1743370803"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5pt;height:15pt;mso-width-percent:0;mso-height-percent:0;mso-width-percent:0;mso-height-percent:0" o:ole="">
                  <v:imagedata r:id="rId63" o:title=""/>
                </v:shape>
                <o:OLEObject Type="Embed" ProgID="Equation.3" ShapeID="_x0000_i1043" DrawAspect="Content" ObjectID="_1743370804"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5pt;height:15pt;mso-width-percent:0;mso-height-percent:0;mso-width-percent:0;mso-height-percent:0" o:ole="">
                  <v:imagedata r:id="rId63" o:title=""/>
                </v:shape>
                <o:OLEObject Type="Embed" ProgID="Equation.3" ShapeID="_x0000_i1044" DrawAspect="Content" ObjectID="_1743370805"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1pt;mso-width-percent:0;mso-height-percent:0;mso-width-percent:0;mso-height-percent:0" o:ole="">
                  <v:imagedata r:id="rId66" o:title=""/>
                </v:shape>
                <o:OLEObject Type="Embed" ProgID="Equation.3" ShapeID="_x0000_i1045" DrawAspect="Content" ObjectID="_1743370806"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lastRenderedPageBreak/>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D52E07">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A23766">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lastRenderedPageBreak/>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w:t>
            </w:r>
            <w:r>
              <w:rPr>
                <w:rFonts w:eastAsiaTheme="minorEastAsia"/>
                <w:sz w:val="22"/>
                <w:szCs w:val="22"/>
                <w:lang w:eastAsia="zh-CN"/>
              </w:rPr>
              <w:lastRenderedPageBreak/>
              <w:t xml:space="preserve">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D52E07">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t>
      </w:r>
      <w:r w:rsidRPr="00005EFB">
        <w:rPr>
          <w:b/>
          <w:bCs/>
          <w:sz w:val="22"/>
          <w:szCs w:val="18"/>
        </w:rPr>
        <w:lastRenderedPageBreak/>
        <w:t xml:space="preserve">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lastRenderedPageBreak/>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31D84" w14:textId="77777777" w:rsidR="00437DE6" w:rsidRDefault="00437DE6">
      <w:r>
        <w:separator/>
      </w:r>
    </w:p>
  </w:endnote>
  <w:endnote w:type="continuationSeparator" w:id="0">
    <w:p w14:paraId="245200CD" w14:textId="77777777" w:rsidR="00437DE6" w:rsidRDefault="00437DE6">
      <w:r>
        <w:continuationSeparator/>
      </w:r>
    </w:p>
  </w:endnote>
  <w:endnote w:type="continuationNotice" w:id="1">
    <w:p w14:paraId="7F45C0E1" w14:textId="77777777" w:rsidR="00437DE6" w:rsidRDefault="00437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A1478" w14:textId="77777777" w:rsidR="00437DE6" w:rsidRDefault="00437DE6">
      <w:r>
        <w:separator/>
      </w:r>
    </w:p>
  </w:footnote>
  <w:footnote w:type="continuationSeparator" w:id="0">
    <w:p w14:paraId="720F17FF" w14:textId="77777777" w:rsidR="00437DE6" w:rsidRDefault="00437DE6">
      <w:r>
        <w:continuationSeparator/>
      </w:r>
    </w:p>
  </w:footnote>
  <w:footnote w:type="continuationNotice" w:id="1">
    <w:p w14:paraId="6E751B52" w14:textId="77777777" w:rsidR="00437DE6" w:rsidRDefault="00437D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8"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0"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1"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5"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9"/>
  </w:num>
  <w:num w:numId="2">
    <w:abstractNumId w:val="22"/>
  </w:num>
  <w:num w:numId="3">
    <w:abstractNumId w:val="60"/>
  </w:num>
  <w:num w:numId="4">
    <w:abstractNumId w:val="12"/>
  </w:num>
  <w:num w:numId="5">
    <w:abstractNumId w:val="15"/>
  </w:num>
  <w:num w:numId="6">
    <w:abstractNumId w:val="25"/>
  </w:num>
  <w:num w:numId="7">
    <w:abstractNumId w:val="46"/>
  </w:num>
  <w:num w:numId="8">
    <w:abstractNumId w:val="30"/>
  </w:num>
  <w:num w:numId="9">
    <w:abstractNumId w:val="29"/>
  </w:num>
  <w:num w:numId="10">
    <w:abstractNumId w:val="21"/>
  </w:num>
  <w:num w:numId="11">
    <w:abstractNumId w:val="9"/>
  </w:num>
  <w:num w:numId="12">
    <w:abstractNumId w:val="62"/>
  </w:num>
  <w:num w:numId="13">
    <w:abstractNumId w:val="58"/>
  </w:num>
  <w:num w:numId="14">
    <w:abstractNumId w:val="38"/>
  </w:num>
  <w:num w:numId="15">
    <w:abstractNumId w:val="42"/>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7"/>
  </w:num>
  <w:num w:numId="20">
    <w:abstractNumId w:val="28"/>
  </w:num>
  <w:num w:numId="21">
    <w:abstractNumId w:val="13"/>
  </w:num>
  <w:num w:numId="22">
    <w:abstractNumId w:val="51"/>
  </w:num>
  <w:num w:numId="23">
    <w:abstractNumId w:val="2"/>
  </w:num>
  <w:num w:numId="24">
    <w:abstractNumId w:val="45"/>
  </w:num>
  <w:num w:numId="25">
    <w:abstractNumId w:val="27"/>
  </w:num>
  <w:num w:numId="26">
    <w:abstractNumId w:val="40"/>
  </w:num>
  <w:num w:numId="27">
    <w:abstractNumId w:val="54"/>
  </w:num>
  <w:num w:numId="28">
    <w:abstractNumId w:val="55"/>
  </w:num>
  <w:num w:numId="29">
    <w:abstractNumId w:val="5"/>
  </w:num>
  <w:num w:numId="30">
    <w:abstractNumId w:val="43"/>
  </w:num>
  <w:num w:numId="31">
    <w:abstractNumId w:val="59"/>
  </w:num>
  <w:num w:numId="32">
    <w:abstractNumId w:val="18"/>
  </w:num>
  <w:num w:numId="33">
    <w:abstractNumId w:val="16"/>
  </w:num>
  <w:num w:numId="34">
    <w:abstractNumId w:val="4"/>
  </w:num>
  <w:num w:numId="35">
    <w:abstractNumId w:val="61"/>
  </w:num>
  <w:num w:numId="36">
    <w:abstractNumId w:val="23"/>
  </w:num>
  <w:num w:numId="37">
    <w:abstractNumId w:val="7"/>
  </w:num>
  <w:num w:numId="38">
    <w:abstractNumId w:val="34"/>
  </w:num>
  <w:num w:numId="39">
    <w:abstractNumId w:val="57"/>
  </w:num>
  <w:num w:numId="40">
    <w:abstractNumId w:val="52"/>
  </w:num>
  <w:num w:numId="41">
    <w:abstractNumId w:val="44"/>
  </w:num>
  <w:num w:numId="42">
    <w:abstractNumId w:val="0"/>
  </w:num>
  <w:num w:numId="43">
    <w:abstractNumId w:val="47"/>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0"/>
  </w:num>
  <w:num w:numId="52">
    <w:abstractNumId w:val="26"/>
  </w:num>
  <w:num w:numId="53">
    <w:abstractNumId w:val="32"/>
  </w:num>
  <w:num w:numId="54">
    <w:abstractNumId w:val="41"/>
  </w:num>
  <w:num w:numId="55">
    <w:abstractNumId w:val="39"/>
  </w:num>
  <w:num w:numId="56">
    <w:abstractNumId w:val="33"/>
  </w:num>
  <w:num w:numId="57">
    <w:abstractNumId w:val="48"/>
  </w:num>
  <w:num w:numId="58">
    <w:abstractNumId w:val="31"/>
  </w:num>
  <w:num w:numId="59">
    <w:abstractNumId w:val="19"/>
  </w:num>
  <w:num w:numId="60">
    <w:abstractNumId w:val="36"/>
    <w:lvlOverride w:ilvl="0">
      <w:startOverride w:val="1"/>
    </w:lvlOverride>
  </w:num>
  <w:num w:numId="61">
    <w:abstractNumId w:val="53"/>
  </w:num>
  <w:num w:numId="62">
    <w:abstractNumId w:val="35"/>
  </w:num>
  <w:num w:numId="63">
    <w:abstractNumId w:val="10"/>
  </w:num>
  <w:num w:numId="64">
    <w:abstractNumId w:val="8"/>
  </w:num>
  <w:num w:numId="65">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TW"/>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TW"/>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TW"/>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2.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5.xml><?xml version="1.0" encoding="utf-8"?>
<ds:datastoreItem xmlns:ds="http://schemas.openxmlformats.org/officeDocument/2006/customXml" ds:itemID="{850E76F8-D1B4-4581-8975-AC1CB88044B0}">
  <ds:schemaRefs>
    <ds:schemaRef ds:uri="http://schemas.openxmlformats.org/officeDocument/2006/bibliography"/>
  </ds:schemaRefs>
</ds:datastoreItem>
</file>

<file path=customXml/itemProps6.xml><?xml version="1.0" encoding="utf-8"?>
<ds:datastoreItem xmlns:ds="http://schemas.openxmlformats.org/officeDocument/2006/customXml" ds:itemID="{B2247E87-9228-49FB-94E8-25405A301D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29226</Words>
  <Characters>166590</Characters>
  <Application>Microsoft Office Word</Application>
  <DocSecurity>0</DocSecurity>
  <Lines>1388</Lines>
  <Paragraphs>390</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195426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2023-04-18T11:54:00Z</dcterms:created>
  <dcterms:modified xsi:type="dcterms:W3CDTF">2023-04-18T16:48:00Z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ies>
</file>