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09AB69F8"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w:t>
      </w:r>
      <w:r w:rsidR="003506CD">
        <w:rPr>
          <w:rFonts w:eastAsia="MS Mincho"/>
          <w:b/>
          <w:bCs/>
          <w:sz w:val="24"/>
          <w:szCs w:val="24"/>
        </w:rPr>
        <w:t>1</w:t>
      </w:r>
      <w:r w:rsidR="00890177">
        <w:rPr>
          <w:rFonts w:eastAsia="MS Mincho"/>
          <w:b/>
          <w:bCs/>
          <w:sz w:val="24"/>
          <w:szCs w:val="24"/>
        </w:rPr>
        <w:t>2</w:t>
      </w:r>
      <w:r w:rsidRPr="001748B2">
        <w:rPr>
          <w:rFonts w:eastAsia="MS Mincho"/>
          <w:b/>
          <w:bCs/>
          <w:sz w:val="24"/>
          <w:szCs w:val="24"/>
        </w:rPr>
        <w:tab/>
      </w:r>
      <w:r w:rsidR="009F48CD" w:rsidRPr="009F48CD">
        <w:rPr>
          <w:rFonts w:eastAsia="MS Mincho"/>
          <w:b/>
          <w:bCs/>
          <w:sz w:val="24"/>
          <w:szCs w:val="24"/>
        </w:rPr>
        <w:t>R1-230208</w:t>
      </w:r>
      <w:r w:rsidR="00723EC8">
        <w:rPr>
          <w:rFonts w:eastAsia="MS Mincho"/>
          <w:b/>
          <w:bCs/>
          <w:sz w:val="24"/>
          <w:szCs w:val="24"/>
        </w:rPr>
        <w:t>7</w:t>
      </w:r>
    </w:p>
    <w:p w14:paraId="0AFF4A6D" w14:textId="71F400BD" w:rsidR="00F96ED9" w:rsidRPr="001820A8" w:rsidRDefault="00890177"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890177">
        <w:rPr>
          <w:rFonts w:eastAsia="MS Mincho"/>
          <w:b/>
          <w:bCs/>
          <w:sz w:val="24"/>
          <w:szCs w:val="24"/>
        </w:rPr>
        <w:t>Athens, Greece, February 27th – March 3rd, 2023</w:t>
      </w:r>
    </w:p>
    <w:p w14:paraId="7ED6E440" w14:textId="77777777" w:rsidR="00F96ED9" w:rsidRPr="001820A8" w:rsidRDefault="00F96ED9">
      <w:pPr>
        <w:overflowPunct/>
        <w:autoSpaceDE/>
        <w:autoSpaceDN/>
        <w:adjustRightInd/>
        <w:textAlignment w:val="auto"/>
        <w:rPr>
          <w:rFonts w:eastAsia="MS Mincho"/>
          <w:b/>
          <w:sz w:val="24"/>
        </w:rPr>
      </w:pPr>
    </w:p>
    <w:p w14:paraId="2A5C6709" w14:textId="503CF7FD"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539F7C92"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0756A" w:rsidRPr="00CD21BD">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091FECCD" w:rsidR="00576A17" w:rsidRDefault="00114ECF" w:rsidP="00444AEE">
      <w:pPr>
        <w:overflowPunct/>
        <w:autoSpaceDE/>
        <w:autoSpaceDN/>
        <w:adjustRightInd/>
        <w:textAlignment w:val="auto"/>
        <w:rPr>
          <w:rFonts w:eastAsia="等线"/>
        </w:rPr>
      </w:pPr>
      <w:r>
        <w:rPr>
          <w:rFonts w:eastAsia="等线"/>
        </w:rPr>
        <w:t>In RAN1#11</w:t>
      </w:r>
      <w:r w:rsidR="00587CDE">
        <w:rPr>
          <w:rFonts w:eastAsia="等线"/>
        </w:rPr>
        <w:t>2</w:t>
      </w:r>
      <w:r>
        <w:rPr>
          <w:rFonts w:eastAsia="等线"/>
        </w:rPr>
        <w:t xml:space="preserve">, </w:t>
      </w:r>
      <w:r w:rsidR="00BF31C6">
        <w:rPr>
          <w:rFonts w:eastAsia="等线"/>
        </w:rPr>
        <w:t>RAN1 made the following agreement</w:t>
      </w:r>
      <w:r w:rsidR="00081FF6">
        <w:rPr>
          <w:rFonts w:eastAsia="等线"/>
        </w:rPr>
        <w:t>s</w:t>
      </w:r>
      <w:r>
        <w:rPr>
          <w:rFonts w:eastAsia="等线"/>
        </w:rPr>
        <w:t>.</w:t>
      </w:r>
    </w:p>
    <w:p w14:paraId="2DA37295" w14:textId="37A9B7BA" w:rsidR="00680DCE" w:rsidRPr="00310691" w:rsidRDefault="00680DCE" w:rsidP="00680DCE">
      <w:pPr>
        <w:rPr>
          <w:b/>
          <w:bCs/>
          <w:highlight w:val="green"/>
          <w:lang w:eastAsia="ko-KR"/>
        </w:rPr>
      </w:pPr>
      <w:r w:rsidRPr="00310691">
        <w:rPr>
          <w:b/>
          <w:bCs/>
          <w:highlight w:val="green"/>
          <w:lang w:eastAsia="ko-KR"/>
        </w:rPr>
        <w:t>Agreement-1</w:t>
      </w:r>
    </w:p>
    <w:p w14:paraId="726F7EB7" w14:textId="77777777" w:rsidR="00680DCE" w:rsidRDefault="00680DCE" w:rsidP="00680DCE">
      <w:pPr>
        <w:rPr>
          <w:iCs/>
        </w:rPr>
      </w:pPr>
      <w:r w:rsidRPr="003D5239">
        <w:rPr>
          <w:iCs/>
        </w:rPr>
        <w:t>Agree the updated TR</w:t>
      </w:r>
      <w:r>
        <w:rPr>
          <w:iCs/>
        </w:rPr>
        <w:t xml:space="preserve"> for RAN1</w:t>
      </w:r>
      <w:r w:rsidRPr="003D5239">
        <w:rPr>
          <w:iCs/>
        </w:rPr>
        <w:t xml:space="preserve"> in R1-2300997 in principle.</w:t>
      </w:r>
    </w:p>
    <w:p w14:paraId="3A5D2259" w14:textId="77777777" w:rsidR="00680DCE" w:rsidRDefault="00680DCE" w:rsidP="00680DCE">
      <w:pPr>
        <w:rPr>
          <w:iCs/>
        </w:rPr>
      </w:pPr>
    </w:p>
    <w:p w14:paraId="21FB9184" w14:textId="0E156DAE" w:rsidR="00680DCE" w:rsidRPr="00310691" w:rsidRDefault="00680DCE" w:rsidP="00680DCE">
      <w:pPr>
        <w:rPr>
          <w:b/>
          <w:bCs/>
          <w:highlight w:val="green"/>
          <w:lang w:eastAsia="ko-KR"/>
        </w:rPr>
      </w:pPr>
      <w:r w:rsidRPr="00310691">
        <w:rPr>
          <w:b/>
          <w:bCs/>
          <w:highlight w:val="green"/>
          <w:lang w:eastAsia="ko-KR"/>
        </w:rPr>
        <w:t>Agreement-2</w:t>
      </w:r>
    </w:p>
    <w:p w14:paraId="4B0A3EFB" w14:textId="77777777" w:rsidR="00680DCE" w:rsidRPr="0043503B" w:rsidRDefault="00680DCE" w:rsidP="00680DCE">
      <w:pPr>
        <w:rPr>
          <w:rFonts w:eastAsia="Malgun Gothic"/>
          <w:color w:val="FF0000"/>
          <w:lang w:eastAsia="ko-KR"/>
        </w:rPr>
      </w:pPr>
      <w:r w:rsidRPr="0043503B">
        <w:rPr>
          <w:rFonts w:eastAsia="Malgun Gothic"/>
          <w:color w:val="FF0000"/>
          <w:lang w:eastAsia="ko-KR"/>
        </w:rPr>
        <w:t>Inform RAN4 of the updated RAN1 part of the TR. And include the following conclusion in the LS to RAN4.</w:t>
      </w:r>
    </w:p>
    <w:p w14:paraId="631F0EB4" w14:textId="77777777" w:rsidR="00680DCE" w:rsidRPr="00A66FC6" w:rsidRDefault="00680DCE" w:rsidP="00680DCE">
      <w:pPr>
        <w:rPr>
          <w:b/>
          <w:bCs/>
          <w:lang w:eastAsia="ko-KR"/>
        </w:rPr>
      </w:pPr>
      <w:r w:rsidRPr="00A66FC6">
        <w:rPr>
          <w:b/>
          <w:bCs/>
          <w:lang w:eastAsia="ko-KR"/>
        </w:rPr>
        <w:t>Conclusion</w:t>
      </w:r>
    </w:p>
    <w:p w14:paraId="39840255" w14:textId="77777777" w:rsidR="00680DCE" w:rsidRPr="00A66FC6" w:rsidRDefault="00680DCE" w:rsidP="00680DCE">
      <w:r w:rsidRPr="00A66FC6">
        <w:t>Regarding the feasibility analysis of SBFD, RAN1 focus on feasibility analysis from performance perspective, specification perspective and impact on legacy operation perspective. The study on implementation feasibility is up to RAN4.</w:t>
      </w:r>
    </w:p>
    <w:p w14:paraId="539F9EFF" w14:textId="77777777" w:rsidR="00680DCE" w:rsidRDefault="00680DCE" w:rsidP="00BC3ECD">
      <w:pPr>
        <w:rPr>
          <w:b/>
          <w:bCs/>
          <w:highlight w:val="green"/>
          <w:lang w:eastAsia="ko-KR"/>
        </w:rPr>
      </w:pPr>
    </w:p>
    <w:p w14:paraId="279AC7C9" w14:textId="7392B59C" w:rsidR="00BC3ECD" w:rsidRPr="008346A4" w:rsidRDefault="00BC3ECD" w:rsidP="00BC3ECD">
      <w:pPr>
        <w:rPr>
          <w:b/>
          <w:bCs/>
          <w:highlight w:val="green"/>
          <w:lang w:eastAsia="ko-KR"/>
        </w:rPr>
      </w:pPr>
      <w:r w:rsidRPr="008346A4">
        <w:rPr>
          <w:b/>
          <w:bCs/>
          <w:highlight w:val="green"/>
          <w:lang w:eastAsia="ko-KR"/>
        </w:rPr>
        <w:t>Agreement</w:t>
      </w:r>
      <w:r w:rsidR="009E5E15">
        <w:rPr>
          <w:b/>
          <w:bCs/>
          <w:highlight w:val="green"/>
          <w:lang w:eastAsia="ko-KR"/>
        </w:rPr>
        <w:t>-</w:t>
      </w:r>
      <w:r w:rsidR="00310691">
        <w:rPr>
          <w:b/>
          <w:bCs/>
          <w:highlight w:val="green"/>
          <w:lang w:eastAsia="ko-KR"/>
        </w:rPr>
        <w:t>3</w:t>
      </w:r>
    </w:p>
    <w:p w14:paraId="77EF26A2" w14:textId="05454F74" w:rsidR="00BC3ECD" w:rsidRPr="008346A4" w:rsidRDefault="00BC3ECD" w:rsidP="00BC3ECD">
      <w:pPr>
        <w:spacing w:beforeLines="50" w:before="120" w:afterLines="50" w:after="120"/>
        <w:rPr>
          <w:rFonts w:cs="Calibri"/>
          <w:bCs/>
          <w:szCs w:val="21"/>
        </w:rPr>
      </w:pPr>
      <w:r w:rsidRPr="008346A4">
        <w:rPr>
          <w:rFonts w:cs="Calibri"/>
          <w:bCs/>
          <w:szCs w:val="21"/>
        </w:rPr>
        <w:t>For SLS in RAN1, for co</w:t>
      </w:r>
      <w:r w:rsidRPr="00BC3ECD">
        <w:rPr>
          <w:rFonts w:cs="Calibri"/>
          <w:bCs/>
          <w:szCs w:val="21"/>
        </w:rPr>
        <w:t xml:space="preserve">-site gNB-gNB adjacent-channel </w:t>
      </w:r>
      <w:r w:rsidRPr="008346A4">
        <w:rPr>
          <w:rFonts w:cs="Calibri"/>
          <w:bCs/>
          <w:szCs w:val="21"/>
        </w:rPr>
        <w:t xml:space="preserve">CLI modelling, reuse similar method as </w:t>
      </w:r>
      <w:r>
        <w:t>co-site inter-sector co-channel inter-subband CLI modeling</w:t>
      </w:r>
      <w:r w:rsidRPr="008346A4">
        <w:rPr>
          <w:rFonts w:cs="Calibri"/>
          <w:bCs/>
          <w:szCs w:val="21"/>
        </w:rPr>
        <w:t xml:space="preserve"> as follows. </w:t>
      </w:r>
    </w:p>
    <w:p w14:paraId="2CAA1308" w14:textId="716BAE8C" w:rsidR="00BC3ECD" w:rsidRPr="00BC3ECD" w:rsidRDefault="00000000" w:rsidP="00BC3ECD">
      <w:pPr>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13A8EF41" w14:textId="23A7BC1B" w:rsidR="00BC3ECD" w:rsidRPr="00BC3ECD" w:rsidRDefault="00000000" w:rsidP="00BC3ECD">
      <w:pPr>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52EF3FD1" w14:textId="7904F43D"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BC3ECD" w:rsidRPr="008346A4">
        <w:rPr>
          <w:rFonts w:cs="Calibri"/>
          <w:iCs/>
          <w:szCs w:val="21"/>
        </w:rPr>
        <w:t xml:space="preserve"> </w:t>
      </w:r>
      <w:r w:rsidR="00BC3ECD" w:rsidRPr="008346A4">
        <w:rPr>
          <w:rFonts w:cs="Calibri"/>
          <w:szCs w:val="21"/>
        </w:rPr>
        <w:t xml:space="preserve">is DL Tx power of sector </w:t>
      </w:r>
      <w:r w:rsidR="00BC3ECD" w:rsidRPr="008346A4">
        <w:rPr>
          <w:rFonts w:cs="Calibri"/>
          <w:i/>
          <w:iCs/>
          <w:szCs w:val="21"/>
        </w:rPr>
        <w:t>x</w:t>
      </w:r>
      <w:r w:rsidR="00BC3ECD" w:rsidRPr="008346A4">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BC3ECD" w:rsidRPr="008346A4">
        <w:rPr>
          <w:rFonts w:cs="Calibri"/>
          <w:iCs/>
          <w:szCs w:val="21"/>
        </w:rPr>
        <w:t xml:space="preserve"> </w:t>
      </w:r>
    </w:p>
    <w:p w14:paraId="3F701F66" w14:textId="730D8405"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BC3ECD" w:rsidRPr="008346A4">
        <w:rPr>
          <w:rFonts w:cs="Calibri"/>
          <w:szCs w:val="21"/>
        </w:rPr>
        <w:t xml:space="preserve"> is the </w:t>
      </w:r>
      <w:r w:rsidR="00BC3ECD" w:rsidRPr="008346A4">
        <w:rPr>
          <w:rFonts w:cs="Calibri"/>
          <w:bCs/>
          <w:szCs w:val="21"/>
        </w:rPr>
        <w:t xml:space="preserve">maximum </w:t>
      </w:r>
      <w:r w:rsidR="00BC3ECD" w:rsidRPr="008346A4">
        <w:rPr>
          <w:rFonts w:cs="Calibri"/>
          <w:szCs w:val="21"/>
        </w:rPr>
        <w:t xml:space="preserve">DL Tx Power of sector </w:t>
      </w:r>
      <w:r w:rsidR="00BC3ECD" w:rsidRPr="008346A4">
        <w:rPr>
          <w:rFonts w:cs="Calibri"/>
          <w:i/>
          <w:iCs/>
          <w:szCs w:val="21"/>
        </w:rPr>
        <w:t>x</w:t>
      </w:r>
      <w:r w:rsidR="00BC3ECD" w:rsidRPr="008346A4">
        <w:rPr>
          <w:rFonts w:cs="Calibri"/>
          <w:szCs w:val="21"/>
        </w:rPr>
        <w:t xml:space="preserve"> </w:t>
      </w:r>
      <w:r w:rsidR="00BC3ECD" w:rsidRPr="008346A4">
        <w:rPr>
          <w:rFonts w:cs="Calibri"/>
          <w:iCs/>
          <w:szCs w:val="21"/>
        </w:rPr>
        <w:t xml:space="preserve">in </w:t>
      </w:r>
      <w:r w:rsidR="00BC3ECD" w:rsidRPr="008346A4">
        <w:rPr>
          <w:rFonts w:cs="Calibri"/>
          <w:szCs w:val="21"/>
        </w:rPr>
        <w:t>adjacent channel (in linear scale).</w:t>
      </w:r>
    </w:p>
    <w:p w14:paraId="4B716A2A" w14:textId="2AF407A6"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BC3ECD" w:rsidRPr="008346A4">
        <w:rPr>
          <w:rFonts w:cs="Calibri"/>
          <w:szCs w:val="21"/>
        </w:rPr>
        <w:t xml:space="preserve"> is the total number of DL RBs in adjacent channel.</w:t>
      </w:r>
    </w:p>
    <w:p w14:paraId="5902AC7E" w14:textId="2EE7C2A2"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BC3ECD" w:rsidRPr="008346A4">
        <w:rPr>
          <w:rFonts w:cs="Calibri"/>
          <w:szCs w:val="21"/>
        </w:rPr>
        <w:t xml:space="preserve"> is the number of DL RBs allocated for DL transmission of sector </w:t>
      </w:r>
      <w:r w:rsidR="00BC3ECD" w:rsidRPr="008346A4">
        <w:rPr>
          <w:rFonts w:cs="Calibri"/>
          <w:i/>
          <w:iCs/>
          <w:szCs w:val="21"/>
        </w:rPr>
        <w:t xml:space="preserve">x </w:t>
      </w:r>
      <w:r w:rsidR="00BC3ECD" w:rsidRPr="008346A4">
        <w:rPr>
          <w:rFonts w:cs="Calibri"/>
          <w:iCs/>
          <w:szCs w:val="21"/>
        </w:rPr>
        <w:t xml:space="preserve">in </w:t>
      </w:r>
      <w:r w:rsidR="00BC3ECD" w:rsidRPr="008346A4">
        <w:rPr>
          <w:rFonts w:cs="Calibri"/>
          <w:szCs w:val="21"/>
        </w:rPr>
        <w:t>adjacent channel.</w:t>
      </w:r>
    </w:p>
    <w:p w14:paraId="56A03271" w14:textId="632A8A9E" w:rsidR="00BC3ECD" w:rsidRPr="008346A4" w:rsidRDefault="00000000" w:rsidP="00BC3ECD">
      <w:pPr>
        <w:numPr>
          <w:ilvl w:val="0"/>
          <w:numId w:val="22"/>
        </w:numPr>
        <w:overflowPunct/>
        <w:autoSpaceDE/>
        <w:autoSpaceDN/>
        <w:adjustRightInd/>
        <w:spacing w:after="160" w:line="259" w:lineRule="auto"/>
        <w:textAlignment w:val="auto"/>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BC3ECD" w:rsidRPr="008346A4">
        <w:rPr>
          <w:rFonts w:cs="Calibri"/>
          <w:bCs/>
          <w:szCs w:val="21"/>
        </w:rPr>
        <w:t xml:space="preserve"> is the interference suppression capability of co-site inter-sector co-channel inter-subband CLI between the aggressor sector </w:t>
      </w:r>
      <w:r w:rsidR="00BC3ECD" w:rsidRPr="008346A4">
        <w:rPr>
          <w:rFonts w:cs="Calibri"/>
          <w:bCs/>
          <w:i/>
          <w:szCs w:val="21"/>
        </w:rPr>
        <w:t>x</w:t>
      </w:r>
      <w:r w:rsidR="00BC3ECD" w:rsidRPr="008346A4">
        <w:rPr>
          <w:rFonts w:cs="Calibri"/>
          <w:bCs/>
          <w:szCs w:val="21"/>
        </w:rPr>
        <w:t xml:space="preserve"> and the victim sector. </w:t>
      </w:r>
    </w:p>
    <w:p w14:paraId="5ABBFCA1" w14:textId="25C52378" w:rsidR="00BC3ECD" w:rsidRPr="008346A4" w:rsidRDefault="00BC3ECD" w:rsidP="00BC3ECD">
      <w:pPr>
        <w:numPr>
          <w:ilvl w:val="1"/>
          <w:numId w:val="22"/>
        </w:numPr>
        <w:overflowPunct/>
        <w:autoSpaceDE/>
        <w:autoSpaceDN/>
        <w:adjustRightInd/>
        <w:spacing w:after="160" w:line="259" w:lineRule="auto"/>
        <w:textAlignment w:val="auto"/>
        <w:rPr>
          <w:rFonts w:cs="Calibri"/>
          <w:szCs w:val="21"/>
        </w:rPr>
      </w:pPr>
      <m:oMath>
        <m:r>
          <w:rPr>
            <w:rFonts w:ascii="Cambria Math" w:hAnsi="Cambria Math" w:cs="Calibri"/>
            <w:szCs w:val="21"/>
          </w:rPr>
          <w:lastRenderedPageBreak/>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78D795AF" w14:textId="13904326" w:rsidR="00BC3ECD" w:rsidRPr="008346A4" w:rsidRDefault="00BC3ECD" w:rsidP="00BC3ECD">
      <w:pPr>
        <w:numPr>
          <w:ilvl w:val="1"/>
          <w:numId w:val="22"/>
        </w:numPr>
        <w:overflowPunct/>
        <w:autoSpaceDE/>
        <w:autoSpaceDN/>
        <w:adjustRightInd/>
        <w:spacing w:after="160" w:line="259" w:lineRule="auto"/>
        <w:textAlignment w:val="auto"/>
        <w:rPr>
          <w:rFonts w:cs="Calibri"/>
          <w:szCs w:val="21"/>
        </w:rPr>
      </w:pPr>
      <w:r w:rsidRPr="008346A4">
        <w:rPr>
          <w:rFonts w:cs="Calibri" w:hint="eastAsia"/>
          <w:szCs w:val="21"/>
        </w:rPr>
        <w:t>F</w:t>
      </w:r>
      <w:r w:rsidRPr="008346A4">
        <w:rPr>
          <w:rFonts w:cs="Calibri"/>
          <w:szCs w:val="21"/>
        </w:rPr>
        <w:t xml:space="preserve">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01965BAE" w14:textId="343C15C7" w:rsidR="00BC3ECD" w:rsidRDefault="00000000" w:rsidP="00BC3ECD">
      <w:pPr>
        <w:numPr>
          <w:ilvl w:val="1"/>
          <w:numId w:val="22"/>
        </w:numPr>
        <w:overflowPunct/>
        <w:autoSpaceDE/>
        <w:autoSpaceDN/>
        <w:adjustRightInd/>
        <w:spacing w:after="160" w:line="259" w:lineRule="auto"/>
        <w:textAlignment w:val="auto"/>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BC3ECD" w:rsidRPr="008346A4">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BC3ECD" w:rsidRPr="008346A4">
        <w:rPr>
          <w:rFonts w:cs="Calibri"/>
          <w:szCs w:val="21"/>
        </w:rPr>
        <w:t xml:space="preserve"> are in linear scale. </w:t>
      </w:r>
    </w:p>
    <w:p w14:paraId="2511D1A3" w14:textId="7B0DF360" w:rsidR="00BC3ECD" w:rsidRDefault="00BC3ECD" w:rsidP="00BC3ECD">
      <w:pPr>
        <w:rPr>
          <w:position w:val="-9"/>
        </w:rPr>
      </w:pPr>
      <w:r w:rsidRPr="00BC3ECD">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14:paraId="613E9D30" w14:textId="7C1DA8F3" w:rsidR="00BC3ECD" w:rsidRDefault="00BC3ECD" w:rsidP="00BC3ECD">
      <w:pPr>
        <w:rPr>
          <w:position w:val="-9"/>
        </w:rPr>
      </w:pPr>
    </w:p>
    <w:p w14:paraId="11499641" w14:textId="73B05FFD" w:rsidR="009E5E15" w:rsidRPr="00310691" w:rsidRDefault="009E5E15" w:rsidP="009E5E15">
      <w:pPr>
        <w:rPr>
          <w:b/>
          <w:bCs/>
          <w:highlight w:val="green"/>
          <w:lang w:eastAsia="ko-KR"/>
        </w:rPr>
      </w:pPr>
      <w:r w:rsidRPr="00310691">
        <w:rPr>
          <w:b/>
          <w:bCs/>
          <w:highlight w:val="green"/>
          <w:lang w:eastAsia="ko-KR"/>
        </w:rPr>
        <w:t>Agreement-</w:t>
      </w:r>
      <w:r w:rsidR="00310691" w:rsidRPr="00310691">
        <w:rPr>
          <w:b/>
          <w:bCs/>
          <w:highlight w:val="green"/>
          <w:lang w:eastAsia="ko-KR"/>
        </w:rPr>
        <w:t>4</w:t>
      </w:r>
    </w:p>
    <w:p w14:paraId="4F15F1B6" w14:textId="77777777" w:rsidR="009E5E15" w:rsidRDefault="009E5E15" w:rsidP="009E5E15">
      <w:pPr>
        <w:rPr>
          <w:bCs/>
        </w:rPr>
      </w:pPr>
      <w:r>
        <w:rPr>
          <w:bCs/>
        </w:rPr>
        <w:t xml:space="preserve">For SLS in RAN1, if only large scale fading is modelled and small scale fading is not modelled for </w:t>
      </w:r>
      <w:r>
        <w:rPr>
          <w:bCs/>
          <w:lang w:val="it-IT"/>
        </w:rPr>
        <w:t>UE-UE co-channel channel model</w:t>
      </w:r>
      <w:r>
        <w:rPr>
          <w:bCs/>
        </w:rPr>
        <w:t xml:space="preserve">, the power of </w:t>
      </w:r>
      <w:r>
        <w:rPr>
          <w:bCs/>
          <w:lang w:val="sv-SE"/>
        </w:rPr>
        <w:t>UE-UE co-channel inter-subband CLI</w:t>
      </w:r>
      <w:r>
        <w:rPr>
          <w:bCs/>
        </w:rPr>
        <w:t xml:space="preserve"> experienced by the victim UE on each receiver chain at DL RB </w:t>
      </w:r>
      <w:r>
        <w:rPr>
          <w:bCs/>
          <w:i/>
        </w:rPr>
        <w:t>n</w:t>
      </w:r>
      <w:r>
        <w:rPr>
          <w:bCs/>
        </w:rPr>
        <w:t xml:space="preserve"> can be modelled as</w:t>
      </w:r>
    </w:p>
    <w:p w14:paraId="17E6BE01" w14:textId="47241014" w:rsidR="009E5E15" w:rsidRPr="009E5E15" w:rsidRDefault="00000000" w:rsidP="009E5E15">
      <w:pPr>
        <w:pStyle w:val="B1"/>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0A13F74C" w14:textId="77777777" w:rsidR="009E5E15" w:rsidRPr="008D50A2" w:rsidRDefault="009E5E15" w:rsidP="009E5E15">
      <w:pPr>
        <w:pStyle w:val="B1"/>
        <w:ind w:left="0" w:firstLine="0"/>
      </w:pPr>
      <w:r w:rsidRPr="008D50A2">
        <w:rPr>
          <w:bCs/>
          <w:iCs/>
        </w:rPr>
        <w:t>where</w:t>
      </w:r>
    </w:p>
    <w:p w14:paraId="3B02C44D" w14:textId="1E4EDEC7" w:rsidR="009E5E15" w:rsidRPr="008D50A2" w:rsidRDefault="00000000" w:rsidP="009E5E15">
      <w:pPr>
        <w:numPr>
          <w:ilvl w:val="0"/>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9E5E15" w:rsidRPr="008D50A2">
        <w:rPr>
          <w:bCs/>
        </w:rPr>
        <w:t xml:space="preserve"> is the power of </w:t>
      </w:r>
      <w:r w:rsidR="009E5E15" w:rsidRPr="008D50A2">
        <w:rPr>
          <w:bCs/>
          <w:lang w:val="sv-SE"/>
        </w:rPr>
        <w:t xml:space="preserve">UE-UE co-channel inter-subband CLI from </w:t>
      </w:r>
      <w:r w:rsidR="009E5E15" w:rsidRPr="008D50A2">
        <w:rPr>
          <w:bCs/>
        </w:rPr>
        <w:t>aggressor</w:t>
      </w:r>
      <w:r w:rsidR="009E5E15" w:rsidRPr="008D50A2">
        <w:rPr>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sidRPr="008D50A2">
        <w:t xml:space="preserve"> </w:t>
      </w:r>
      <w:r w:rsidR="009E5E15" w:rsidRPr="008D50A2">
        <w:rPr>
          <w:bCs/>
        </w:rPr>
        <w:t xml:space="preserve">to victim UE </w:t>
      </w:r>
      <m:oMath>
        <m:r>
          <w:rPr>
            <w:rFonts w:ascii="Cambria Math" w:hAnsi="Cambria Math"/>
          </w:rPr>
          <m:t>B</m:t>
        </m:r>
      </m:oMath>
      <w:r w:rsidR="009E5E15" w:rsidRPr="008D50A2">
        <w:rPr>
          <w:bCs/>
        </w:rPr>
        <w:t xml:space="preserve"> on each receiver chain at one DL RB </w:t>
      </w:r>
      <w:r w:rsidR="009E5E15" w:rsidRPr="008D50A2">
        <w:rPr>
          <w:bCs/>
          <w:i/>
        </w:rPr>
        <w:t>n</w:t>
      </w:r>
      <w:r w:rsidR="009E5E15" w:rsidRPr="008D50A2">
        <w:rPr>
          <w:bCs/>
        </w:rPr>
        <w:t xml:space="preserve"> (linear value).</w:t>
      </w:r>
    </w:p>
    <w:p w14:paraId="74317F75" w14:textId="13C74A9E" w:rsidR="009E5E15" w:rsidRPr="008D50A2" w:rsidRDefault="00000000" w:rsidP="009E5E15">
      <w:pPr>
        <w:numPr>
          <w:ilvl w:val="0"/>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9E5E15" w:rsidRPr="008D50A2">
        <w:rPr>
          <w:bCs/>
          <w:iCs/>
        </w:rPr>
        <w:t xml:space="preserve"> is UL transmission power of </w:t>
      </w:r>
      <w:r w:rsidR="009E5E15" w:rsidRPr="008D50A2">
        <w:rPr>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sidRPr="008D50A2">
        <w:rPr>
          <w:bCs/>
          <w:iCs/>
        </w:rPr>
        <w:t xml:space="preserve"> across all transmit chains over the allocated UL RBs (linear value)</w:t>
      </w:r>
    </w:p>
    <w:p w14:paraId="29F3A244" w14:textId="3A3E2668" w:rsidR="009E5E15" w:rsidRDefault="00000000" w:rsidP="009E5E15">
      <w:pPr>
        <w:numPr>
          <w:ilvl w:val="0"/>
          <w:numId w:val="22"/>
        </w:numPr>
        <w:overflowPunct/>
        <w:autoSpaceDE/>
        <w:autoSpaceDN/>
        <w:adjustRightInd/>
        <w:spacing w:after="160" w:line="259" w:lineRule="auto"/>
        <w:textAlignment w:val="auto"/>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9E5E15">
        <w:rPr>
          <w:rFonts w:hint="eastAsia"/>
          <w:bCs/>
        </w:rPr>
        <w:t xml:space="preserve"> </w:t>
      </w:r>
      <w:r w:rsidR="009E5E15">
        <w:rPr>
          <w:bCs/>
        </w:rPr>
        <w:t xml:space="preserve">is the coupling loss </w:t>
      </w:r>
      <w:r w:rsidR="009E5E15">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Pr>
          <w:bCs/>
        </w:rPr>
        <w:t xml:space="preserve"> and UE </w:t>
      </w:r>
      <m:oMath>
        <m:r>
          <w:rPr>
            <w:rFonts w:ascii="Cambria Math" w:hAnsi="Cambria Math"/>
          </w:rPr>
          <m:t>B</m:t>
        </m:r>
      </m:oMath>
      <w:r w:rsidR="009E5E15">
        <w:rPr>
          <w:bCs/>
        </w:rPr>
        <w:t xml:space="preserve"> (linear value), accounting for analog beamforming at the aggressor UE and victim UE</w:t>
      </w:r>
    </w:p>
    <w:p w14:paraId="02A4E0CD" w14:textId="7415F75E" w:rsidR="009E5E15" w:rsidRPr="00502D6B" w:rsidRDefault="00000000" w:rsidP="009E5E15">
      <w:pPr>
        <w:numPr>
          <w:ilvl w:val="0"/>
          <w:numId w:val="22"/>
        </w:numPr>
        <w:overflowPunct/>
        <w:autoSpaceDE/>
        <w:autoSpaceDN/>
        <w:adjustRightInd/>
        <w:spacing w:after="160" w:line="259" w:lineRule="auto"/>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9E5E15">
        <w:rPr>
          <w:bCs/>
        </w:rPr>
        <w:t xml:space="preserve"> is the </w:t>
      </w:r>
      <w:r w:rsidR="009E5E15" w:rsidRPr="00502D6B">
        <w:t>total number of UL RBs in the UL subband</w:t>
      </w:r>
    </w:p>
    <w:p w14:paraId="0A50C0A3" w14:textId="7736BE1B" w:rsidR="009E5E15" w:rsidRPr="003A646D" w:rsidRDefault="00000000" w:rsidP="009E5E15">
      <w:pPr>
        <w:numPr>
          <w:ilvl w:val="0"/>
          <w:numId w:val="22"/>
        </w:numPr>
        <w:overflowPunct/>
        <w:autoSpaceDE/>
        <w:autoSpaceDN/>
        <w:adjustRightInd/>
        <w:spacing w:after="160" w:line="259" w:lineRule="auto"/>
        <w:textAlignment w:val="auto"/>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E5E15" w:rsidRPr="00502D6B">
        <w:rPr>
          <w:rFonts w:cs="Calibri" w:hint="eastAsia"/>
        </w:rPr>
        <w:t xml:space="preserve"> </w:t>
      </w:r>
      <w:r w:rsidR="009E5E15" w:rsidRPr="00502D6B">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E5E15" w:rsidRPr="00502D6B">
        <w:rPr>
          <w:rFonts w:cs="Calibri"/>
          <w:bCs/>
          <w:iCs/>
          <w:szCs w:val="21"/>
        </w:rPr>
        <w:t>, it is up to RA</w:t>
      </w:r>
      <w:r w:rsidR="009E5E15" w:rsidRPr="003A646D">
        <w:rPr>
          <w:rFonts w:cs="Calibri"/>
          <w:bCs/>
          <w:iCs/>
          <w:szCs w:val="21"/>
        </w:rPr>
        <w:t xml:space="preserve">N4. Companies can report the value used in their simulation </w:t>
      </w:r>
      <w:r w:rsidR="009E5E15" w:rsidRPr="003A646D">
        <w:t>before receiving RAN4’s further input.</w:t>
      </w:r>
    </w:p>
    <w:p w14:paraId="56FAEE7B" w14:textId="54480BE9" w:rsidR="009E5E15" w:rsidRDefault="009E5E15" w:rsidP="009E5E15">
      <w:pPr>
        <w:numPr>
          <w:ilvl w:val="0"/>
          <w:numId w:val="22"/>
        </w:numPr>
        <w:overflowPunct/>
        <w:autoSpaceDE/>
        <w:autoSpaceDN/>
        <w:adjustRightInd/>
        <w:spacing w:after="160" w:line="259" w:lineRule="auto"/>
        <w:textAlignment w:val="auto"/>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rFonts w:hint="eastAsia"/>
          <w:szCs w:val="21"/>
        </w:rPr>
        <w:t>,</w:t>
      </w:r>
      <w:r>
        <w:rPr>
          <w:szCs w:val="21"/>
        </w:rPr>
        <w:t xml:space="preserve"> wherein,</w:t>
      </w:r>
    </w:p>
    <w:p w14:paraId="739BB72B" w14:textId="46C189F3" w:rsidR="009E5E15" w:rsidRDefault="009E5E15" w:rsidP="009E5E15">
      <w:pPr>
        <w:numPr>
          <w:ilvl w:val="1"/>
          <w:numId w:val="22"/>
        </w:numPr>
        <w:overflowPunct/>
        <w:autoSpaceDE/>
        <w:autoSpaceDN/>
        <w:adjustRightInd/>
        <w:spacing w:after="160" w:line="259" w:lineRule="auto"/>
        <w:textAlignment w:val="auto"/>
        <w:rPr>
          <w:bCs/>
        </w:rPr>
      </w:pPr>
      <w:r w:rsidRPr="005C301B">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5C301B">
        <w:rPr>
          <w:rFonts w:cs="Calibri"/>
          <w:szCs w:val="21"/>
        </w:rPr>
        <w:t xml:space="preserve"> can be ignored</w:t>
      </w:r>
    </w:p>
    <w:p w14:paraId="37CEDD04" w14:textId="10073BD1" w:rsidR="009E5E15" w:rsidRPr="005C301B" w:rsidRDefault="009E5E15" w:rsidP="009E5E15">
      <w:pPr>
        <w:numPr>
          <w:ilvl w:val="1"/>
          <w:numId w:val="22"/>
        </w:numPr>
        <w:overflowPunct/>
        <w:autoSpaceDE/>
        <w:autoSpaceDN/>
        <w:adjustRightInd/>
        <w:spacing w:after="160" w:line="259" w:lineRule="auto"/>
        <w:textAlignment w:val="auto"/>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1601A79D" w14:textId="44363E53" w:rsidR="009E5E15" w:rsidRPr="008D50A2" w:rsidRDefault="00000000" w:rsidP="009E5E15">
      <w:pPr>
        <w:numPr>
          <w:ilvl w:val="1"/>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E5E15" w:rsidRPr="008D50A2">
        <w:rPr>
          <w:bCs/>
        </w:rPr>
        <w:t xml:space="preserve"> is UL transmission power of </w:t>
      </w:r>
      <w:r w:rsidR="009E5E15"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sidRPr="008D50A2">
        <w:t xml:space="preserve"> </w:t>
      </w:r>
      <w:r w:rsidR="009E5E15" w:rsidRPr="008D50A2">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E5E15" w:rsidRPr="008D50A2">
        <w:rPr>
          <w:rFonts w:hint="eastAsia"/>
          <w:bCs/>
          <w:iCs/>
        </w:rPr>
        <w:t>,</w:t>
      </w:r>
      <w:r w:rsidR="009E5E15" w:rsidRPr="008D50A2">
        <w:rPr>
          <w:bCs/>
          <w:iCs/>
        </w:rPr>
        <w:t xml:space="preserve"> and</w:t>
      </w:r>
      <w:r w:rsidR="009E5E15" w:rsidRPr="008D50A2">
        <w:rPr>
          <w:rFonts w:hint="eastAsia"/>
          <w:bCs/>
          <w:iCs/>
        </w:rPr>
        <w:t xml:space="preserve">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E5E15" w:rsidRPr="008D50A2">
        <w:rPr>
          <w:rFonts w:hint="eastAsia"/>
          <w:szCs w:val="21"/>
        </w:rPr>
        <w:t xml:space="preserve"> </w:t>
      </w:r>
      <w:r w:rsidR="009E5E15" w:rsidRPr="008D50A2">
        <w:rPr>
          <w:szCs w:val="21"/>
        </w:rPr>
        <w:t xml:space="preserve">is </w:t>
      </w:r>
      <w:r w:rsidR="009E5E15" w:rsidRPr="005C301B">
        <w:rPr>
          <w:rFonts w:cs="Calibri"/>
          <w:szCs w:val="21"/>
        </w:rPr>
        <w:t xml:space="preserve">the number of </w:t>
      </w:r>
      <w:r w:rsidR="009E5E15" w:rsidRPr="008D50A2">
        <w:rPr>
          <w:bCs/>
        </w:rPr>
        <w:t xml:space="preserve">UL RBs allocated for UL transmission of </w:t>
      </w:r>
      <w:r w:rsidR="009E5E15"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Pr>
          <w:rFonts w:hint="eastAsia"/>
          <w:bCs/>
          <w:iCs/>
        </w:rPr>
        <w:t>.</w:t>
      </w:r>
    </w:p>
    <w:p w14:paraId="5887FE9C" w14:textId="2806D261" w:rsidR="009E5E15" w:rsidRDefault="00000000" w:rsidP="009E5E15">
      <w:pPr>
        <w:numPr>
          <w:ilvl w:val="1"/>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9E5E15" w:rsidRPr="005C301B">
        <w:rPr>
          <w:rFonts w:cs="Calibri"/>
          <w:szCs w:val="21"/>
        </w:rPr>
        <w:t xml:space="preserve"> is the Transmission Bandwidth Configuration, referring to Table 5.3.2-1 in TS 38.101-1 for FR1 and in TS 38.101-2 for FR2-1.</w:t>
      </w:r>
    </w:p>
    <w:p w14:paraId="743F98EF" w14:textId="10A2A687" w:rsidR="009E5E15" w:rsidRDefault="00000000" w:rsidP="009E5E15">
      <w:pPr>
        <w:numPr>
          <w:ilvl w:val="2"/>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9E5E15" w:rsidRPr="005C301B">
        <w:rPr>
          <w:rFonts w:cs="Calibri"/>
          <w:szCs w:val="21"/>
        </w:rPr>
        <w:t xml:space="preserve"> for FR1 with 100MHz transmission bandwidth and 30kHz SCS</w:t>
      </w:r>
    </w:p>
    <w:p w14:paraId="46DB091A" w14:textId="3BC808EC" w:rsidR="009E5E15" w:rsidRDefault="00000000" w:rsidP="009E5E15">
      <w:pPr>
        <w:numPr>
          <w:ilvl w:val="2"/>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9E5E15" w:rsidRPr="005C301B">
        <w:rPr>
          <w:rFonts w:cs="Calibri"/>
          <w:szCs w:val="21"/>
        </w:rPr>
        <w:t xml:space="preserve"> for FR2-1 with 200MHz transmission bandwidth and 120kHz SCS</w:t>
      </w:r>
    </w:p>
    <w:p w14:paraId="5BF90316" w14:textId="5012E160" w:rsidR="009E5E15" w:rsidRDefault="00000000" w:rsidP="009E5E15">
      <w:pPr>
        <w:numPr>
          <w:ilvl w:val="1"/>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9E5E15" w:rsidRPr="005C301B">
        <w:rPr>
          <w:rFonts w:cs="Calibri"/>
          <w:szCs w:val="21"/>
        </w:rPr>
        <w:t xml:space="preserve"> is the starting frequency offset between the allocated UL RBs and the measured non-allocated RB (e.g. </w:t>
      </w:r>
      <w:r w:rsidR="009E5E15" w:rsidRPr="005C301B">
        <w:rPr>
          <w:rFonts w:cs="Calibri"/>
          <w:i/>
          <w:szCs w:val="21"/>
        </w:rPr>
        <w:t>∆</w:t>
      </w:r>
      <w:r w:rsidR="009E5E15" w:rsidRPr="005C301B">
        <w:rPr>
          <w:rFonts w:cs="Calibri"/>
          <w:i/>
          <w:szCs w:val="21"/>
          <w:vertAlign w:val="subscript"/>
        </w:rPr>
        <w:t>RB</w:t>
      </w:r>
      <w:r w:rsidR="009E5E15" w:rsidRPr="005C301B">
        <w:rPr>
          <w:rFonts w:cs="Calibri"/>
          <w:szCs w:val="21"/>
          <w:vertAlign w:val="subscript"/>
        </w:rPr>
        <w:t xml:space="preserve"> </w:t>
      </w:r>
      <w:r w:rsidR="009E5E15" w:rsidRPr="005C301B">
        <w:rPr>
          <w:rFonts w:cs="Calibri"/>
          <w:szCs w:val="21"/>
        </w:rPr>
        <w:t xml:space="preserve">= 1 or </w:t>
      </w:r>
      <w:r w:rsidR="009E5E15" w:rsidRPr="005C301B">
        <w:rPr>
          <w:rFonts w:cs="Calibri"/>
          <w:i/>
          <w:szCs w:val="21"/>
        </w:rPr>
        <w:t>∆</w:t>
      </w:r>
      <w:r w:rsidR="009E5E15" w:rsidRPr="005C301B">
        <w:rPr>
          <w:rFonts w:cs="Calibri"/>
          <w:i/>
          <w:szCs w:val="21"/>
          <w:vertAlign w:val="subscript"/>
        </w:rPr>
        <w:t>RB</w:t>
      </w:r>
      <w:r w:rsidR="009E5E15" w:rsidRPr="005C301B">
        <w:rPr>
          <w:rFonts w:cs="Calibri"/>
          <w:szCs w:val="21"/>
          <w:vertAlign w:val="subscript"/>
        </w:rPr>
        <w:t xml:space="preserve"> </w:t>
      </w:r>
      <w:r w:rsidR="009E5E15" w:rsidRPr="005C301B">
        <w:rPr>
          <w:rFonts w:cs="Calibri"/>
          <w:szCs w:val="21"/>
        </w:rPr>
        <w:t>= -1 for the first adjacent RB outside of the allocated UL RBs)</w:t>
      </w:r>
    </w:p>
    <w:p w14:paraId="7AF83842" w14:textId="77777777" w:rsidR="009E5E15" w:rsidRDefault="009E5E15" w:rsidP="009E5E15">
      <w:pPr>
        <w:numPr>
          <w:ilvl w:val="1"/>
          <w:numId w:val="22"/>
        </w:numPr>
        <w:overflowPunct/>
        <w:autoSpaceDE/>
        <w:autoSpaceDN/>
        <w:adjustRightInd/>
        <w:spacing w:after="160" w:line="259" w:lineRule="auto"/>
        <w:textAlignment w:val="auto"/>
        <w:rPr>
          <w:bCs/>
        </w:rPr>
      </w:pPr>
      <w:r w:rsidRPr="005C301B">
        <w:rPr>
          <w:rFonts w:cs="Calibri"/>
          <w:szCs w:val="21"/>
        </w:rPr>
        <w:t xml:space="preserve">EVM </w:t>
      </w:r>
      <w:r>
        <w:t xml:space="preserve">is the limit specified in Table 6.4.2.1-1 </w:t>
      </w:r>
      <w:r w:rsidRPr="005C301B">
        <w:rPr>
          <w:rFonts w:cs="Calibri"/>
          <w:szCs w:val="21"/>
        </w:rPr>
        <w:t xml:space="preserve">in TS 38.101-1 for FR1 and in TS 38.101-2 for FR2-1 </w:t>
      </w:r>
      <w:r>
        <w:t>for the modulation format used in the allocated RBs.</w:t>
      </w:r>
    </w:p>
    <w:p w14:paraId="39B0A308" w14:textId="52B5ED88" w:rsidR="009E5E15" w:rsidRPr="009E5E15" w:rsidRDefault="009E5E15" w:rsidP="009E5E15">
      <w:pPr>
        <w:rPr>
          <w:color w:val="FF0000"/>
        </w:rPr>
      </w:pPr>
      <w:r w:rsidRPr="009E5E15">
        <w:rPr>
          <w:color w:val="FF0000"/>
        </w:rPr>
        <w:t>Send an LS to RAN4 to inform them of the above agreement and to check if the RAN1 agreement is inline with RAN4’s understanding.</w:t>
      </w:r>
    </w:p>
    <w:p w14:paraId="286663E8" w14:textId="7B138B87" w:rsidR="009E5E15" w:rsidRDefault="009E5E15" w:rsidP="009E5E15"/>
    <w:p w14:paraId="78CEC636" w14:textId="77777777" w:rsidR="0043503B" w:rsidRPr="00B252BD" w:rsidRDefault="0043503B" w:rsidP="0043503B">
      <w:pPr>
        <w:rPr>
          <w:b/>
          <w:highlight w:val="darkYellow"/>
        </w:rPr>
      </w:pPr>
      <w:r w:rsidRPr="00B252BD">
        <w:rPr>
          <w:b/>
          <w:highlight w:val="darkYellow"/>
        </w:rPr>
        <w:t>Working assumption:</w:t>
      </w:r>
    </w:p>
    <w:p w14:paraId="2F96F124" w14:textId="4AF28A64" w:rsidR="0043503B" w:rsidRPr="005474AE" w:rsidRDefault="0043503B" w:rsidP="0043503B">
      <w:pPr>
        <w:rPr>
          <w:bCs/>
        </w:rPr>
      </w:pPr>
      <w:r>
        <w:rPr>
          <w:bCs/>
        </w:rPr>
        <w:t xml:space="preserve">For SLS in RAN1, </w:t>
      </w:r>
      <w:r w:rsidRPr="005474AE">
        <w:rPr>
          <w:bCs/>
        </w:rPr>
        <w:t xml:space="preserve">if both large-scale and small-scale fading are modelled for </w:t>
      </w:r>
      <w:r w:rsidRPr="005474AE">
        <w:rPr>
          <w:bCs/>
          <w:lang w:val="it-IT"/>
        </w:rPr>
        <w:t xml:space="preserve">UE-UE co-channel channel model, the UE-UE </w:t>
      </w:r>
      <w:r>
        <w:rPr>
          <w:rFonts w:hint="eastAsia"/>
        </w:rPr>
        <w:t xml:space="preserve">co-channel inter-subband CLI signal across all Rx chains at </w:t>
      </w:r>
      <w:r>
        <w:t>D</w:t>
      </w:r>
      <w:r>
        <w:rPr>
          <w:rFonts w:hint="eastAsia"/>
        </w:rPr>
        <w:t xml:space="preserve">L RB </w:t>
      </w:r>
      <m:oMath>
        <m:r>
          <w:rPr>
            <w:rFonts w:ascii="Cambria Math" w:hAnsi="Cambria Math"/>
          </w:rPr>
          <m:t>n</m:t>
        </m:r>
      </m:oMath>
      <w:r>
        <w:rPr>
          <w:rFonts w:hint="eastAsia"/>
        </w:rPr>
        <w:t xml:space="preserve"> at victim </w:t>
      </w:r>
      <w:r>
        <w:t>UE</w:t>
      </w:r>
      <w:r>
        <w:rPr>
          <w:rFonts w:hint="eastAsia"/>
        </w:rPr>
        <w:t xml:space="preserve"> can be modeled as</w:t>
      </w:r>
      <w:r>
        <w:t>:</w:t>
      </w:r>
    </w:p>
    <w:p w14:paraId="4CADBEBB" w14:textId="51E7A885" w:rsidR="0043503B" w:rsidRDefault="00000000" w:rsidP="0043503B">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43503B">
        <w:rPr>
          <w:rFonts w:hint="eastAsia"/>
        </w:rPr>
        <w:t xml:space="preserve"> where,</w:t>
      </w:r>
    </w:p>
    <w:p w14:paraId="407ADECE" w14:textId="4197FFF4" w:rsidR="0043503B" w:rsidRDefault="00000000" w:rsidP="0043503B">
      <w:pPr>
        <w:pStyle w:val="ListParagraph"/>
        <w:numPr>
          <w:ilvl w:val="0"/>
          <w:numId w:val="25"/>
        </w:numPr>
        <w:overflowPunct w:val="0"/>
        <w:autoSpaceDE w:val="0"/>
        <w:autoSpaceDN w:val="0"/>
        <w:adjustRightInd w:val="0"/>
        <w:spacing w:after="18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43503B">
        <w:rPr>
          <w:szCs w:val="20"/>
        </w:rPr>
        <w:t xml:space="preserve"> is the first part of UE-UE co-channel inter-subband CLI across all Rx chains at DL RB </w:t>
      </w:r>
      <m:oMath>
        <m:r>
          <w:rPr>
            <w:rFonts w:ascii="Cambria Math" w:hAnsi="Cambria Math"/>
            <w:szCs w:val="20"/>
          </w:rPr>
          <m:t>n</m:t>
        </m:r>
      </m:oMath>
      <w:r w:rsidR="0043503B">
        <w:rPr>
          <w:szCs w:val="20"/>
        </w:rPr>
        <w:t>, caused by power leakage at aggressor UE,</w:t>
      </w:r>
    </w:p>
    <w:p w14:paraId="44C25AA1" w14:textId="08F37A21" w:rsidR="0043503B" w:rsidRPr="009837C1"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sidR="0043503B">
        <w:rPr>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3503B">
        <w:rPr>
          <w:szCs w:val="20"/>
        </w:rPr>
        <w:t xml:space="preserve"> channel matrix between aggressor UE and victim UE at DL RB </w:t>
      </w:r>
      <m:oMath>
        <m:r>
          <w:rPr>
            <w:rFonts w:ascii="Cambria Math" w:hAnsi="Cambria Math"/>
            <w:szCs w:val="20"/>
          </w:rPr>
          <m:t>n</m:t>
        </m:r>
      </m:oMath>
      <w:r w:rsidR="0043503B">
        <w:rPr>
          <w:szCs w:val="20"/>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14:paraId="6F1BAB80" w14:textId="4BC544AB"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oMath>
      <w:r w:rsidR="0043503B" w:rsidRPr="00CF1E0C">
        <w:rPr>
          <w:rFonts w:eastAsia="MS Mincho" w:hint="eastAsia"/>
          <w:iCs/>
          <w:lang w:eastAsia="ja-JP"/>
        </w:rPr>
        <w:t xml:space="preserve"> </w:t>
      </w:r>
      <w:r w:rsidR="0043503B" w:rsidRPr="00CF1E0C">
        <w:rPr>
          <w:rFonts w:eastAsia="MS Mincho"/>
          <w:iCs/>
          <w:lang w:eastAsia="ja-JP"/>
        </w:rPr>
        <w:t xml:space="preserve">is the number of Rx chains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3503B" w:rsidRPr="00CF1E0C">
        <w:rPr>
          <w:rFonts w:eastAsia="MS Mincho" w:hint="eastAsia"/>
          <w:iCs/>
          <w:lang w:eastAsia="ja-JP"/>
        </w:rPr>
        <w:t xml:space="preserve"> </w:t>
      </w:r>
      <w:r w:rsidR="0043503B" w:rsidRPr="00CF1E0C">
        <w:rPr>
          <w:rFonts w:eastAsia="MS Mincho"/>
          <w:iCs/>
          <w:lang w:eastAsia="ja-JP"/>
        </w:rPr>
        <w:t>is the number of Tx chains</w:t>
      </w:r>
    </w:p>
    <w:p w14:paraId="138F459D" w14:textId="1069F2A1"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CF1E0C">
        <w:rPr>
          <w:rFonts w:hint="eastAsia"/>
        </w:rPr>
        <w:t>.</w:t>
      </w:r>
    </w:p>
    <w:p w14:paraId="7A6E521A" w14:textId="6A86EDF7"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43503B" w:rsidRPr="00CF1E0C">
        <w:rPr>
          <w:rFonts w:hint="eastAsia"/>
          <w:bCs/>
          <w:iCs/>
        </w:rPr>
        <w:t>,</w:t>
      </w:r>
    </w:p>
    <w:p w14:paraId="7550A6E1" w14:textId="701D5759" w:rsidR="0043503B" w:rsidRPr="00CF1E0C" w:rsidRDefault="0043503B" w:rsidP="0043503B">
      <w:pPr>
        <w:pStyle w:val="ListParagraph"/>
        <w:numPr>
          <w:ilvl w:val="2"/>
          <w:numId w:val="25"/>
        </w:numPr>
        <w:overflowPunct w:val="0"/>
        <w:autoSpaceDE w:val="0"/>
        <w:autoSpaceDN w:val="0"/>
        <w:adjustRightInd w:val="0"/>
        <w:spacing w:after="160" w:line="256" w:lineRule="auto"/>
        <w:contextualSpacing/>
        <w:textAlignment w:val="baseline"/>
        <w:rPr>
          <w:bCs/>
        </w:rPr>
      </w:pPr>
      <w:r w:rsidRPr="00CF1E0C">
        <w:rPr>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CF1E0C">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CF1E0C">
        <w:rPr>
          <w:bCs/>
        </w:rPr>
        <w:t>, is modelled as white Gaussian noise</w:t>
      </w:r>
    </w:p>
    <w:p w14:paraId="321EF442" w14:textId="664E6B1A" w:rsidR="0043503B" w:rsidRPr="00CF1E0C" w:rsidRDefault="00000000" w:rsidP="0043503B">
      <w:pPr>
        <w:pStyle w:val="ListParagraph"/>
        <w:numPr>
          <w:ilvl w:val="2"/>
          <w:numId w:val="25"/>
        </w:numPr>
        <w:overflowPunct w:val="0"/>
        <w:autoSpaceDE w:val="0"/>
        <w:autoSpaceDN w:val="0"/>
        <w:adjustRightInd w:val="0"/>
        <w:spacing w:after="160" w:line="256" w:lineRule="auto"/>
        <w:contextualSpacing/>
        <w:textAlignment w:val="baseline"/>
        <w:rPr>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43503B" w:rsidRPr="00CF1E0C">
        <w:rPr>
          <w:rFonts w:hint="eastAsia"/>
        </w:rPr>
        <w:t xml:space="preserve"> </w:t>
      </w:r>
      <w:r w:rsidR="0043503B" w:rsidRPr="00CF1E0C">
        <w:t>has the same meaning as in the agreement for the case only large-scale fading is modelled</w:t>
      </w:r>
    </w:p>
    <w:p w14:paraId="688D5ED1" w14:textId="5306F4E8" w:rsidR="0043503B" w:rsidRPr="00CF1E0C" w:rsidRDefault="00000000" w:rsidP="0043503B">
      <w:pPr>
        <w:pStyle w:val="ListParagraph"/>
        <w:numPr>
          <w:ilvl w:val="0"/>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43503B" w:rsidRPr="00CF1E0C">
        <w:rPr>
          <w:iCs/>
        </w:rPr>
        <w:t xml:space="preserve"> </w:t>
      </w:r>
      <w:r w:rsidR="0043503B" w:rsidRPr="00CF1E0C">
        <w:rPr>
          <w:rFonts w:eastAsia="宋体"/>
          <w:szCs w:val="20"/>
        </w:rPr>
        <w:t>is modelled as frequency flat</w:t>
      </w:r>
    </w:p>
    <w:p w14:paraId="127B65C6" w14:textId="513FC439" w:rsidR="0043503B" w:rsidRPr="0043503B" w:rsidRDefault="00000000" w:rsidP="0043503B">
      <w:pPr>
        <w:pStyle w:val="ListParagraph"/>
        <w:overflowPunct w:val="0"/>
        <w:autoSpaceDE w:val="0"/>
        <w:autoSpaceDN w:val="0"/>
        <w:adjustRightInd w:val="0"/>
        <w:spacing w:line="256" w:lineRule="auto"/>
        <w:ind w:left="800" w:firstLine="440"/>
        <w:textAlignment w:val="baseline"/>
        <w:rPr>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22FC1B59" w14:textId="77777777" w:rsidR="0043503B" w:rsidRPr="00CF1E0C" w:rsidRDefault="0043503B" w:rsidP="0043503B">
      <w:pPr>
        <w:pStyle w:val="ListParagraph"/>
        <w:overflowPunct w:val="0"/>
        <w:autoSpaceDE w:val="0"/>
        <w:autoSpaceDN w:val="0"/>
        <w:adjustRightInd w:val="0"/>
        <w:spacing w:line="256" w:lineRule="auto"/>
        <w:ind w:left="800" w:firstLine="400"/>
        <w:textAlignment w:val="baseline"/>
        <w:rPr>
          <w:szCs w:val="20"/>
        </w:rPr>
      </w:pPr>
    </w:p>
    <w:p w14:paraId="3CB1E492" w14:textId="53B2C5E0"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43503B" w:rsidRPr="00CF1E0C">
        <w:rPr>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43503B" w:rsidRPr="00CF1E0C">
        <w:rPr>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14:paraId="0F9A9A92" w14:textId="051D8A50"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0043503B" w:rsidRPr="00CF1E0C">
        <w:rPr>
          <w:szCs w:val="20"/>
        </w:rPr>
        <w:t xml:space="preserve"> </w:t>
      </w:r>
    </w:p>
    <w:p w14:paraId="39288B3C" w14:textId="365CA6ED"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3503B" w:rsidRPr="00CF1E0C">
        <w:rPr>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0043503B" w:rsidRPr="00CF1E0C">
        <w:rPr>
          <w:szCs w:val="20"/>
        </w:rPr>
        <w:t xml:space="preserve"> channel matrix between aggressor UE and victim UE at UL RB </w:t>
      </w:r>
      <m:oMath>
        <m:r>
          <w:rPr>
            <w:rFonts w:ascii="Cambria Math" w:hAnsi="Cambria Math"/>
            <w:szCs w:val="20"/>
          </w:rPr>
          <m:t>m</m:t>
        </m:r>
      </m:oMath>
      <w:r w:rsidR="0043503B" w:rsidRPr="00CF1E0C">
        <w:rPr>
          <w:szCs w:val="20"/>
        </w:rPr>
        <w:t xml:space="preserve">, the analog beams of the aggressor UE and the victim gNB can be taken into account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3503B" w:rsidRPr="00CF1E0C">
        <w:rPr>
          <w:szCs w:val="20"/>
        </w:rPr>
        <w:t>,</w:t>
      </w:r>
    </w:p>
    <w:p w14:paraId="63725F7A" w14:textId="6EB2381D"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35C5ADA1" w14:textId="4D766FC0"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0043503B" w:rsidRPr="00CF1E0C">
        <w:rPr>
          <w:szCs w:val="20"/>
        </w:rPr>
        <w:t xml:space="preserve"> is the symbol transmitted at UL RB </w:t>
      </w:r>
      <m:oMath>
        <m:r>
          <w:rPr>
            <w:rFonts w:ascii="Cambria Math" w:hAnsi="Cambria Math"/>
            <w:szCs w:val="20"/>
          </w:rPr>
          <m:t>m</m:t>
        </m:r>
      </m:oMath>
      <w:r w:rsidR="0043503B" w:rsidRPr="00CF1E0C">
        <w:rPr>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3503B" w:rsidRPr="00CF1E0C">
        <w:rPr>
          <w:szCs w:val="20"/>
        </w:rPr>
        <w:t>.</w:t>
      </w:r>
    </w:p>
    <w:p w14:paraId="7BA2B8F3" w14:textId="3F2C0FE3" w:rsidR="0043503B" w:rsidRPr="00CF1E0C" w:rsidRDefault="00000000" w:rsidP="0043503B">
      <w:pPr>
        <w:pStyle w:val="ListParagraph"/>
        <w:numPr>
          <w:ilvl w:val="2"/>
          <w:numId w:val="25"/>
        </w:numPr>
        <w:tabs>
          <w:tab w:val="left" w:pos="2160"/>
        </w:tabs>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3503B" w:rsidRPr="00CF1E0C">
        <w:t xml:space="preserve"> has the same meaning as in the agreement for the case only large-scale fading is modelled</w:t>
      </w:r>
    </w:p>
    <w:p w14:paraId="2C9E3CB6" w14:textId="0AF23485"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0043503B" w:rsidRPr="00CF1E0C">
        <w:rPr>
          <w:szCs w:val="20"/>
        </w:rPr>
        <w:t xml:space="preserve"> is the total number of UL RBs in the UL subbands,</w:t>
      </w:r>
    </w:p>
    <w:p w14:paraId="4D8BE476" w14:textId="28C48BA4"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3503B" w:rsidRPr="00CF1E0C">
        <w:rPr>
          <w:rFonts w:hint="eastAsia"/>
          <w:szCs w:val="20"/>
        </w:rPr>
        <w:t xml:space="preserve"> </w:t>
      </w:r>
      <w:r w:rsidR="0043503B" w:rsidRPr="00CF1E0C">
        <w:rPr>
          <w:szCs w:val="20"/>
        </w:rPr>
        <w:t xml:space="preserve">is in linear scale. For the value of </w:t>
      </w: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3503B" w:rsidRPr="00CF1E0C">
        <w:rPr>
          <w:szCs w:val="20"/>
        </w:rPr>
        <w:t>, it is up to RAN4. Companies can report the value used in their simulation before receiving RAN4’s further input.</w:t>
      </w:r>
    </w:p>
    <w:p w14:paraId="37DCA87D" w14:textId="0AC8749D" w:rsidR="009E5E15" w:rsidRPr="0043503B" w:rsidRDefault="0043503B" w:rsidP="0043503B">
      <w:pPr>
        <w:rPr>
          <w:color w:val="FF0000"/>
        </w:rPr>
      </w:pPr>
      <w:r w:rsidRPr="0043503B">
        <w:rPr>
          <w:color w:val="FF0000"/>
        </w:rPr>
        <w:t>Send an LS to RAN4 to inform them of the above agreement and to check if the RAN1 agreement is inline with RAN4’s understanding.</w:t>
      </w:r>
    </w:p>
    <w:p w14:paraId="407A02FE" w14:textId="23D1AA8F" w:rsidR="009E5E15" w:rsidRDefault="009E5E15" w:rsidP="009E5E15"/>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21CB64FC"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w:t>
      </w:r>
      <w:r w:rsidR="00706FB9">
        <w:rPr>
          <w:rFonts w:eastAsia="等线"/>
          <w:lang w:val="en-GB"/>
        </w:rPr>
        <w:t xml:space="preserve">to </w:t>
      </w:r>
      <w:r w:rsidR="006A5576">
        <w:rPr>
          <w:rFonts w:eastAsia="等线"/>
          <w:lang w:val="en-GB"/>
        </w:rPr>
        <w:t xml:space="preserve">provide </w:t>
      </w:r>
      <w:r w:rsidRPr="00385C48">
        <w:rPr>
          <w:rFonts w:eastAsia="等线"/>
          <w:lang w:val="en-GB"/>
        </w:rPr>
        <w:t xml:space="preserve">feedback </w:t>
      </w:r>
      <w:r w:rsidR="00C0105D">
        <w:rPr>
          <w:rFonts w:eastAsia="等线"/>
          <w:lang w:val="en-GB"/>
        </w:rPr>
        <w:t>on the</w:t>
      </w:r>
      <w:r w:rsidR="008437C3">
        <w:rPr>
          <w:rFonts w:eastAsia="等线"/>
          <w:lang w:val="en-GB"/>
        </w:rPr>
        <w:t xml:space="preserve"> </w:t>
      </w:r>
      <w:r w:rsidR="00DE3CAB">
        <w:rPr>
          <w:rFonts w:eastAsia="等线"/>
          <w:lang w:val="en-GB"/>
        </w:rPr>
        <w:t>above agreements and working assumption</w:t>
      </w:r>
      <w:r w:rsidR="00BA0D9B" w:rsidRPr="00993478">
        <w:rPr>
          <w:rFonts w:eastAsia="等线"/>
          <w:lang w:val="en-GB"/>
        </w:rPr>
        <w:t>.</w:t>
      </w:r>
      <w:r w:rsidR="00993478">
        <w:rPr>
          <w:rFonts w:eastAsia="等线"/>
          <w:lang w:val="en-GB"/>
        </w:rPr>
        <w:t xml:space="preserve"> </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bookmarkEnd w:id="0"/>
    <w:bookmarkEnd w:id="1"/>
    <w:p w14:paraId="1854158B" w14:textId="223C5EBB" w:rsidR="008437C3" w:rsidRPr="00385C48" w:rsidRDefault="008437C3" w:rsidP="008437C3">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2-bis-e            </w:t>
      </w:r>
      <w:r w:rsidRPr="00385C48">
        <w:rPr>
          <w:rFonts w:eastAsia="等线"/>
          <w:lang w:val="en-GB"/>
        </w:rPr>
        <w:t xml:space="preserve">               </w:t>
      </w:r>
      <w:r>
        <w:rPr>
          <w:rFonts w:eastAsia="等线"/>
          <w:lang w:val="en-GB"/>
        </w:rPr>
        <w:t>17</w:t>
      </w:r>
      <w:r w:rsidRPr="00385C48">
        <w:rPr>
          <w:rFonts w:eastAsia="等线"/>
          <w:lang w:val="en-GB"/>
        </w:rPr>
        <w:t xml:space="preserve">th </w:t>
      </w:r>
      <w:r>
        <w:rPr>
          <w:rFonts w:eastAsia="等线"/>
          <w:lang w:val="en-GB"/>
        </w:rPr>
        <w:t>Apr</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Apr</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Pr>
          <w:rFonts w:eastAsia="等线"/>
          <w:lang w:val="en-GB"/>
        </w:rPr>
        <w:t>E-meeting</w:t>
      </w:r>
    </w:p>
    <w:p w14:paraId="06C03F96" w14:textId="6F76181F" w:rsidR="008437C3" w:rsidRPr="008437C3" w:rsidRDefault="004D4E15" w:rsidP="00385C48">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3                     </w:t>
      </w:r>
      <w:r w:rsidRPr="00385C48">
        <w:rPr>
          <w:rFonts w:eastAsia="等线"/>
          <w:lang w:val="en-GB"/>
        </w:rPr>
        <w:t xml:space="preserve">               </w:t>
      </w:r>
      <w:r>
        <w:rPr>
          <w:rFonts w:eastAsia="等线"/>
          <w:lang w:val="en-GB"/>
        </w:rPr>
        <w:t>22nd</w:t>
      </w:r>
      <w:r w:rsidRPr="00385C48">
        <w:rPr>
          <w:rFonts w:eastAsia="等线"/>
          <w:lang w:val="en-GB"/>
        </w:rPr>
        <w:t xml:space="preserve"> </w:t>
      </w:r>
      <w:r>
        <w:rPr>
          <w:rFonts w:eastAsia="等线"/>
          <w:lang w:val="en-GB"/>
        </w:rPr>
        <w:t>May</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May</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sidRPr="004D4E15">
        <w:rPr>
          <w:rFonts w:eastAsia="等线"/>
          <w:lang w:val="en-GB"/>
        </w:rPr>
        <w:t>Incheon, KR</w:t>
      </w:r>
    </w:p>
    <w:sectPr w:rsidR="008437C3" w:rsidRPr="008437C3"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DB591" w14:textId="77777777" w:rsidR="00C37554" w:rsidRDefault="00C37554">
      <w:r>
        <w:separator/>
      </w:r>
    </w:p>
  </w:endnote>
  <w:endnote w:type="continuationSeparator" w:id="0">
    <w:p w14:paraId="044D525B" w14:textId="77777777" w:rsidR="00C37554" w:rsidRDefault="00C37554">
      <w:r>
        <w:continuationSeparator/>
      </w:r>
    </w:p>
  </w:endnote>
  <w:endnote w:type="continuationNotice" w:id="1">
    <w:p w14:paraId="7EBC1033" w14:textId="77777777" w:rsidR="00C37554" w:rsidRDefault="00C37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7DD2" w14:textId="77777777" w:rsidR="00C37554" w:rsidRDefault="00C37554">
      <w:r>
        <w:separator/>
      </w:r>
    </w:p>
  </w:footnote>
  <w:footnote w:type="continuationSeparator" w:id="0">
    <w:p w14:paraId="6E343436" w14:textId="77777777" w:rsidR="00C37554" w:rsidRDefault="00C37554">
      <w:r>
        <w:continuationSeparator/>
      </w:r>
    </w:p>
  </w:footnote>
  <w:footnote w:type="continuationNotice" w:id="1">
    <w:p w14:paraId="6C78E8E2" w14:textId="77777777" w:rsidR="00C37554" w:rsidRDefault="00C37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3"/>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4"/>
  </w:num>
  <w:num w:numId="8" w16cid:durableId="892892048">
    <w:abstractNumId w:val="10"/>
  </w:num>
  <w:num w:numId="9" w16cid:durableId="801995797">
    <w:abstractNumId w:val="21"/>
  </w:num>
  <w:num w:numId="10" w16cid:durableId="1144204270">
    <w:abstractNumId w:val="5"/>
  </w:num>
  <w:num w:numId="11" w16cid:durableId="1622611579">
    <w:abstractNumId w:val="14"/>
  </w:num>
  <w:num w:numId="12" w16cid:durableId="1474759726">
    <w:abstractNumId w:val="8"/>
  </w:num>
  <w:num w:numId="13" w16cid:durableId="69934745">
    <w:abstractNumId w:val="1"/>
  </w:num>
  <w:num w:numId="14" w16cid:durableId="318191595">
    <w:abstractNumId w:val="18"/>
  </w:num>
  <w:num w:numId="15" w16cid:durableId="680082891">
    <w:abstractNumId w:val="6"/>
  </w:num>
  <w:num w:numId="16" w16cid:durableId="1218739559">
    <w:abstractNumId w:val="23"/>
  </w:num>
  <w:num w:numId="17" w16cid:durableId="2099866722">
    <w:abstractNumId w:val="19"/>
  </w:num>
  <w:num w:numId="18" w16cid:durableId="1734110993">
    <w:abstractNumId w:val="22"/>
  </w:num>
  <w:num w:numId="19" w16cid:durableId="433289685">
    <w:abstractNumId w:val="12"/>
  </w:num>
  <w:num w:numId="20" w16cid:durableId="1603954654">
    <w:abstractNumId w:val="20"/>
  </w:num>
  <w:num w:numId="21" w16cid:durableId="372265751">
    <w:abstractNumId w:val="11"/>
  </w:num>
  <w:num w:numId="22" w16cid:durableId="969743673">
    <w:abstractNumId w:val="2"/>
  </w:num>
  <w:num w:numId="23" w16cid:durableId="1289236325">
    <w:abstractNumId w:val="15"/>
  </w:num>
  <w:num w:numId="24" w16cid:durableId="18700290">
    <w:abstractNumId w:val="17"/>
  </w:num>
  <w:num w:numId="25" w16cid:durableId="193331334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BCD"/>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2F94"/>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1FF6"/>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3B"/>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ED8"/>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A"/>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91"/>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3B"/>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E15"/>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D6B"/>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CDE"/>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DCE"/>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3EC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D5A"/>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77"/>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478"/>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15"/>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8CD"/>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CC6"/>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75"/>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ECD"/>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554"/>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AB"/>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uiPriority w:val="99"/>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5812FC-5591-4A74-B985-5D95BC385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104</cp:revision>
  <cp:lastPrinted>2014-11-07T14:38:00Z</cp:lastPrinted>
  <dcterms:created xsi:type="dcterms:W3CDTF">2022-05-10T03:39:00Z</dcterms:created>
  <dcterms:modified xsi:type="dcterms:W3CDTF">2023-03-03T12:38:00Z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