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408"/>
          <w:tab w:val="right" w:pos="9216" w:leader="none"/>
        </w:tabs>
        <w:rPr>
          <w:b/>
          <w:b/>
        </w:rPr>
      </w:pPr>
      <w:r>
        <w:rPr>
          <w:b/>
        </w:rPr>
        <w:t>3GPP TSG RAN WG1 Meeting #112</w:t>
        <w:tab/>
        <w:t>R1-2301699</w:t>
      </w:r>
    </w:p>
    <w:p>
      <w:pPr>
        <w:pStyle w:val="Normal"/>
        <w:rPr/>
      </w:pPr>
      <w:r>
        <w:rPr>
          <w:b/>
        </w:rPr>
        <w:t>Greece, February 27</w:t>
      </w:r>
      <w:r>
        <w:rPr>
          <w:b/>
          <w:vertAlign w:val="superscript"/>
        </w:rPr>
        <w:t>th</w:t>
      </w:r>
      <w:r>
        <w:rPr>
          <w:b/>
        </w:rPr>
        <w:t xml:space="preserve"> – March 3</w:t>
      </w:r>
      <w:r>
        <w:rPr>
          <w:b/>
          <w:vertAlign w:val="superscript"/>
        </w:rPr>
        <w:t xml:space="preserve">rd </w:t>
      </w:r>
      <w:r>
        <w:rPr>
          <w:b/>
        </w:rPr>
        <w:t>, 2023</w:t>
      </w:r>
    </w:p>
    <w:p>
      <w:pPr>
        <w:pStyle w:val="Normal"/>
        <w:pBdr>
          <w:top w:val="single" w:sz="4" w:space="1" w:color="000001"/>
        </w:pBdr>
        <w:rPr>
          <w:b/>
          <w:b/>
        </w:rPr>
      </w:pPr>
      <w:r>
        <w:rPr>
          <w:b/>
        </w:rPr>
      </w:r>
    </w:p>
    <w:p>
      <w:pPr>
        <w:pStyle w:val="Normal"/>
        <w:spacing w:before="0" w:after="60"/>
        <w:ind w:left="1555" w:hanging="1555"/>
        <w:rPr>
          <w:b/>
          <w:b/>
        </w:rPr>
      </w:pPr>
      <w:r>
        <w:rPr>
          <w:b/>
        </w:rPr>
        <w:t>Agenda Item:</w:t>
        <w:tab/>
        <w:t>9.7.2</w:t>
      </w:r>
    </w:p>
    <w:p>
      <w:pPr>
        <w:pStyle w:val="Normal"/>
        <w:spacing w:before="0" w:after="60"/>
        <w:ind w:left="1555" w:hanging="1555"/>
        <w:rPr>
          <w:b/>
          <w:b/>
        </w:rPr>
      </w:pPr>
      <w:r>
        <w:rPr>
          <w:b/>
        </w:rPr>
        <w:t>Source:</w:t>
        <w:tab/>
        <w:t>CEWiT, IITM, IITK, Reliance Jio</w:t>
      </w:r>
    </w:p>
    <w:p>
      <w:pPr>
        <w:pStyle w:val="Normal"/>
        <w:spacing w:before="0" w:after="60"/>
        <w:ind w:left="1555" w:hanging="1555"/>
        <w:rPr/>
      </w:pPr>
      <w:r>
        <w:rPr>
          <w:b/>
        </w:rPr>
        <w:t>Title:</w:t>
        <w:tab/>
      </w:r>
      <w:r>
        <w:rPr>
          <w:b/>
          <w:lang w:val="en-US"/>
        </w:rPr>
        <w:t>Discussion on cell DTX/DRX mechanism for network energy saving</w:t>
      </w:r>
    </w:p>
    <w:p>
      <w:pPr>
        <w:pStyle w:val="Normal"/>
        <w:spacing w:before="0" w:after="60"/>
        <w:ind w:left="1555" w:hanging="1555"/>
        <w:rPr>
          <w:b/>
          <w:b/>
        </w:rPr>
      </w:pPr>
      <w:r>
        <w:rPr>
          <w:b/>
        </w:rPr>
        <w:t>Document for:</w:t>
        <w:tab/>
        <w:t xml:space="preserve">Discussion </w:t>
      </w:r>
    </w:p>
    <w:p>
      <w:pPr>
        <w:pStyle w:val="Normal"/>
        <w:pBdr>
          <w:bottom w:val="single" w:sz="4" w:space="1" w:color="000001"/>
        </w:pBdr>
        <w:rPr>
          <w:b/>
          <w:b/>
        </w:rPr>
      </w:pPr>
      <w:r>
        <w:rPr>
          <w:b/>
        </w:rPr>
      </w:r>
    </w:p>
    <w:p>
      <w:pPr>
        <w:pStyle w:val="Heading1"/>
        <w:numPr>
          <w:ilvl w:val="0"/>
          <w:numId w:val="2"/>
        </w:numPr>
        <w:rPr>
          <w:sz w:val="24"/>
          <w:szCs w:val="24"/>
        </w:rPr>
      </w:pPr>
      <w:bookmarkStart w:id="0" w:name="_Ref124589705"/>
      <w:bookmarkStart w:id="1" w:name="_Ref129681862"/>
      <w:bookmarkEnd w:id="0"/>
      <w:bookmarkEnd w:id="1"/>
      <w:r>
        <w:rPr>
          <w:sz w:val="24"/>
          <w:szCs w:val="24"/>
        </w:rPr>
        <w:t>Introduction</w:t>
      </w:r>
    </w:p>
    <w:p>
      <w:pPr>
        <w:pStyle w:val="Normal"/>
        <w:rPr/>
      </w:pPr>
      <w:r>
        <w:rPr/>
        <w:t xml:space="preserve">The study on “Techniques for network energy saving” concluded in RAN1#111 [1]. The details of the various techniques discussed during the SI phase and their potential energy saving gains were described in TR 38.864 [2]. The work item description on techniques for network energy savings for NR was approved in RAN#98-e [3]. One of the objectives in the approved WID was on enhancements on cell DTX/DRX mechanism and is given below. </w:t>
      </w:r>
      <w:bookmarkStart w:id="2" w:name="_Ref129681832"/>
    </w:p>
    <w:p>
      <w:pPr>
        <w:pStyle w:val="Normal"/>
        <w:rPr>
          <w:bCs/>
          <w:lang w:val="en-GB"/>
        </w:rPr>
      </w:pPr>
      <w:r>
        <w:rPr>
          <w:bCs/>
          <w:lang w:val="en-GB"/>
        </w:rPr>
      </w:r>
    </w:p>
    <w:tbl>
      <w:tblPr>
        <w:tblStyle w:val="5"/>
        <w:tblW w:w="9638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638"/>
      </w:tblGrid>
      <w:tr>
        <w:trPr/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240" w:after="0"/>
              <w:ind w:left="420" w:hanging="0"/>
              <w:rPr>
                <w:sz w:val="20"/>
              </w:rPr>
            </w:pPr>
            <w:r>
              <w:rPr>
                <w:b/>
                <w:bCs/>
                <w:sz w:val="20"/>
              </w:rPr>
              <w:t>Objectives</w:t>
            </w:r>
            <w:r>
              <w:rPr>
                <w:bCs/>
                <w:sz w:val="20"/>
              </w:rPr>
              <w:br/>
              <w:t>Specify enhancement on cell DTX/DRX mechanism including the alignment of cell DTX/DRX and UE DRX in RRC_CONNECTED mode, and inter-node information exchange on cell DTX/DRX [RAN2, RAN1, RAN3]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pacing w:before="120" w:after="120"/>
              <w:ind w:left="1049" w:hanging="329"/>
              <w:rPr>
                <w:bCs/>
                <w:lang w:val="en-US"/>
              </w:rPr>
            </w:pPr>
            <w:r>
              <w:rPr>
                <w:bCs/>
                <w:sz w:val="20"/>
                <w:lang w:val="en-US"/>
              </w:rPr>
              <w:t>Note: No change for SSB transmission due to cell DTX/DRX.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pacing w:before="120" w:after="120"/>
              <w:ind w:left="1049" w:hanging="329"/>
              <w:rPr>
                <w:bCs/>
                <w:lang w:val="en-US"/>
              </w:rPr>
            </w:pPr>
            <w:r>
              <w:rPr>
                <w:bCs/>
                <w:sz w:val="20"/>
                <w:lang w:val="en-US"/>
              </w:rPr>
              <w:t>Note: The impact to IDLE/INACTIVE UEs due to the above enhancement should be avoided.</w:t>
            </w:r>
          </w:p>
        </w:tc>
      </w:tr>
    </w:tbl>
    <w:p>
      <w:pPr>
        <w:pStyle w:val="Normal"/>
        <w:rPr/>
      </w:pPr>
      <w:r>
        <w:rPr/>
        <w:t>This contribution further discusses enhancements on cell DTX/DRX mechanism to improve network energy savings (NES).</w:t>
      </w:r>
    </w:p>
    <w:p>
      <w:pPr>
        <w:pStyle w:val="Normal"/>
        <w:rPr>
          <w:bCs/>
          <w:lang w:val="en-GB"/>
        </w:rPr>
      </w:pPr>
      <w:r>
        <w:rPr>
          <w:bCs/>
          <w:lang w:val="en-GB"/>
        </w:rPr>
      </w:r>
    </w:p>
    <w:p>
      <w:pPr>
        <w:pStyle w:val="TextBody"/>
        <w:spacing w:before="0" w:after="0"/>
        <w:rPr/>
      </w:pPr>
      <w:r>
        <w:rPr/>
      </w:r>
    </w:p>
    <w:p>
      <w:pPr>
        <w:pStyle w:val="Heading1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Cell DTX/DRX mechanism for network energy saving</w:t>
      </w:r>
    </w:p>
    <w:p>
      <w:pPr>
        <w:pStyle w:val="Normal"/>
        <w:spacing w:before="171" w:after="291"/>
        <w:rPr/>
      </w:pPr>
      <w:r>
        <w:rPr/>
        <w:t xml:space="preserve">A Cell DTX/DRX is a cycle of active and non-active periods which can be configured by gNB per serving cell. In the active period of the cell DTX/DRX, the BS switches on in intervals to perform the transmission and/or reception of signals and channels. </w:t>
      </w:r>
      <w:r>
        <w:rPr>
          <w:rFonts w:eastAsia="Wingdings"/>
          <w:iCs/>
        </w:rPr>
        <w:t xml:space="preserve">The energy saving at the gNB can be achieved by </w:t>
      </w:r>
      <w:r>
        <w:rPr/>
        <w:t>enabling DTX/DRX with reduced transmission and reception. The cell DTX/DRX can be configured to UE semi-static way based on a number of network parameters such as load, UE traffic, density and arrival rate. The parameters configured per Cell DTX/DRX configuration may contain periodicity, start slot/offset, on duration. The energy saving at gNB can be improved if the DTX/DRX adaptation takes care of the variation of network parameters. Hence, the cell DTX/DRX can have multiple configurations, based on different possible variations in the network parameters. The different cell DTX/DRX configurations may have different time granularity such as symbol, slot, sub-frame, or frame level for different starting time, periodicity and durations. The number of cell DTX/DRX configurations can also be predefined in standards.</w:t>
      </w:r>
    </w:p>
    <w:p>
      <w:pPr>
        <w:pStyle w:val="Normal"/>
        <w:shd w:val="clear" w:color="auto" w:fill="FFFFFF"/>
        <w:snapToGrid w:val="false"/>
        <w:spacing w:before="171" w:after="291"/>
        <w:rPr/>
      </w:pPr>
      <w:r>
        <w:rPr>
          <w:rFonts w:eastAsia="Malgun Gothic"/>
          <w:b/>
          <w:bCs/>
          <w:iCs/>
        </w:rPr>
        <w:t xml:space="preserve">Proposal 1: </w:t>
      </w:r>
      <w:r>
        <w:rPr>
          <w:rFonts w:eastAsia="Malgun Gothic"/>
          <w:iCs/>
        </w:rPr>
        <w:t>M</w:t>
      </w:r>
      <w:r>
        <w:rPr>
          <w:rFonts w:eastAsia="Malgun Gothic"/>
        </w:rPr>
        <w:t>ultiple Cell DTX/DRX configurations are supported.</w:t>
      </w:r>
    </w:p>
    <w:p>
      <w:pPr>
        <w:pStyle w:val="Normal"/>
        <w:spacing w:before="171" w:after="291"/>
        <w:rPr/>
      </w:pPr>
      <w:r>
        <w:rPr/>
        <w:t xml:space="preserve">The cell DTX/DRX can create collisions in the system when the off duration of the cycle overlaps with configured signals/channels. For e.g., the off duration of the DTX/DRX cycle overlaps with an occasion to transmit SSB/CSI-RS. Priority rule must be defined to avoid such collisions.  It was agreed that there is </w:t>
      </w:r>
      <w:r>
        <w:rPr>
          <w:rFonts w:eastAsia="Noto Serif CJK SC" w:cs="Lohit Devanagari"/>
          <w:kern w:val="2"/>
          <w:sz w:val="24"/>
          <w:szCs w:val="24"/>
        </w:rPr>
        <w:t>“</w:t>
      </w:r>
      <w:r>
        <w:rPr>
          <w:bCs/>
          <w:lang w:val="en-US"/>
        </w:rPr>
        <w:t>No change for SSB transmission due to cell DTX/DRX</w:t>
      </w:r>
      <w:r>
        <w:rPr>
          <w:rFonts w:eastAsia="Noto Serif CJK SC" w:cs="Lohit Devanagari"/>
          <w:bCs/>
          <w:kern w:val="2"/>
          <w:sz w:val="24"/>
          <w:szCs w:val="24"/>
          <w:lang w:val="en-US"/>
        </w:rPr>
        <w:t>” in RAN#98-e [3].</w:t>
      </w:r>
    </w:p>
    <w:p>
      <w:pPr>
        <w:pStyle w:val="Normal"/>
        <w:bidi w:val="0"/>
        <w:spacing w:before="171" w:after="291"/>
        <w:rPr/>
      </w:pPr>
      <w:r>
        <w:rPr/>
      </w:r>
    </w:p>
    <w:p>
      <w:pPr>
        <w:pStyle w:val="Normal"/>
        <w:spacing w:before="171" w:after="291"/>
        <w:rPr/>
      </w:pPr>
      <w:r>
        <w:rPr/>
        <w:t xml:space="preserve">Based on the agreement, the transmission of SSB is prioritized over DTX/DRX cycle. Hence, SSB is transmitted even if it overlaps with off duration of DTX/DRX cycle. However, prioritizing  </w:t>
      </w:r>
      <w:r>
        <w:rPr>
          <w:bCs/>
          <w:lang w:val="en-US"/>
        </w:rPr>
        <w:t xml:space="preserve">transmission/reception of channels/signals over the off duration of cell DTX/DRX </w:t>
      </w:r>
      <w:r>
        <w:rPr>
          <w:bCs/>
        </w:rPr>
        <w:t>causes</w:t>
      </w:r>
      <w:r>
        <w:rPr>
          <w:bCs/>
          <w:lang w:val="en-US"/>
        </w:rPr>
        <w:t xml:space="preserve"> decrease in </w:t>
      </w:r>
      <w:r>
        <w:rPr>
          <w:bCs/>
        </w:rPr>
        <w:t xml:space="preserve">non-active duration of gNB, thereby </w:t>
      </w:r>
      <w:r>
        <w:rPr>
          <w:bCs/>
          <w:lang w:val="en-US"/>
        </w:rPr>
        <w:t xml:space="preserve">reducing the energy saving gain of the cell DTX/DRX. Therefore, </w:t>
      </w:r>
      <w:r>
        <w:rPr>
          <w:rFonts w:eastAsia="Malgun Gothic"/>
        </w:rPr>
        <w:t xml:space="preserve">turning off transmission and reception for data/reference signal during non-active </w:t>
      </w:r>
      <w:r>
        <w:rPr/>
        <w:t xml:space="preserve">duration of </w:t>
      </w:r>
      <w:r>
        <w:rPr>
          <w:rFonts w:eastAsia="Malgun Gothic"/>
        </w:rPr>
        <w:t>Cell DTX/DRX is supported</w:t>
      </w:r>
    </w:p>
    <w:p>
      <w:pPr>
        <w:pStyle w:val="Normal"/>
        <w:shd w:val="clear" w:color="auto" w:fill="FFFFFF"/>
        <w:snapToGrid w:val="false"/>
        <w:spacing w:before="171" w:after="291"/>
        <w:rPr/>
      </w:pPr>
      <w:r>
        <w:rPr>
          <w:b/>
          <w:bCs/>
        </w:rPr>
        <w:t>Proposal</w:t>
      </w:r>
      <w:r>
        <w:rPr>
          <w:rFonts w:eastAsia="Malgun Gothic"/>
          <w:b/>
          <w:bCs/>
        </w:rPr>
        <w:t xml:space="preserve"> 2:</w:t>
      </w:r>
      <w:r>
        <w:rPr>
          <w:rFonts w:eastAsia="Malgun Gothic"/>
        </w:rPr>
        <w:t xml:space="preserve"> Turning off transmission and reception for data traffic/reference signal during non-active </w:t>
      </w:r>
      <w:r>
        <w:rPr/>
        <w:t xml:space="preserve">duration of </w:t>
      </w:r>
      <w:r>
        <w:rPr>
          <w:rFonts w:eastAsia="Malgun Gothic"/>
        </w:rPr>
        <w:t>Cell DTX/DRX is supported.</w:t>
      </w:r>
    </w:p>
    <w:p>
      <w:pPr>
        <w:pStyle w:val="Normal"/>
        <w:spacing w:before="171" w:after="291"/>
        <w:rPr>
          <w:rFonts w:eastAsia="Malgun Gothic"/>
        </w:rPr>
      </w:pPr>
      <w:r>
        <w:rPr>
          <w:rFonts w:eastAsia="Malgun Gothic"/>
        </w:rPr>
        <w:t xml:space="preserve">The adaptation of cell DTX/DRX at gNB will have an impact on the legacy operations and creates certain conflicts at the UE. The UE might be configured with some operations in a time resource, in which the gNB is in the non-active state of the DTX/DRX cycle. In that case, the UE will unnecessarily perform the configured operation resulting in wastage of power. The UE-DRX and configuration to receive some periodic signals like CSI-RS, physical downlink control channel (PDCCH) or some periodic data signals like semi-persistent scheduling will be affected by the adaptation of cell DTX/DRX at the BS. E.g., UE is semi-statically configured with UE-DRX to receive periodic CSI-RS in slot n, in which the gNB is in non-active duration of cell DTX/DRX, then the gNB will not transmit CSI-RS in slot n, but the UE will unnecessarily monitor for CSI-RS. This situation is avoided by signaling information about the cell DTX/DRX, to the connected UEs. The time resources of the UE-DRX on duration overlapping with the cell DTX/DRX off duration can be adapted according to the received signalling information about the cell DTX/DRX by the UE. </w:t>
      </w:r>
    </w:p>
    <w:p>
      <w:pPr>
        <w:pStyle w:val="PreformattedText"/>
        <w:shd w:val="clear" w:color="auto" w:fill="FFFFFF"/>
        <w:rPr/>
      </w:pPr>
      <w:r>
        <w:rPr>
          <w:rFonts w:eastAsia="Malgun Gothic"/>
          <w:b/>
          <w:bCs/>
          <w:iCs/>
        </w:rPr>
        <w:t>Proposal 3:</w:t>
      </w:r>
      <w:r>
        <w:rPr>
          <w:rFonts w:eastAsia="Malgun Gothic"/>
          <w:iCs/>
        </w:rPr>
        <w:t xml:space="preserve"> S</w:t>
      </w:r>
      <w:r>
        <w:rPr>
          <w:rFonts w:eastAsia="Malgun Gothic"/>
        </w:rPr>
        <w:t>ignaling an information about cell DTX/DRX (e.g., type of cell DTX/DRX with a particular time granularity, starting time, periodicty and duration) to connected UE is supported.</w:t>
      </w:r>
    </w:p>
    <w:p>
      <w:pPr>
        <w:pStyle w:val="Normal"/>
        <w:shd w:val="clear" w:color="auto" w:fill="FFFFFF"/>
        <w:snapToGrid w:val="false"/>
        <w:rPr/>
      </w:pPr>
      <w:r>
        <w:rPr/>
      </w:r>
    </w:p>
    <w:p>
      <w:pPr>
        <w:pStyle w:val="PreformattedText"/>
        <w:shd w:val="clear" w:color="auto" w:fill="FFFFFF"/>
        <w:rPr/>
      </w:pPr>
      <w:r>
        <w:rPr>
          <w:rFonts w:eastAsia="Malgun Gothic"/>
          <w:b/>
          <w:bCs/>
          <w:iCs/>
        </w:rPr>
        <w:t>Proposal 4:</w:t>
      </w:r>
      <w:r>
        <w:rPr>
          <w:rFonts w:eastAsia="Malgun Gothic"/>
          <w:iCs/>
        </w:rPr>
        <w:t xml:space="preserve"> Adaptation</w:t>
      </w:r>
      <w:r>
        <w:rPr>
          <w:rFonts w:eastAsia="Malgun Gothic"/>
        </w:rPr>
        <w:t xml:space="preserve"> of UE-DRX by the UE based on the signalling information about cell DTX/DRX is supported.</w:t>
      </w:r>
    </w:p>
    <w:p>
      <w:pPr>
        <w:pStyle w:val="PreformattedText"/>
        <w:shd w:val="clear" w:color="auto" w:fill="FFFFFF"/>
        <w:rPr>
          <w:iCs/>
        </w:rPr>
      </w:pPr>
      <w:r>
        <w:rPr>
          <w:iCs/>
        </w:rPr>
      </w:r>
    </w:p>
    <w:p>
      <w:pPr>
        <w:pStyle w:val="Heading1"/>
        <w:numPr>
          <w:ilvl w:val="0"/>
          <w:numId w:val="4"/>
        </w:numPr>
        <w:rPr>
          <w:sz w:val="24"/>
          <w:szCs w:val="24"/>
        </w:rPr>
      </w:pPr>
      <w:r>
        <w:rPr>
          <w:rFonts w:eastAsia="Wingdings"/>
          <w:sz w:val="24"/>
          <w:szCs w:val="24"/>
        </w:rPr>
        <w:t>Conclusion</w:t>
      </w:r>
    </w:p>
    <w:p>
      <w:pPr>
        <w:pStyle w:val="Normal"/>
        <w:rPr>
          <w:rFonts w:eastAsia="Wingdings"/>
          <w:lang w:val="en-GB"/>
        </w:rPr>
      </w:pPr>
      <w:r>
        <w:rPr>
          <w:rFonts w:eastAsia="Wingdings"/>
          <w:lang w:val="en-GB"/>
        </w:rPr>
        <w:t xml:space="preserve">In this contribution, we discussed the cell DTX/DRX technique required in time domain for NES. According to the technical analysis, the following proposals are made, </w:t>
      </w:r>
    </w:p>
    <w:p>
      <w:pPr>
        <w:pStyle w:val="Normal"/>
        <w:rPr>
          <w:rFonts w:eastAsia="Malgun Gothic"/>
          <w:b/>
          <w:b/>
          <w:bCs/>
          <w:iCs/>
        </w:rPr>
      </w:pPr>
      <w:r>
        <w:rPr>
          <w:rFonts w:eastAsia="Malgun Gothic"/>
          <w:b/>
          <w:bCs/>
          <w:iCs/>
        </w:rPr>
      </w:r>
    </w:p>
    <w:p>
      <w:pPr>
        <w:pStyle w:val="Normal"/>
        <w:shd w:val="clear" w:color="auto" w:fill="FFFFFF"/>
        <w:snapToGrid w:val="false"/>
        <w:spacing w:before="171" w:after="291"/>
        <w:rPr/>
      </w:pPr>
      <w:r>
        <w:rPr>
          <w:rFonts w:eastAsia="Malgun Gothic"/>
          <w:b/>
          <w:bCs/>
          <w:iCs/>
        </w:rPr>
        <w:t xml:space="preserve">Proposal 1: </w:t>
      </w:r>
      <w:r>
        <w:rPr>
          <w:rFonts w:eastAsia="Malgun Gothic"/>
          <w:iCs/>
        </w:rPr>
        <w:t>M</w:t>
      </w:r>
      <w:r>
        <w:rPr>
          <w:rFonts w:eastAsia="Malgun Gothic"/>
        </w:rPr>
        <w:t>ultiple Cell DTX/DRX configurations are supported.</w:t>
      </w:r>
    </w:p>
    <w:p>
      <w:pPr>
        <w:pStyle w:val="Normal"/>
        <w:shd w:val="clear" w:color="auto" w:fill="FFFFFF"/>
        <w:snapToGrid w:val="false"/>
        <w:spacing w:before="171" w:after="291"/>
        <w:rPr/>
      </w:pPr>
      <w:r>
        <w:rPr>
          <w:b/>
          <w:bCs/>
          <w:iCs/>
        </w:rPr>
        <w:t>Proposal</w:t>
      </w:r>
      <w:r>
        <w:rPr>
          <w:rFonts w:eastAsia="Malgun Gothic"/>
          <w:b/>
          <w:bCs/>
          <w:iCs/>
        </w:rPr>
        <w:t xml:space="preserve"> 2:</w:t>
      </w:r>
      <w:r>
        <w:rPr>
          <w:rFonts w:eastAsia="Malgun Gothic"/>
          <w:iCs/>
        </w:rPr>
        <w:t xml:space="preserve"> Turning off transmission and reception for data traffic/reference signal during non-active </w:t>
      </w:r>
      <w:r>
        <w:rPr>
          <w:iCs/>
        </w:rPr>
        <w:t xml:space="preserve">duration of </w:t>
      </w:r>
      <w:r>
        <w:rPr>
          <w:rFonts w:eastAsia="Malgun Gothic"/>
          <w:iCs/>
        </w:rPr>
        <w:t>Cell DTX/DRX is supported.</w:t>
      </w:r>
    </w:p>
    <w:p>
      <w:pPr>
        <w:pStyle w:val="PreformattedText"/>
        <w:shd w:val="clear" w:color="auto" w:fill="FFFFFF"/>
        <w:rPr/>
      </w:pPr>
      <w:r>
        <w:rPr>
          <w:rFonts w:eastAsia="Malgun Gothic"/>
          <w:b/>
          <w:bCs/>
          <w:iCs/>
        </w:rPr>
        <w:t>Proposal 3:</w:t>
      </w:r>
      <w:r>
        <w:rPr>
          <w:rFonts w:eastAsia="Malgun Gothic"/>
          <w:iCs/>
        </w:rPr>
        <w:t xml:space="preserve"> S</w:t>
      </w:r>
      <w:r>
        <w:rPr>
          <w:rFonts w:eastAsia="Malgun Gothic"/>
        </w:rPr>
        <w:t>ignaling an information about cell DTX/DRX (e.g., type of cell DTX/DRX with a particular time granularity, starting time, periodicty and duration) to connected UE is supported.</w:t>
      </w:r>
    </w:p>
    <w:p>
      <w:pPr>
        <w:pStyle w:val="Normal"/>
        <w:shd w:val="clear" w:color="auto" w:fill="FFFFFF"/>
        <w:snapToGrid w:val="false"/>
        <w:rPr/>
      </w:pPr>
      <w:r>
        <w:rPr/>
      </w:r>
    </w:p>
    <w:p>
      <w:pPr>
        <w:pStyle w:val="PreformattedText"/>
        <w:shd w:val="clear" w:color="auto" w:fill="FFFFFF"/>
        <w:rPr/>
      </w:pPr>
      <w:r>
        <w:rPr>
          <w:rFonts w:eastAsia="Malgun Gothic"/>
          <w:b/>
          <w:bCs/>
          <w:iCs/>
        </w:rPr>
        <w:t>Proposal 4:</w:t>
      </w:r>
      <w:r>
        <w:rPr>
          <w:rFonts w:eastAsia="Malgun Gothic"/>
          <w:iCs/>
        </w:rPr>
        <w:t xml:space="preserve"> Adaptation of UE-DRX by the UE based on the signalling information about cell DTX/DRX is supported.</w:t>
      </w:r>
    </w:p>
    <w:p>
      <w:pPr>
        <w:pStyle w:val="PreformattedText"/>
        <w:shd w:val="clear" w:color="auto" w:fill="FFFFFF"/>
        <w:ind w:left="57" w:hanging="0"/>
        <w:rPr>
          <w:rFonts w:eastAsia="Wingdings"/>
          <w:iCs/>
          <w:u w:val="double"/>
        </w:rPr>
      </w:pPr>
      <w:r>
        <w:rPr>
          <w:rFonts w:eastAsia="Wingdings"/>
          <w:iCs/>
          <w:u w:val="double"/>
        </w:rPr>
      </w:r>
    </w:p>
    <w:p>
      <w:pPr>
        <w:pStyle w:val="Heading1"/>
        <w:numPr>
          <w:ilvl w:val="0"/>
          <w:numId w:val="4"/>
        </w:numPr>
        <w:rPr>
          <w:sz w:val="24"/>
          <w:szCs w:val="24"/>
        </w:rPr>
      </w:pPr>
      <w:bookmarkStart w:id="3" w:name="_Ref124589665"/>
      <w:bookmarkStart w:id="4" w:name="_Ref71620620"/>
      <w:bookmarkStart w:id="5" w:name="_Ref124671424"/>
      <w:bookmarkEnd w:id="3"/>
      <w:bookmarkEnd w:id="4"/>
      <w:bookmarkEnd w:id="5"/>
      <w:r>
        <w:rPr>
          <w:rFonts w:eastAsia="Wingdings"/>
          <w:sz w:val="24"/>
          <w:szCs w:val="24"/>
        </w:rPr>
        <w:t>References</w:t>
      </w:r>
      <w:bookmarkEnd w:id="2"/>
    </w:p>
    <w:p>
      <w:pPr>
        <w:pStyle w:val="References"/>
        <w:numPr>
          <w:ilvl w:val="0"/>
          <w:numId w:val="5"/>
        </w:numPr>
        <w:rPr>
          <w:sz w:val="24"/>
          <w:szCs w:val="24"/>
        </w:rPr>
      </w:pPr>
      <w:r>
        <w:rPr/>
        <w:t>“</w:t>
      </w:r>
      <w:r>
        <w:rPr/>
        <w:t>Chairman’s notes RAN1 #111”, 14th – 18th November 2022.</w:t>
      </w:r>
    </w:p>
    <w:p>
      <w:pPr>
        <w:pStyle w:val="References"/>
        <w:numPr>
          <w:ilvl w:val="0"/>
          <w:numId w:val="5"/>
        </w:numPr>
        <w:rPr>
          <w:sz w:val="24"/>
          <w:szCs w:val="24"/>
        </w:rPr>
      </w:pPr>
      <w:r>
        <w:rPr/>
        <w:t>TR 38.864, Study on network energy saving for NR</w:t>
      </w:r>
    </w:p>
    <w:p>
      <w:pPr>
        <w:pStyle w:val="References"/>
        <w:numPr>
          <w:ilvl w:val="0"/>
          <w:numId w:val="5"/>
        </w:numPr>
        <w:spacing w:before="0" w:after="60"/>
        <w:rPr>
          <w:sz w:val="24"/>
          <w:szCs w:val="24"/>
        </w:rPr>
      </w:pPr>
      <w:r>
        <w:rPr/>
        <w:t>RP-223540, New WID: Network energy savings for NR RAN#98-e, Dec. 2022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sz w:val="22"/>
        <w:i w:val="false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z w:val="22"/>
        <w:i w:val="false"/>
        <w:b/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  <w:rPr/>
    </w:lvl>
  </w:abstractNum>
  <w:abstractNum w:abstractNumId="4"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/>
    </w:lvl>
    <w:lvl w:ilvl="1">
      <w:start w:val="3"/>
      <w:numFmt w:val="decimal"/>
      <w:lvlText w:val="%1.%2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/>
    </w:lvl>
  </w:abstractNum>
  <w:abstractNum w:abstractNumId="5"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360"/>
      </w:pPr>
      <w:rPr/>
    </w:lvl>
    <w:lvl w:ilvl="3">
      <w:start w:val="1"/>
      <w:numFmt w:val="decimal"/>
      <w:lvlText w:val="%2.%3.%4"/>
      <w:lvlJc w:val="left"/>
      <w:pPr>
        <w:tabs>
          <w:tab w:val="num" w:pos="2160"/>
        </w:tabs>
        <w:ind w:left="2160" w:hanging="360"/>
      </w:pPr>
      <w:rPr/>
    </w:lvl>
    <w:lvl w:ilvl="4">
      <w:start w:val="1"/>
      <w:numFmt w:val="decimal"/>
      <w:lvlText w:val="%3.%4.%5"/>
      <w:lvlJc w:val="left"/>
      <w:pPr>
        <w:tabs>
          <w:tab w:val="num" w:pos="2520"/>
        </w:tabs>
        <w:ind w:left="2520" w:hanging="360"/>
      </w:pPr>
      <w:rPr/>
    </w:lvl>
    <w:lvl w:ilvl="5">
      <w:start w:val="1"/>
      <w:numFmt w:val="decimal"/>
      <w:lvlText w:val="%4.%5.%6"/>
      <w:lvlJc w:val="left"/>
      <w:pPr>
        <w:tabs>
          <w:tab w:val="num" w:pos="2880"/>
        </w:tabs>
        <w:ind w:left="2880" w:hanging="360"/>
      </w:pPr>
      <w:rPr/>
    </w:lvl>
    <w:lvl w:ilvl="6">
      <w:start w:val="1"/>
      <w:numFmt w:val="decimal"/>
      <w:lvlText w:val="%5.%6.%7"/>
      <w:lvlJc w:val="left"/>
      <w:pPr>
        <w:tabs>
          <w:tab w:val="num" w:pos="3240"/>
        </w:tabs>
        <w:ind w:left="3240" w:hanging="360"/>
      </w:pPr>
      <w:rPr/>
    </w:lvl>
    <w:lvl w:ilvl="7">
      <w:start w:val="1"/>
      <w:numFmt w:val="decimal"/>
      <w:lvlText w:val="%6.%7.%8"/>
      <w:lvlJc w:val="left"/>
      <w:pPr>
        <w:tabs>
          <w:tab w:val="num" w:pos="3600"/>
        </w:tabs>
        <w:ind w:left="3600" w:hanging="360"/>
      </w:pPr>
      <w:rPr/>
    </w:lvl>
    <w:lvl w:ilvl="8">
      <w:start w:val="1"/>
      <w:numFmt w:val="decimal"/>
      <w:lvlText w:val="%7.%8.%9"/>
      <w:lvlJc w:val="left"/>
      <w:pPr>
        <w:tabs>
          <w:tab w:val="num" w:pos="3960"/>
        </w:tabs>
        <w:ind w:left="3960" w:hanging="36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50"/>
  <w:trackRevisions/>
  <w:defaultTabStop w:val="408"/>
  <w:autoHyphenation w:val="true"/>
  <w:compat>
    <w:doNotExpandShiftReturn/>
    <w:compatSetting w:name="compatibilityMode" w:uri="http://schemas.microsoft.com/office/word" w:val="12"/>
  </w:compat>
  <w:themeFontLang w:val="zh-CN" w:eastAsia="zh-CN" w:bidi="zh-C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Times New Roman"/>
        <w:lang w:val="en-IN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semiHidden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/>
    <w:lsdException w:name="footnote text" w:uiPriority="0" w:semiHidden="0" w:unhideWhenUsed="0"/>
    <w:lsdException w:name="annotation text" w:uiPriority="0" w:semiHidden="0" w:unhideWhenUsed="0" w:qFormat="1"/>
    <w:lsdException w:name="header" w:uiPriority="0" w:semiHidden="0" w:unhideWhenUsed="0"/>
    <w:lsdException w:name="footer" w:uiPriority="0" w:semiHidden="0" w:unhideWhenUsed="0"/>
    <w:lsdException w:name="index heading" w:uiPriority="0" w:semiHidden="0" w:unhideWhenUsed="0"/>
    <w:lsdException w:name="caption" w:uiPriority="0" w:semiHidden="0" w:unhideWhenUsed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/>
    <w:lsdException w:name="annotation reference" w:uiPriority="0" w:semiHidden="0" w:unhideWhenUsed="0" w:qFormat="1"/>
    <w:lsdException w:name="line number" w:uiPriority="0" w:semiHidden="0" w:unhideWhenUsed="0"/>
    <w:lsdException w:name="page number" w:uiPriority="0" w:semiHidden="0" w:unhideWhenUsed="0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/>
    <w:lsdException w:name="List Bullet" w:uiPriority="0" w:semiHidden="0" w:unhideWhenUsed="0"/>
    <w:lsdException w:name="List Number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1" w:semiHidden="0" w:qFormat="1"/>
    <w:lsdException w:name="Body Text" w:uiPriority="0" w:semiHidden="0" w:unhideWhenUsed="0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Block Text" w:uiPriority="0" w:semiHidden="0" w:unhideWhenUsed="0"/>
    <w:lsdException w:name="Hyperlink" w:uiPriority="0" w:semiHidden="0" w:unhideWhenUsed="0"/>
    <w:lsdException w:name="FollowedHyperlink" w:uiPriority="0" w:semiHidden="0" w:unhideWhenUsed="0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semiHidden="0" w:unhideWhenUsed="0"/>
    <w:lsdException w:name="Plain Text" w:uiPriority="0" w:semiHidden="0" w:unhideWhenUsed="0"/>
    <w:lsdException w:name="E-mail Signature" w:uiPriority="0" w:semiHidden="0" w:unhideWhenUsed="0"/>
    <w:lsdException w:name="Normal (Web)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99"/>
    <w:lsdException w:name="annotation subject" w:uiPriority="0" w:semiHidden="0" w:unhideWhenUsed="0" w:qFormat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semiHidden="0" w:unhideWhenUsed="0"/>
    <w:lsdException w:name="Table Grid" w:uiPriority="0" w:semiHidden="0" w:unhideWhenUsed="0"/>
    <w:lsdException w:name="Table Theme" w:uiPriority="0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0"/>
      <w:jc w:val="both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en-IN" w:eastAsia="zh-CN" w:bidi="hi-IN"/>
    </w:rPr>
  </w:style>
  <w:style w:type="paragraph" w:styleId="Heading1">
    <w:name w:val="Heading 1"/>
    <w:basedOn w:val="Normal"/>
    <w:next w:val="Normal"/>
    <w:uiPriority w:val="0"/>
    <w:qFormat/>
    <w:pPr>
      <w:keepNext w:val="true"/>
      <w:numPr>
        <w:ilvl w:val="0"/>
        <w:numId w:val="1"/>
      </w:numPr>
      <w:spacing w:before="120" w:after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uiPriority w:val="0"/>
    <w:qFormat/>
    <w:pPr>
      <w:keepNext w:val="true"/>
      <w:numPr>
        <w:ilvl w:val="1"/>
        <w:numId w:val="1"/>
      </w:numPr>
      <w:spacing w:before="120" w:after="120"/>
      <w:outlineLvl w:val="1"/>
    </w:pPr>
    <w:rPr>
      <w:b/>
      <w:bCs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Annotationreference">
    <w:name w:val="annotation reference"/>
    <w:uiPriority w:val="0"/>
    <w:qFormat/>
    <w:rPr>
      <w:sz w:val="16"/>
      <w:szCs w:val="16"/>
    </w:rPr>
  </w:style>
  <w:style w:type="character" w:styleId="Linenumber">
    <w:name w:val="line number"/>
    <w:uiPriority w:val="0"/>
    <w:qFormat/>
    <w:rPr/>
  </w:style>
  <w:style w:type="character" w:styleId="NumberingSymbols" w:customStyle="1">
    <w:name w:val="Numbering Symbols"/>
    <w:uiPriority w:val="0"/>
    <w:qFormat/>
    <w:rPr/>
  </w:style>
  <w:style w:type="character" w:styleId="WW8Num9z0" w:customStyle="1">
    <w:name w:val="WW8Num9z0"/>
    <w:uiPriority w:val="0"/>
    <w:qFormat/>
    <w:rPr>
      <w:rFonts w:ascii="Symbol" w:hAnsi="Symbol" w:cs="Symbol"/>
      <w:lang w:val="en-US" w:eastAsia="zh-CN"/>
    </w:rPr>
  </w:style>
  <w:style w:type="character" w:styleId="WW8Num9z1" w:customStyle="1">
    <w:name w:val="WW8Num9z1"/>
    <w:uiPriority w:val="0"/>
    <w:qFormat/>
    <w:rPr>
      <w:rFonts w:ascii="Courier New" w:hAnsi="Courier New" w:cs="Courier New"/>
    </w:rPr>
  </w:style>
  <w:style w:type="character" w:styleId="WW8Num9z2" w:customStyle="1">
    <w:name w:val="WW8Num9z2"/>
    <w:uiPriority w:val="0"/>
    <w:qFormat/>
    <w:rPr>
      <w:rFonts w:ascii="Wingdings" w:hAnsi="Wingdings" w:cs="Wingdings"/>
    </w:rPr>
  </w:style>
  <w:style w:type="character" w:styleId="WW8Num8z0" w:customStyle="1">
    <w:name w:val="WW8Num8z0"/>
    <w:uiPriority w:val="0"/>
    <w:qFormat/>
    <w:rPr>
      <w:bCs/>
      <w:lang w:eastAsia="zh-CN"/>
    </w:rPr>
  </w:style>
  <w:style w:type="character" w:styleId="WW8Num8z1" w:customStyle="1">
    <w:name w:val="WW8Num8z1"/>
    <w:uiPriority w:val="0"/>
    <w:qFormat/>
    <w:rPr>
      <w:rFonts w:ascii="Wingdings" w:hAnsi="Wingdings" w:cs="Wingdings"/>
    </w:rPr>
  </w:style>
  <w:style w:type="character" w:styleId="Bullets" w:customStyle="1">
    <w:name w:val="Bullets"/>
    <w:uiPriority w:val="0"/>
    <w:qFormat/>
    <w:rPr>
      <w:rFonts w:ascii="OpenSymbol" w:hAnsi="OpenSymbol" w:eastAsia="OpenSymbol" w:cs="OpenSymbol"/>
    </w:rPr>
  </w:style>
  <w:style w:type="character" w:styleId="CommentTextChar" w:customStyle="1">
    <w:name w:val="Comment Text Char"/>
    <w:basedOn w:val="DefaultParagraphFont"/>
    <w:link w:val="Annotationtext"/>
    <w:uiPriority w:val="0"/>
    <w:qFormat/>
    <w:rPr>
      <w:rFonts w:ascii="Liberation Serif" w:hAnsi="Liberation Serif" w:eastAsia="Noto Serif CJK SC" w:cs="Mangal"/>
      <w:kern w:val="2"/>
      <w:szCs w:val="18"/>
    </w:rPr>
  </w:style>
  <w:style w:type="character" w:styleId="CommentSubjectChar" w:customStyle="1">
    <w:name w:val="Comment Subject Char"/>
    <w:basedOn w:val="CommentTextChar"/>
    <w:link w:val="Annotationsubject"/>
    <w:uiPriority w:val="0"/>
    <w:qFormat/>
    <w:rPr>
      <w:rFonts w:ascii="Liberation Serif" w:hAnsi="Liberation Serif" w:eastAsia="Noto Serif CJK SC" w:cs="Mangal"/>
      <w:b/>
      <w:bCs/>
      <w:kern w:val="2"/>
      <w:szCs w:val="18"/>
    </w:rPr>
  </w:style>
  <w:style w:type="character" w:styleId="LineNumbering">
    <w:name w:val="Line Number"/>
    <w:rPr/>
  </w:style>
  <w:style w:type="paragraph" w:styleId="Heading" w:customStyle="1">
    <w:name w:val="Heading"/>
    <w:basedOn w:val="Normal"/>
    <w:next w:val="TextBody"/>
    <w:uiPriority w:val="0"/>
    <w:qFormat/>
    <w:pPr>
      <w:keepNext w:val="true"/>
      <w:spacing w:before="240" w:after="120"/>
    </w:pPr>
    <w:rPr>
      <w:rFonts w:ascii="Liberation Sans" w:hAnsi="Liberation Sans" w:eastAsia="Noto Sans CJK SC"/>
      <w:sz w:val="28"/>
      <w:szCs w:val="28"/>
    </w:rPr>
  </w:style>
  <w:style w:type="paragraph" w:styleId="TextBody">
    <w:name w:val="Body Text"/>
    <w:basedOn w:val="Normal"/>
    <w:uiPriority w:val="0"/>
    <w:pPr>
      <w:spacing w:lineRule="auto" w:line="276" w:before="0" w:after="140"/>
    </w:pPr>
    <w:rPr/>
  </w:style>
  <w:style w:type="paragraph" w:styleId="List">
    <w:name w:val="List"/>
    <w:basedOn w:val="TextBody"/>
    <w:uiPriority w:val="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 w:customStyle="1">
    <w:name w:val="Index"/>
    <w:basedOn w:val="Normal"/>
    <w:uiPriority w:val="0"/>
    <w:qFormat/>
    <w:pPr>
      <w:suppressLineNumbers/>
    </w:pPr>
    <w:rPr/>
  </w:style>
  <w:style w:type="paragraph" w:styleId="Caption1">
    <w:name w:val="caption"/>
    <w:basedOn w:val="Normal"/>
    <w:next w:val="Normal"/>
    <w:uiPriority w:val="0"/>
    <w:qFormat/>
    <w:pPr>
      <w:spacing w:before="0" w:after="200"/>
    </w:pPr>
    <w:rPr>
      <w:rFonts w:eastAsia="Malgun Gothic"/>
      <w:i/>
      <w:iCs/>
      <w:color w:val="1F497D" w:themeColor="text2"/>
      <w:sz w:val="18"/>
      <w:szCs w:val="18"/>
      <w:lang w:val="en-GB" w:eastAsia="en-US"/>
    </w:rPr>
  </w:style>
  <w:style w:type="paragraph" w:styleId="Annotationtext">
    <w:name w:val="annotation text"/>
    <w:basedOn w:val="Normal"/>
    <w:link w:val="CommentTextChar"/>
    <w:uiPriority w:val="0"/>
    <w:qFormat/>
    <w:pPr/>
    <w:rPr>
      <w:rFonts w:cs="Mangal"/>
      <w:sz w:val="20"/>
      <w:szCs w:val="18"/>
    </w:rPr>
  </w:style>
  <w:style w:type="paragraph" w:styleId="Annotationsubject">
    <w:name w:val="annotation subject"/>
    <w:basedOn w:val="Annotationtext"/>
    <w:next w:val="Annotationtext"/>
    <w:link w:val="CommentSubjectChar"/>
    <w:uiPriority w:val="0"/>
    <w:qFormat/>
    <w:pPr/>
    <w:rPr>
      <w:b/>
      <w:bCs/>
    </w:rPr>
  </w:style>
  <w:style w:type="paragraph" w:styleId="ListParagraph">
    <w:name w:val="List Paragraph"/>
    <w:basedOn w:val="Normal"/>
    <w:uiPriority w:val="0"/>
    <w:qFormat/>
    <w:pPr/>
    <w:rPr>
      <w:rFonts w:eastAsia="" w:eastAsiaTheme="minorEastAsia"/>
      <w:lang w:eastAsia="ko-KR"/>
    </w:rPr>
  </w:style>
  <w:style w:type="paragraph" w:styleId="TableContents" w:customStyle="1">
    <w:name w:val="Table Contents"/>
    <w:basedOn w:val="Normal"/>
    <w:uiPriority w:val="0"/>
    <w:qFormat/>
    <w:pPr>
      <w:suppressLineNumbers/>
    </w:pPr>
    <w:rPr/>
  </w:style>
  <w:style w:type="paragraph" w:styleId="TableHeading" w:customStyle="1">
    <w:name w:val="Table Heading"/>
    <w:basedOn w:val="TableContents"/>
    <w:uiPriority w:val="0"/>
    <w:qFormat/>
    <w:pPr>
      <w:jc w:val="center"/>
    </w:pPr>
    <w:rPr>
      <w:b/>
      <w:bCs/>
    </w:rPr>
  </w:style>
  <w:style w:type="paragraph" w:styleId="Standard" w:customStyle="1">
    <w:name w:val="Standard"/>
    <w:uiPriority w:val="0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oto Sans CJK SC Regular" w:cs="FreeSans"/>
      <w:color w:val="00000A"/>
      <w:kern w:val="0"/>
      <w:sz w:val="22"/>
      <w:szCs w:val="24"/>
      <w:lang w:val="en-IN" w:eastAsia="zh-CN" w:bidi="hi-IN"/>
    </w:rPr>
  </w:style>
  <w:style w:type="paragraph" w:styleId="PreformattedText" w:customStyle="1">
    <w:name w:val="Preformatted Text"/>
    <w:basedOn w:val="Normal"/>
    <w:uiPriority w:val="0"/>
    <w:qFormat/>
    <w:pPr/>
    <w:rPr/>
  </w:style>
  <w:style w:type="paragraph" w:styleId="References" w:customStyle="1">
    <w:name w:val="References"/>
    <w:basedOn w:val="Normal"/>
    <w:uiPriority w:val="0"/>
    <w:qFormat/>
    <w:pPr>
      <w:spacing w:before="0" w:after="60"/>
    </w:pPr>
    <w:rPr>
      <w:sz w:val="20"/>
      <w:szCs w:val="16"/>
    </w:rPr>
  </w:style>
  <w:style w:type="paragraph" w:styleId="TAL" w:customStyle="1">
    <w:name w:val="TAL"/>
    <w:basedOn w:val="Normal"/>
    <w:uiPriority w:val="0"/>
    <w:qFormat/>
    <w:pPr>
      <w:keepNext w:val="true"/>
      <w:keepLines/>
      <w:spacing w:before="50" w:after="0"/>
    </w:pPr>
    <w:rPr>
      <w:rFonts w:ascii="Arial" w:hAnsi="Arial"/>
      <w:sz w:val="18"/>
    </w:rPr>
  </w:style>
  <w:style w:type="paragraph" w:styleId="TAC" w:customStyle="1">
    <w:name w:val="TAC"/>
    <w:basedOn w:val="TAL"/>
    <w:uiPriority w:val="0"/>
    <w:qFormat/>
    <w:pPr>
      <w:jc w:val="center"/>
    </w:pPr>
    <w:rPr/>
  </w:style>
  <w:style w:type="paragraph" w:styleId="Revision" w:customStyle="1">
    <w:name w:val="Revision"/>
    <w:uiPriority w:val="99"/>
    <w:semiHidden/>
    <w:qFormat/>
    <w:pPr>
      <w:widowControl/>
      <w:suppressAutoHyphens w:val="false"/>
      <w:bidi w:val="0"/>
      <w:spacing w:before="0" w:after="0"/>
      <w:jc w:val="left"/>
    </w:pPr>
    <w:rPr>
      <w:rFonts w:ascii="Liberation Serif" w:hAnsi="Liberation Serif" w:eastAsia="Noto Serif CJK SC" w:cs="Mangal"/>
      <w:color w:val="auto"/>
      <w:kern w:val="2"/>
      <w:sz w:val="24"/>
      <w:szCs w:val="21"/>
      <w:lang w:val="en-IN" w:eastAsia="zh-CN" w:bidi="hi-IN"/>
    </w:rPr>
  </w:style>
  <w:style w:type="table" w:default="1" w:styleId="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1173</TotalTime>
  <Application>LibreOffice/7.4.5.1$Linux_X86_64 LibreOffice_project/5b836ae11a8f2f3ddf6e88bcd7da796d725223ae</Application>
  <AppVersion>15.0000</AppVersion>
  <Pages>2</Pages>
  <Words>890</Words>
  <Characters>4847</Characters>
  <CharactersWithSpaces>5707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2023-02-17T16:48:00Z</dcterms:created>
  <dc:creator>deepak</dc:creator>
  <dc:description/>
  <dc:language>en-IN</dc:language>
  <cp:lastModifiedBy/>
  <dcterms:modified xsi:type="dcterms:W3CDTF">2023-02-17T18:10:05Z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1033-11.1.0.11691</vt:lpwstr>
  </property>
</Properties>
</file>