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36D9D6D"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Pr="00300F64">
        <w:rPr>
          <w:rFonts w:ascii="Arial" w:hAnsi="Arial"/>
          <w:b/>
          <w:sz w:val="18"/>
          <w:lang w:val="de-DE"/>
        </w:rPr>
        <w:tab/>
      </w:r>
      <w:r w:rsidR="006E32CB">
        <w:rPr>
          <w:rFonts w:ascii="Arial" w:hAnsi="Arial"/>
          <w:b/>
          <w:sz w:val="24"/>
          <w:szCs w:val="24"/>
        </w:rPr>
        <w:t>R1-2</w:t>
      </w:r>
      <w:r w:rsidR="006E32CB" w:rsidRPr="00285F26">
        <w:rPr>
          <w:rFonts w:ascii="Arial" w:hAnsi="Arial"/>
          <w:b/>
          <w:sz w:val="24"/>
          <w:szCs w:val="24"/>
        </w:rPr>
        <w:t>3</w:t>
      </w:r>
      <w:r w:rsidR="00285F26" w:rsidRPr="00432ABC">
        <w:rPr>
          <w:rFonts w:ascii="Arial" w:hAnsi="Arial"/>
          <w:b/>
          <w:sz w:val="24"/>
          <w:szCs w:val="24"/>
        </w:rPr>
        <w:t>00777</w:t>
      </w:r>
    </w:p>
    <w:p w14:paraId="0A7D4457" w14:textId="7553B347"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A1DA1">
        <w:rPr>
          <w:rFonts w:ascii="Arial" w:hAnsi="Arial"/>
          <w:b/>
          <w:sz w:val="24"/>
          <w:szCs w:val="24"/>
          <w:lang w:val="en-US"/>
        </w:rPr>
        <w:t>Athens, Greece, February 27th - March 3rd,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54D80B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52DDA">
        <w:rPr>
          <w:rFonts w:ascii="Arial" w:hAnsi="Arial" w:cs="Arial"/>
          <w:b/>
          <w:sz w:val="24"/>
          <w:szCs w:val="24"/>
        </w:rPr>
        <w:t>LPHAP</w:t>
      </w:r>
    </w:p>
    <w:p w14:paraId="529C67FA" w14:textId="246159E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172CBB06"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related to </w:t>
      </w:r>
      <w:r w:rsidR="00B52DDA">
        <w:rPr>
          <w:sz w:val="22"/>
          <w:szCs w:val="22"/>
          <w:lang w:val="en-US"/>
        </w:rPr>
        <w:t>LPHAP</w:t>
      </w:r>
      <w:r w:rsidRPr="006E32CB">
        <w:rPr>
          <w:sz w:val="22"/>
          <w:szCs w:val="22"/>
          <w:lang w:val="en-US"/>
        </w:rPr>
        <w:t>. Our companion contributions discuss our other views [</w:t>
      </w:r>
      <w:r w:rsidR="00E658F7">
        <w:rPr>
          <w:sz w:val="22"/>
          <w:szCs w:val="22"/>
          <w:lang w:val="en-US"/>
        </w:rPr>
        <w:t>3-</w:t>
      </w:r>
      <w:r w:rsidR="00E658F7" w:rsidRPr="00E658F7">
        <w:rPr>
          <w:sz w:val="22"/>
          <w:szCs w:val="22"/>
          <w:lang w:val="en-US"/>
        </w:rPr>
        <w:t>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130FA889" w14:textId="77777777" w:rsidR="00B52DDA" w:rsidRPr="00B52DDA" w:rsidRDefault="2FAE7DCE" w:rsidP="00B52DDA">
      <w:pPr>
        <w:numPr>
          <w:ilvl w:val="0"/>
          <w:numId w:val="111"/>
        </w:numPr>
        <w:overflowPunct/>
        <w:autoSpaceDE/>
        <w:autoSpaceDN/>
        <w:adjustRightInd/>
        <w:spacing w:after="0" w:line="256" w:lineRule="auto"/>
        <w:textAlignment w:val="auto"/>
        <w:rPr>
          <w:rFonts w:eastAsia="MS Mincho"/>
          <w:sz w:val="22"/>
          <w:szCs w:val="22"/>
          <w:lang w:val="en-US" w:eastAsia="ko-KR"/>
        </w:rPr>
      </w:pPr>
      <w:r w:rsidRPr="42B4ED8B">
        <w:rPr>
          <w:rFonts w:eastAsia="MS Mincho"/>
          <w:sz w:val="22"/>
          <w:szCs w:val="22"/>
          <w:lang w:eastAsia="ko-KR"/>
        </w:rPr>
        <w:t>Specify enhancements for enabling LPHAP use-case 6 as defined in TS 22.104 including:</w:t>
      </w:r>
    </w:p>
    <w:p w14:paraId="5AC1403F" w14:textId="77777777" w:rsidR="00B52DDA" w:rsidRPr="00B52DDA" w:rsidRDefault="00B52DDA" w:rsidP="00B52DDA">
      <w:pPr>
        <w:numPr>
          <w:ilvl w:val="1"/>
          <w:numId w:val="111"/>
        </w:numPr>
        <w:overflowPunct/>
        <w:autoSpaceDE/>
        <w:autoSpaceDN/>
        <w:adjustRightInd/>
        <w:spacing w:after="0" w:line="256" w:lineRule="auto"/>
        <w:textAlignment w:val="auto"/>
        <w:rPr>
          <w:rFonts w:eastAsia="MS Mincho"/>
          <w:sz w:val="22"/>
          <w:szCs w:val="22"/>
          <w:lang w:eastAsia="ko-KR"/>
        </w:rPr>
      </w:pPr>
      <w:r w:rsidRPr="00B52DDA">
        <w:rPr>
          <w:sz w:val="22"/>
          <w:szCs w:val="22"/>
          <w:lang w:eastAsia="ko-KR"/>
        </w:rPr>
        <w:t>Extending eDRX cycle beyond 10.24s in RRC_INACTIVE state towards meeting the battery life requirement for LPHAP [RAN2, RAN3, RAN4]</w:t>
      </w:r>
    </w:p>
    <w:p w14:paraId="42CA9EBB" w14:textId="77777777" w:rsidR="00B52DDA" w:rsidRPr="00B52DDA" w:rsidRDefault="00B52DDA" w:rsidP="00B52DDA">
      <w:pPr>
        <w:numPr>
          <w:ilvl w:val="2"/>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Positioning-specific enhancement for eDRX cycle beyond 10.24s to be defined as part of Rel-18 WI on expanded and improved NR positioning.</w:t>
      </w:r>
    </w:p>
    <w:p w14:paraId="723850B6" w14:textId="77777777" w:rsidR="00B52DDA" w:rsidRPr="00B52DDA" w:rsidRDefault="00B52DDA" w:rsidP="00B52DDA">
      <w:pPr>
        <w:numPr>
          <w:ilvl w:val="3"/>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NOTE: Work on this objective should be coordinated with that in Rel-18 WI on eRedCap. Towards this, the feature of extending eDRX cycle beyond 10.24s should be defined as part of Rel-18 WI on eRedCap.</w:t>
      </w:r>
    </w:p>
    <w:p w14:paraId="757D3BB8" w14:textId="77777777" w:rsidR="00B52DDA" w:rsidRPr="00B52DDA" w:rsidRDefault="00B52DDA" w:rsidP="00B52DDA">
      <w:pPr>
        <w:numPr>
          <w:ilvl w:val="2"/>
          <w:numId w:val="111"/>
        </w:numPr>
        <w:overflowPunct/>
        <w:autoSpaceDE/>
        <w:autoSpaceDN/>
        <w:adjustRightInd/>
        <w:spacing w:after="0" w:line="276" w:lineRule="auto"/>
        <w:textAlignment w:val="auto"/>
        <w:rPr>
          <w:rFonts w:eastAsia="MS Mincho"/>
          <w:sz w:val="22"/>
          <w:szCs w:val="22"/>
          <w:lang w:eastAsia="ko-KR"/>
        </w:rPr>
      </w:pPr>
      <w:r w:rsidRPr="00B52DDA">
        <w:rPr>
          <w:rFonts w:eastAsia="MS Mincho"/>
          <w:sz w:val="22"/>
          <w:szCs w:val="22"/>
          <w:lang w:eastAsia="ko-KR"/>
        </w:rPr>
        <w:t>NOTE: Inputs from RAN1 as necessary may be facilitated via LSs</w:t>
      </w:r>
    </w:p>
    <w:p w14:paraId="6068E75F" w14:textId="77777777" w:rsidR="00B52DDA" w:rsidRPr="00B52DDA" w:rsidRDefault="00B52DDA" w:rsidP="00B52DDA">
      <w:pPr>
        <w:numPr>
          <w:ilvl w:val="1"/>
          <w:numId w:val="111"/>
        </w:numPr>
        <w:overflowPunct/>
        <w:autoSpaceDE/>
        <w:autoSpaceDN/>
        <w:adjustRightInd/>
        <w:spacing w:after="0" w:line="256" w:lineRule="auto"/>
        <w:textAlignment w:val="auto"/>
        <w:rPr>
          <w:rFonts w:eastAsia="MS Mincho"/>
          <w:sz w:val="22"/>
          <w:szCs w:val="22"/>
          <w:lang w:eastAsia="ko-KR"/>
        </w:rPr>
      </w:pPr>
      <w:r w:rsidRPr="00B52DDA">
        <w:rPr>
          <w:sz w:val="22"/>
          <w:szCs w:val="22"/>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B52DDA" w:rsidRDefault="00B52DDA" w:rsidP="00B52DDA">
      <w:pPr>
        <w:numPr>
          <w:ilvl w:val="2"/>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SRS for positioning configurations in multiple cells</w:t>
      </w:r>
      <w:r w:rsidRPr="00B52DDA">
        <w:rPr>
          <w:rFonts w:eastAsia="DengXian"/>
          <w:sz w:val="22"/>
          <w:szCs w:val="22"/>
          <w:lang w:eastAsia="zh-CN"/>
        </w:rPr>
        <w:t xml:space="preserve"> [RAN2, RAN1]</w:t>
      </w:r>
      <w:r w:rsidRPr="00B52DDA">
        <w:rPr>
          <w:rFonts w:eastAsia="MS Mincho"/>
          <w:sz w:val="22"/>
          <w:szCs w:val="22"/>
          <w:lang w:eastAsia="ko-KR"/>
        </w:rPr>
        <w:t xml:space="preserve">. </w:t>
      </w:r>
    </w:p>
    <w:p w14:paraId="77D5A316" w14:textId="77777777" w:rsidR="00B52DDA" w:rsidRPr="00B52DDA" w:rsidRDefault="00B52DDA" w:rsidP="00B52DDA">
      <w:pPr>
        <w:numPr>
          <w:ilvl w:val="3"/>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B52DDA" w:rsidRDefault="00B52DDA" w:rsidP="00B52DDA">
      <w:pPr>
        <w:numPr>
          <w:ilvl w:val="2"/>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Pre-configuration of one or multiple SRS for positioning configurations</w:t>
      </w:r>
      <w:r w:rsidRPr="00B52DDA">
        <w:rPr>
          <w:rFonts w:eastAsia="DengXian"/>
          <w:sz w:val="22"/>
          <w:szCs w:val="22"/>
          <w:lang w:eastAsia="zh-CN"/>
        </w:rPr>
        <w:t xml:space="preserve"> [RAN2, RAN3]</w:t>
      </w:r>
      <w:r w:rsidRPr="00B52DDA">
        <w:rPr>
          <w:rFonts w:eastAsia="MS Mincho"/>
          <w:sz w:val="22"/>
          <w:szCs w:val="22"/>
          <w:lang w:eastAsia="ko-KR"/>
        </w:rPr>
        <w:t>.</w:t>
      </w:r>
    </w:p>
    <w:p w14:paraId="49029F69" w14:textId="77777777" w:rsidR="00B52DDA" w:rsidRPr="00B52DDA" w:rsidRDefault="00B52DDA" w:rsidP="00B52DDA">
      <w:pPr>
        <w:numPr>
          <w:ilvl w:val="2"/>
          <w:numId w:val="111"/>
        </w:numPr>
        <w:overflowPunct/>
        <w:autoSpaceDE/>
        <w:autoSpaceDN/>
        <w:adjustRightInd/>
        <w:spacing w:after="0" w:line="256" w:lineRule="auto"/>
        <w:textAlignment w:val="auto"/>
        <w:rPr>
          <w:rFonts w:eastAsia="MS Mincho"/>
          <w:sz w:val="22"/>
          <w:szCs w:val="22"/>
          <w:lang w:eastAsia="ko-KR"/>
        </w:rPr>
      </w:pPr>
      <w:bookmarkStart w:id="2" w:name="_Hlk122087734"/>
      <w:r w:rsidRPr="00B52DDA">
        <w:rPr>
          <w:rFonts w:eastAsia="MS Mincho"/>
          <w:sz w:val="22"/>
          <w:szCs w:val="22"/>
          <w:lang w:eastAsia="ko-KR"/>
        </w:rPr>
        <w:t xml:space="preserve">SRS for positioning activation/request procedure(s) </w:t>
      </w:r>
      <w:bookmarkEnd w:id="2"/>
      <w:r w:rsidRPr="00B52DDA">
        <w:rPr>
          <w:rFonts w:eastAsia="MS Mincho"/>
          <w:sz w:val="22"/>
          <w:szCs w:val="22"/>
          <w:lang w:eastAsia="ko-KR"/>
        </w:rPr>
        <w:t>[RAN2, RAN1].</w:t>
      </w:r>
    </w:p>
    <w:p w14:paraId="04AA56AA" w14:textId="77777777" w:rsidR="00B52DDA" w:rsidRPr="00B52DDA" w:rsidRDefault="00B52DDA" w:rsidP="00B52DDA">
      <w:pPr>
        <w:numPr>
          <w:ilvl w:val="1"/>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Specify solutions for DL PRS measurements for a UE in RRC_IDLE state and reporting of the measurements in RRC_CONNECTED state [RAN2].</w:t>
      </w:r>
    </w:p>
    <w:p w14:paraId="15CB713B" w14:textId="77777777" w:rsidR="00B52DDA" w:rsidRPr="00B52DDA" w:rsidRDefault="00B52DDA" w:rsidP="00B52DDA">
      <w:pPr>
        <w:numPr>
          <w:ilvl w:val="1"/>
          <w:numId w:val="111"/>
        </w:numPr>
        <w:overflowPunct/>
        <w:autoSpaceDE/>
        <w:autoSpaceDN/>
        <w:adjustRightInd/>
        <w:spacing w:after="0" w:line="256" w:lineRule="auto"/>
        <w:textAlignment w:val="auto"/>
        <w:rPr>
          <w:rFonts w:eastAsia="MS Mincho"/>
          <w:sz w:val="22"/>
          <w:szCs w:val="22"/>
          <w:lang w:eastAsia="ko-KR"/>
        </w:rPr>
      </w:pPr>
      <w:r w:rsidRPr="00B52DDA">
        <w:rPr>
          <w:rFonts w:eastAsia="MS Mincho"/>
          <w:sz w:val="22"/>
          <w:szCs w:val="22"/>
          <w:lang w:eastAsia="ko-KR"/>
        </w:rPr>
        <w:t>Specify solutions for alignment between eDRX and PRS configurations [RAN2].</w:t>
      </w:r>
    </w:p>
    <w:p w14:paraId="38C3A420" w14:textId="77777777" w:rsidR="00B52DDA" w:rsidRPr="00B52DDA" w:rsidRDefault="00B52DDA" w:rsidP="00B52DDA">
      <w:pPr>
        <w:numPr>
          <w:ilvl w:val="1"/>
          <w:numId w:val="111"/>
        </w:numPr>
        <w:overflowPunct/>
        <w:autoSpaceDE/>
        <w:autoSpaceDN/>
        <w:adjustRightInd/>
        <w:spacing w:after="0" w:line="276" w:lineRule="auto"/>
        <w:textAlignment w:val="auto"/>
        <w:rPr>
          <w:rFonts w:eastAsiaTheme="minorHAnsi"/>
          <w:sz w:val="22"/>
          <w:szCs w:val="22"/>
          <w:lang w:eastAsia="ko-KR"/>
        </w:rPr>
      </w:pPr>
      <w:r w:rsidRPr="00B52DDA">
        <w:rPr>
          <w:sz w:val="22"/>
          <w:szCs w:val="22"/>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56492BEA" w:rsidR="009C4DC0" w:rsidRPr="00432ABC" w:rsidRDefault="005464C3" w:rsidP="00432ABC">
      <w:pPr>
        <w:pStyle w:val="Heading2"/>
        <w:rPr>
          <w:lang w:val="en-US"/>
        </w:rPr>
      </w:pPr>
      <w:r w:rsidRPr="00432ABC">
        <w:rPr>
          <w:lang w:val="en-US"/>
        </w:rPr>
        <w:t>Area based SRS</w:t>
      </w:r>
    </w:p>
    <w:p w14:paraId="7A1F1BC0" w14:textId="76121494" w:rsidR="00CE1FC8" w:rsidRDefault="006756F1" w:rsidP="6DBAFB32">
      <w:pPr>
        <w:jc w:val="both"/>
      </w:pPr>
      <w:r>
        <w:rPr>
          <w:rFonts w:eastAsia="Times New Roman"/>
        </w:rPr>
        <w:t xml:space="preserve">Legacy </w:t>
      </w:r>
      <w:r w:rsidR="73A709A0" w:rsidRPr="655279BF">
        <w:rPr>
          <w:rFonts w:eastAsia="Times New Roman"/>
        </w:rPr>
        <w:t xml:space="preserve">SRS for positioning is configured in a higher layer parameter “SRS-Config” and it is associated with a dedicated UL BWP of a specific cell. Thus, the current SRS configuration is not valid for multiple cells. There are many configuration </w:t>
      </w:r>
      <w:r w:rsidR="73A709A0" w:rsidRPr="655279BF">
        <w:rPr>
          <w:rFonts w:eastAsia="Times New Roman"/>
        </w:rPr>
        <w:lastRenderedPageBreak/>
        <w:t>parameters related to the SRS configuration such as periodicity, offset, comb-type, resource type, and so forth. Introducing some of them as common parameters across multiple cells might not be a big issue. For example, periodicity and comb-offset could be common parameters across multiple cells and it may not have impact to the system</w:t>
      </w:r>
      <w:r w:rsidR="00CC2C8C">
        <w:rPr>
          <w:rFonts w:eastAsia="Times New Roman"/>
        </w:rPr>
        <w:t xml:space="preserve"> if cells within the positioning area make resource reservation</w:t>
      </w:r>
      <w:r w:rsidR="73A709A0" w:rsidRPr="655279BF">
        <w:rPr>
          <w:rFonts w:eastAsia="Times New Roman"/>
        </w:rPr>
        <w:t>.</w:t>
      </w:r>
    </w:p>
    <w:p w14:paraId="7E53846D" w14:textId="13B4253F" w:rsidR="00CE1FC8" w:rsidRDefault="73A709A0" w:rsidP="6DBAFB32">
      <w:pPr>
        <w:jc w:val="both"/>
      </w:pPr>
      <w:r w:rsidRPr="6DBAFB32">
        <w:rPr>
          <w:rFonts w:eastAsia="Times New Roman"/>
        </w:rPr>
        <w:t xml:space="preserve">However, some parameters such as spatial relation information and power control would not be proper as common parameters. Each SRS resource includes spatial relation information so that the UE could determine the transmission beam direction. </w:t>
      </w:r>
      <w:r w:rsidR="00CF22AD">
        <w:rPr>
          <w:rFonts w:eastAsia="Times New Roman"/>
        </w:rPr>
        <w:t xml:space="preserve">When </w:t>
      </w:r>
      <w:r w:rsidRPr="6DBAFB32">
        <w:rPr>
          <w:rFonts w:eastAsia="Times New Roman"/>
        </w:rPr>
        <w:t>the UE moves</w:t>
      </w:r>
      <w:r w:rsidR="00CF22AD">
        <w:rPr>
          <w:rFonts w:eastAsia="Times New Roman"/>
        </w:rPr>
        <w:t xml:space="preserve"> from one cell</w:t>
      </w:r>
      <w:r w:rsidRPr="6DBAFB32">
        <w:rPr>
          <w:rFonts w:eastAsia="Times New Roman"/>
        </w:rPr>
        <w:t xml:space="preserve"> to another cell, the UE </w:t>
      </w:r>
      <w:r w:rsidR="00CF22AD">
        <w:rPr>
          <w:rFonts w:eastAsia="Times New Roman"/>
        </w:rPr>
        <w:t xml:space="preserve">may </w:t>
      </w:r>
      <w:r w:rsidRPr="6DBAFB32">
        <w:rPr>
          <w:rFonts w:eastAsia="Times New Roman"/>
        </w:rPr>
        <w:t xml:space="preserve">need to adjust the Tx beam direction to transmit the SRS. Similarly, for each SRS resource set, a path-loss reference RS (Reference Signal) is configured so that the UE could determine the transmission power for multiple SRS resources within the SRS resource set. </w:t>
      </w:r>
      <w:r w:rsidR="00F31C18">
        <w:rPr>
          <w:rFonts w:eastAsia="Times New Roman"/>
        </w:rPr>
        <w:t>W</w:t>
      </w:r>
      <w:r w:rsidR="001D66B2">
        <w:rPr>
          <w:rFonts w:eastAsia="Times New Roman"/>
        </w:rPr>
        <w:t xml:space="preserve">hen LPHAP UE moves within the positioning area, it may need to adjust </w:t>
      </w:r>
      <w:r w:rsidR="00F31C18">
        <w:rPr>
          <w:rFonts w:eastAsia="Times New Roman"/>
        </w:rPr>
        <w:t xml:space="preserve">Tx power according to different path-loss </w:t>
      </w:r>
      <w:r w:rsidR="000B66B7">
        <w:rPr>
          <w:rFonts w:eastAsia="Times New Roman"/>
        </w:rPr>
        <w:t xml:space="preserve">source to ensure a </w:t>
      </w:r>
      <w:r w:rsidR="00D7597F">
        <w:rPr>
          <w:rFonts w:eastAsia="Times New Roman"/>
        </w:rPr>
        <w:t>suitable Tx power for positioning.</w:t>
      </w:r>
    </w:p>
    <w:p w14:paraId="080C834D" w14:textId="1CE780E5" w:rsidR="00CE1FC8" w:rsidRDefault="73A709A0" w:rsidP="6DBAFB32">
      <w:pPr>
        <w:jc w:val="both"/>
      </w:pPr>
      <w:r w:rsidRPr="6DBAFB32">
        <w:rPr>
          <w:rFonts w:eastAsia="Times New Roman"/>
        </w:rPr>
        <w:t>The potential solutions may include:</w:t>
      </w:r>
    </w:p>
    <w:p w14:paraId="53A7F304" w14:textId="68CFD95C" w:rsidR="00CE1FC8" w:rsidRDefault="73A709A0" w:rsidP="6DBAFB32">
      <w:pPr>
        <w:pStyle w:val="ListParagraph"/>
        <w:numPr>
          <w:ilvl w:val="0"/>
          <w:numId w:val="4"/>
        </w:numPr>
        <w:rPr>
          <w:rFonts w:eastAsia="Times New Roman"/>
        </w:rPr>
      </w:pPr>
      <w:r w:rsidRPr="00432ABC">
        <w:rPr>
          <w:rFonts w:eastAsia="Times New Roman"/>
        </w:rPr>
        <w:t>SRS beam sweeping</w:t>
      </w:r>
      <w:r w:rsidR="00A51C98" w:rsidRPr="00432ABC">
        <w:rPr>
          <w:rFonts w:eastAsia="Times New Roman"/>
        </w:rPr>
        <w:t xml:space="preserve"> with </w:t>
      </w:r>
      <w:r w:rsidR="006E5C19" w:rsidRPr="00432ABC">
        <w:rPr>
          <w:rFonts w:eastAsia="Times New Roman"/>
        </w:rPr>
        <w:t xml:space="preserve">an </w:t>
      </w:r>
      <w:r w:rsidR="00A51C98" w:rsidRPr="00432ABC">
        <w:rPr>
          <w:rFonts w:eastAsia="Times New Roman"/>
        </w:rPr>
        <w:t>efficient</w:t>
      </w:r>
      <w:r w:rsidR="009E1009" w:rsidRPr="00432ABC">
        <w:rPr>
          <w:rFonts w:eastAsia="Times New Roman"/>
        </w:rPr>
        <w:t>/restricted</w:t>
      </w:r>
      <w:r w:rsidR="00A51C98" w:rsidRPr="00432ABC">
        <w:rPr>
          <w:rFonts w:eastAsia="Times New Roman"/>
        </w:rPr>
        <w:t xml:space="preserve"> resource configuration</w:t>
      </w:r>
    </w:p>
    <w:p w14:paraId="2BEA798C" w14:textId="37C4AC3C" w:rsidR="00C47A4A" w:rsidRDefault="00CA3841" w:rsidP="00432ABC">
      <w:pPr>
        <w:tabs>
          <w:tab w:val="left" w:pos="1701"/>
        </w:tabs>
        <w:spacing w:before="240"/>
        <w:jc w:val="both"/>
        <w:rPr>
          <w:rFonts w:eastAsia="Times New Roman"/>
        </w:rPr>
      </w:pPr>
      <w:r w:rsidRPr="00CA3841">
        <w:rPr>
          <w:rFonts w:eastAsia="Times New Roman"/>
        </w:rPr>
        <w:t>It would be better to configure</w:t>
      </w:r>
      <w:r w:rsidR="00F14DC8">
        <w:rPr>
          <w:rFonts w:eastAsia="Times New Roman"/>
        </w:rPr>
        <w:t xml:space="preserve"> positioning</w:t>
      </w:r>
      <w:r w:rsidRPr="00CA3841">
        <w:rPr>
          <w:rFonts w:eastAsia="Times New Roman"/>
        </w:rPr>
        <w:t xml:space="preserve"> SRS resources as much as the UE needs in consideration of </w:t>
      </w:r>
      <w:r w:rsidR="001C6668">
        <w:rPr>
          <w:rFonts w:eastAsia="Times New Roman"/>
        </w:rPr>
        <w:t xml:space="preserve">the </w:t>
      </w:r>
      <w:r w:rsidRPr="00CA3841">
        <w:rPr>
          <w:rFonts w:eastAsia="Times New Roman"/>
        </w:rPr>
        <w:t>transmission power consumption</w:t>
      </w:r>
      <w:r w:rsidR="00F80FCB">
        <w:rPr>
          <w:rFonts w:eastAsia="Times New Roman"/>
        </w:rPr>
        <w:t xml:space="preserve">, as the power consumption is critical to LPHAP device. If there is </w:t>
      </w:r>
      <w:r w:rsidR="00B21858">
        <w:rPr>
          <w:rFonts w:eastAsia="Times New Roman"/>
        </w:rPr>
        <w:t xml:space="preserve">no configuration of spatial relation information to SRSs, </w:t>
      </w:r>
      <w:r w:rsidR="00890DDC">
        <w:rPr>
          <w:rFonts w:eastAsia="Times New Roman"/>
        </w:rPr>
        <w:t>the beam sweeping is up to the UE implementation</w:t>
      </w:r>
      <w:r w:rsidR="00CF5555">
        <w:rPr>
          <w:rFonts w:eastAsia="Times New Roman"/>
        </w:rPr>
        <w:t>, but</w:t>
      </w:r>
      <w:r w:rsidR="000339B1">
        <w:rPr>
          <w:rFonts w:eastAsia="Times New Roman"/>
        </w:rPr>
        <w:t xml:space="preserve"> </w:t>
      </w:r>
      <w:r w:rsidR="00CF5555">
        <w:rPr>
          <w:rFonts w:eastAsia="Times New Roman"/>
        </w:rPr>
        <w:t>t</w:t>
      </w:r>
      <w:r w:rsidR="000339B1" w:rsidRPr="000339B1">
        <w:rPr>
          <w:rFonts w:eastAsia="Times New Roman"/>
        </w:rPr>
        <w:t xml:space="preserve">he gNB may not know how many beams or SRS resources the UE needs to use. Hence, if the UE provides a desirable </w:t>
      </w:r>
      <w:r w:rsidR="00450CC3">
        <w:rPr>
          <w:rFonts w:eastAsia="Times New Roman"/>
        </w:rPr>
        <w:t>amount</w:t>
      </w:r>
      <w:r w:rsidR="000339B1" w:rsidRPr="000339B1">
        <w:rPr>
          <w:rFonts w:eastAsia="Times New Roman"/>
        </w:rPr>
        <w:t xml:space="preserve"> of SRS resources considering its beam sweeping capability</w:t>
      </w:r>
      <w:r w:rsidR="00450CC3">
        <w:rPr>
          <w:rFonts w:eastAsia="Times New Roman"/>
        </w:rPr>
        <w:t xml:space="preserve"> and/or </w:t>
      </w:r>
      <w:r w:rsidR="000339B1" w:rsidRPr="000339B1">
        <w:rPr>
          <w:rFonts w:eastAsia="Times New Roman"/>
        </w:rPr>
        <w:t>policy, the gNB may be able to configure SRS resources more efficiently</w:t>
      </w:r>
      <w:r w:rsidR="000A0108">
        <w:rPr>
          <w:rFonts w:eastAsia="Times New Roman"/>
        </w:rPr>
        <w:t>, which is also beneficial to the LPHAP device</w:t>
      </w:r>
      <w:r w:rsidR="000339B1" w:rsidRPr="000339B1">
        <w:rPr>
          <w:rFonts w:eastAsia="Times New Roman"/>
        </w:rPr>
        <w:t>.</w:t>
      </w:r>
    </w:p>
    <w:p w14:paraId="2F352BBF" w14:textId="4D15CA40" w:rsidR="000B2B86" w:rsidRDefault="000B2B86" w:rsidP="000B2B86">
      <w:pPr>
        <w:jc w:val="both"/>
        <w:rPr>
          <w:rFonts w:eastAsia="Times New Roman"/>
        </w:rPr>
      </w:pPr>
      <w:r w:rsidRPr="00432ABC">
        <w:rPr>
          <w:rFonts w:eastAsia="Times New Roman"/>
          <w:b/>
          <w:bCs/>
        </w:rPr>
        <w:t xml:space="preserve">Proposal </w:t>
      </w:r>
      <w:r w:rsidR="00A32E6F">
        <w:rPr>
          <w:rFonts w:eastAsia="Times New Roman"/>
          <w:b/>
          <w:bCs/>
        </w:rPr>
        <w:t>1</w:t>
      </w:r>
      <w:r w:rsidRPr="00432ABC">
        <w:rPr>
          <w:rFonts w:eastAsia="Times New Roman"/>
          <w:b/>
          <w:bCs/>
        </w:rPr>
        <w:t>:</w:t>
      </w:r>
      <w:r>
        <w:rPr>
          <w:rFonts w:eastAsia="Times New Roman"/>
        </w:rPr>
        <w:t xml:space="preserve"> RAN1 </w:t>
      </w:r>
      <w:r w:rsidR="00790CDE">
        <w:rPr>
          <w:rFonts w:eastAsia="Times New Roman"/>
        </w:rPr>
        <w:t>should</w:t>
      </w:r>
      <w:r>
        <w:rPr>
          <w:rFonts w:eastAsia="Times New Roman"/>
        </w:rPr>
        <w:t xml:space="preserve"> consider </w:t>
      </w:r>
      <w:r w:rsidR="007A67E5">
        <w:rPr>
          <w:rFonts w:eastAsia="Times New Roman"/>
        </w:rPr>
        <w:t xml:space="preserve">how to enable </w:t>
      </w:r>
      <w:r w:rsidR="00225A12">
        <w:rPr>
          <w:rFonts w:eastAsia="Times New Roman"/>
        </w:rPr>
        <w:t>a more efficient resource configuration</w:t>
      </w:r>
      <w:r w:rsidR="009A68C1">
        <w:rPr>
          <w:rFonts w:eastAsia="Times New Roman"/>
        </w:rPr>
        <w:t xml:space="preserve"> considering </w:t>
      </w:r>
      <w:r w:rsidR="0076481A">
        <w:rPr>
          <w:rFonts w:eastAsia="Times New Roman"/>
        </w:rPr>
        <w:t xml:space="preserve">the required </w:t>
      </w:r>
      <w:r w:rsidR="00651D9B">
        <w:rPr>
          <w:rFonts w:eastAsia="Times New Roman"/>
        </w:rPr>
        <w:t xml:space="preserve">SRS </w:t>
      </w:r>
      <w:r w:rsidR="0076481A">
        <w:rPr>
          <w:rFonts w:eastAsia="Times New Roman"/>
        </w:rPr>
        <w:t>beam sweeping</w:t>
      </w:r>
      <w:r w:rsidR="00D671D0">
        <w:rPr>
          <w:rFonts w:eastAsia="Times New Roman"/>
        </w:rPr>
        <w:t xml:space="preserve"> of the UE</w:t>
      </w:r>
      <w:r w:rsidR="00F134D0">
        <w:rPr>
          <w:rFonts w:eastAsia="Times New Roman"/>
        </w:rPr>
        <w:t>.</w:t>
      </w:r>
    </w:p>
    <w:p w14:paraId="1B95DF34" w14:textId="421E28D4" w:rsidR="00DC79D0" w:rsidRDefault="6D5435AE" w:rsidP="6DBAFB32">
      <w:pPr>
        <w:jc w:val="both"/>
        <w:rPr>
          <w:rFonts w:eastAsia="Times New Roman"/>
        </w:rPr>
      </w:pPr>
      <w:bookmarkStart w:id="3" w:name="_Hlk4137067"/>
      <w:bookmarkStart w:id="4" w:name="_Hlk520894743"/>
      <w:bookmarkStart w:id="5" w:name="_Hlk7596973"/>
      <w:bookmarkStart w:id="6" w:name="_Hlk525462634"/>
      <w:bookmarkStart w:id="7" w:name="Proposal98262"/>
      <w:bookmarkStart w:id="8"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one common SRS configuration could be applied to a </w:t>
      </w:r>
      <w:r w:rsidR="55B53B2E" w:rsidRPr="42B4ED8B">
        <w:rPr>
          <w:rFonts w:eastAsia="Times New Roman"/>
        </w:rPr>
        <w:t>validity</w:t>
      </w:r>
      <w:r w:rsidRPr="42B4ED8B">
        <w:rPr>
          <w:rFonts w:eastAsia="Times New Roman"/>
        </w:rPr>
        <w:t xml:space="preserve"> area consisting of multiple cells. The UE can continue sending SRS without </w:t>
      </w:r>
      <w:r w:rsidR="00EC135F">
        <w:rPr>
          <w:rFonts w:eastAsia="Times New Roman"/>
        </w:rPr>
        <w:t>the</w:t>
      </w:r>
      <w:r w:rsidRPr="42B4ED8B">
        <w:rPr>
          <w:rFonts w:eastAsia="Times New Roman"/>
        </w:rPr>
        <w:t xml:space="preserve"> update </w:t>
      </w:r>
      <w:r w:rsidR="00EC135F">
        <w:rPr>
          <w:rFonts w:eastAsia="Times New Roman"/>
        </w:rPr>
        <w:t xml:space="preserve">of </w:t>
      </w:r>
      <w:r w:rsidRPr="42B4ED8B">
        <w:rPr>
          <w:rFonts w:eastAsia="Times New Roman"/>
        </w:rPr>
        <w:t xml:space="preserve">SRS configurations so long as it remains within the coverage of any of the cells in the </w:t>
      </w:r>
      <w:r w:rsidR="199C0755" w:rsidRPr="42B4ED8B">
        <w:rPr>
          <w:rFonts w:eastAsia="Times New Roman"/>
        </w:rPr>
        <w:t>va</w:t>
      </w:r>
      <w:r w:rsidRPr="42B4ED8B">
        <w:rPr>
          <w:rFonts w:eastAsia="Times New Roman"/>
        </w:rPr>
        <w:t xml:space="preserve">lidity area. However, the SRS configuration turns invalid when the UE moves out of the SRS positioning </w:t>
      </w:r>
      <w:r w:rsidR="727B64DF" w:rsidRPr="42B4ED8B">
        <w:rPr>
          <w:rFonts w:eastAsia="Times New Roman"/>
        </w:rPr>
        <w:t>v</w:t>
      </w:r>
      <w:r w:rsidRPr="42B4ED8B">
        <w:rPr>
          <w:rFonts w:eastAsia="Times New Roman"/>
        </w:rPr>
        <w:t xml:space="preserve">alidity area. In this scenario, we should consider how UE request new SRS configuration when the positioning area changes. The potential solutions may include: </w:t>
      </w:r>
    </w:p>
    <w:p w14:paraId="0B795B5C" w14:textId="46F46AEA" w:rsidR="00DC79D0" w:rsidRDefault="7781ABA3" w:rsidP="6DBAFB32">
      <w:pPr>
        <w:pStyle w:val="ListParagraph"/>
        <w:numPr>
          <w:ilvl w:val="0"/>
          <w:numId w:val="2"/>
        </w:numPr>
        <w:rPr>
          <w:rFonts w:eastAsia="Times New Roman"/>
        </w:rPr>
      </w:pPr>
      <w:r w:rsidRPr="6DBAFB32">
        <w:rPr>
          <w:rFonts w:eastAsia="Times New Roman"/>
        </w:rPr>
        <w:t>Network-triggered SRS update request</w:t>
      </w:r>
    </w:p>
    <w:p w14:paraId="39A536F6" w14:textId="19B1E31D" w:rsidR="00DC79D0" w:rsidRDefault="6D5435AE" w:rsidP="6DBAFB32">
      <w:pPr>
        <w:jc w:val="both"/>
      </w:pPr>
      <w:r w:rsidRPr="42B4ED8B">
        <w:rPr>
          <w:rFonts w:eastAsia="Times New Roman"/>
        </w:rPr>
        <w:t xml:space="preserve">The LMF can know that the UE moves out of the validation area since it knows UE’s location. When the LMF finds that the </w:t>
      </w:r>
      <w:r w:rsidR="129AD03F" w:rsidRPr="42B4ED8B">
        <w:rPr>
          <w:rFonts w:eastAsia="Times New Roman"/>
        </w:rPr>
        <w:t xml:space="preserve">validity </w:t>
      </w:r>
      <w:r w:rsidRPr="42B4ED8B">
        <w:rPr>
          <w:rFonts w:eastAsia="Times New Roman"/>
        </w:rPr>
        <w:t xml:space="preserve">area turns invalid, the LMF can directly trigger the UE to send the SRS update request to gNB by paging. To avoid UE entering RRC connected state, some additional information such as the paging purpose/cause (i.e., SRS update request) can be indicated in the paging information.  Such that UE can know it should send the SRS update request to gNB by SDT without entering </w:t>
      </w:r>
      <w:r w:rsidR="77DA2D0A" w:rsidRPr="42B4ED8B">
        <w:rPr>
          <w:rFonts w:eastAsia="Times New Roman"/>
        </w:rPr>
        <w:t xml:space="preserve">RRC </w:t>
      </w:r>
      <w:r w:rsidRPr="42B4ED8B">
        <w:rPr>
          <w:rFonts w:eastAsia="Times New Roman"/>
        </w:rPr>
        <w:t xml:space="preserve">connected state.  </w:t>
      </w:r>
    </w:p>
    <w:p w14:paraId="0FD6212D" w14:textId="7133B796" w:rsidR="00DC79D0" w:rsidRDefault="7781ABA3" w:rsidP="6DBAFB32">
      <w:pPr>
        <w:pStyle w:val="ListParagraph"/>
        <w:numPr>
          <w:ilvl w:val="0"/>
          <w:numId w:val="2"/>
        </w:numPr>
        <w:rPr>
          <w:rFonts w:eastAsia="Times New Roman"/>
        </w:rPr>
      </w:pPr>
      <w:r w:rsidRPr="61C1692B">
        <w:rPr>
          <w:rFonts w:eastAsia="Times New Roman"/>
        </w:rPr>
        <w:t xml:space="preserve">UE initiated SRS configuration update request </w:t>
      </w:r>
    </w:p>
    <w:p w14:paraId="537B227C" w14:textId="58629CEF" w:rsidR="00DC79D0" w:rsidRDefault="7781ABA3" w:rsidP="6DBAFB32">
      <w:pPr>
        <w:jc w:val="both"/>
      </w:pPr>
      <w:r w:rsidRPr="61C1692B">
        <w:rPr>
          <w:rFonts w:eastAsia="Times New Roman"/>
        </w:rPr>
        <w:t xml:space="preserve">The UE can initiate the SRS update to the gNB when the UE finds the camped cell is out of the validation area. For instance, when UE leaves the SRS valid cell, it can remain in the inactive state and use the similar method as the positioning report (e.g., via SDT) to require updated SRS configuration, and then the new gNB can deliver the updated SRS configuration to the UE without entering </w:t>
      </w:r>
      <w:r w:rsidR="4E7B3B5D" w:rsidRPr="61C1692B">
        <w:rPr>
          <w:rFonts w:eastAsia="Times New Roman"/>
        </w:rPr>
        <w:t xml:space="preserve">RRC </w:t>
      </w:r>
      <w:r w:rsidRPr="61C1692B">
        <w:rPr>
          <w:rFonts w:eastAsia="Times New Roman"/>
        </w:rPr>
        <w:t>connected state.</w:t>
      </w:r>
      <w:r w:rsidR="00A64C80" w:rsidRPr="61C1692B">
        <w:rPr>
          <w:rFonts w:eastAsia="Times New Roman"/>
        </w:rPr>
        <w:t xml:space="preserve"> The UE could also indicate in the request to the network which parameters may be invalid (e.g., pathloss reference or spatial relation).</w:t>
      </w:r>
    </w:p>
    <w:p w14:paraId="2FC93A29" w14:textId="17D051D0" w:rsidR="00DC79D0" w:rsidRDefault="7781ABA3" w:rsidP="6DBAFB32">
      <w:pPr>
        <w:jc w:val="both"/>
      </w:pPr>
      <w:r w:rsidRPr="6DBAFB32">
        <w:rPr>
          <w:rFonts w:eastAsia="Times New Roman"/>
          <w:b/>
          <w:bCs/>
        </w:rPr>
        <w:t>Proposal 2</w:t>
      </w:r>
      <w:r w:rsidRPr="6DBAFB32">
        <w:rPr>
          <w:rFonts w:eastAsia="Times New Roman"/>
        </w:rPr>
        <w:t xml:space="preserve">: </w:t>
      </w:r>
      <w:r w:rsidR="00692A86">
        <w:rPr>
          <w:rFonts w:eastAsia="Times New Roman"/>
        </w:rPr>
        <w:t>RAN1 should consider b</w:t>
      </w:r>
      <w:r w:rsidR="00E85E87">
        <w:rPr>
          <w:rFonts w:eastAsia="Times New Roman"/>
        </w:rPr>
        <w:t>oth network-triggered and UE initiated area-based SRS configuration update.</w:t>
      </w:r>
    </w:p>
    <w:p w14:paraId="4AC52F43" w14:textId="7923475B" w:rsidR="00DC79D0" w:rsidRDefault="42D64996" w:rsidP="6DBAFB32">
      <w:pPr>
        <w:jc w:val="both"/>
      </w:pPr>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in order to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gNB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6B63C4E7" w:rsidR="00DC79D0" w:rsidRDefault="4B01FD96" w:rsidP="6DBAFB32">
      <w:pPr>
        <w:jc w:val="both"/>
      </w:pPr>
      <w:r w:rsidRPr="61C1692B">
        <w:rPr>
          <w:rFonts w:eastAsia="Times New Roman"/>
          <w:b/>
          <w:bCs/>
        </w:rPr>
        <w:lastRenderedPageBreak/>
        <w:t>Proposal 3</w:t>
      </w:r>
      <w:r w:rsidRPr="61C1692B">
        <w:rPr>
          <w:rFonts w:eastAsia="Times New Roman"/>
        </w:rPr>
        <w:t xml:space="preserve">: RAN1 </w:t>
      </w:r>
      <w:r w:rsidR="000F18EF">
        <w:rPr>
          <w:rFonts w:eastAsia="Times New Roman"/>
        </w:rPr>
        <w:t>should</w:t>
      </w:r>
      <w:r w:rsidRPr="61C1692B">
        <w:rPr>
          <w:rFonts w:eastAsia="Times New Roman"/>
        </w:rPr>
        <w:t xml:space="preserve"> study allowing </w:t>
      </w:r>
      <w:r w:rsidR="00A451A9">
        <w:rPr>
          <w:rFonts w:eastAsia="Times New Roman"/>
        </w:rPr>
        <w:t>a subset of</w:t>
      </w:r>
      <w:r w:rsidRPr="61C1692B">
        <w:rPr>
          <w:rFonts w:eastAsia="Times New Roman"/>
        </w:rPr>
        <w:t xml:space="preserve"> cells (i.e., close to UE) in the </w:t>
      </w:r>
      <w:r w:rsidR="00441583" w:rsidRPr="61C1692B">
        <w:rPr>
          <w:rFonts w:eastAsia="Times New Roman"/>
        </w:rPr>
        <w:t xml:space="preserve">validation </w:t>
      </w:r>
      <w:r w:rsidRPr="61C1692B">
        <w:rPr>
          <w:rFonts w:eastAsia="Times New Roman"/>
        </w:rPr>
        <w:t>area to reserve the resource</w:t>
      </w:r>
      <w:r w:rsidR="0035169C" w:rsidRPr="61C1692B">
        <w:rPr>
          <w:rFonts w:eastAsia="Times New Roman"/>
        </w:rPr>
        <w:t xml:space="preserve"> for area-based SRS.</w:t>
      </w:r>
      <w:r w:rsidRPr="61C1692B">
        <w:rPr>
          <w:rFonts w:eastAsia="Times New Roman"/>
        </w:rPr>
        <w:t xml:space="preserve"> </w:t>
      </w:r>
    </w:p>
    <w:p w14:paraId="0D82418E" w14:textId="6A8DFA8C" w:rsidR="00622A7D" w:rsidRPr="00735611" w:rsidRDefault="60EE8F6B" w:rsidP="00735611">
      <w:pPr>
        <w:pStyle w:val="Heading2"/>
        <w:rPr>
          <w:lang w:val="en-US"/>
        </w:rPr>
      </w:pPr>
      <w:r w:rsidRPr="00735611">
        <w:rPr>
          <w:lang w:val="en-US"/>
        </w:rPr>
        <w:t>Alignment between the DRX and DL-PRS</w:t>
      </w:r>
    </w:p>
    <w:p w14:paraId="5919A027" w14:textId="1AF580F6" w:rsidR="00622A7D" w:rsidRPr="006859B9" w:rsidRDefault="00622A7D" w:rsidP="00622A7D">
      <w:pPr>
        <w:jc w:val="both"/>
      </w:pPr>
      <w:r w:rsidRPr="006859B9">
        <w:t>The DRX cycle and DL-PRS configured by LMF are independent procedures. These independent procedures may result in a misalignment</w:t>
      </w:r>
      <w:r>
        <w:t xml:space="preserve"> (or, progressively offseted over a time)</w:t>
      </w:r>
      <w:r w:rsidRPr="006859B9">
        <w:t xml:space="preserve"> between PRS transmission and the DRX occasions as shown in Figure </w:t>
      </w:r>
      <w:r>
        <w:t>yy</w:t>
      </w:r>
      <w:r w:rsidRPr="006859B9">
        <w:t>-1 below.</w:t>
      </w:r>
      <w:r>
        <w:t xml:space="preserve"> This problem </w:t>
      </w:r>
      <w:r w:rsidR="008D3DF6">
        <w:t>could be even problematic</w:t>
      </w:r>
      <w:r>
        <w:t xml:space="preserve"> where continuous positioning measurement is required.</w:t>
      </w:r>
    </w:p>
    <w:p w14:paraId="4721E184" w14:textId="77777777" w:rsidR="00622A7D" w:rsidRPr="006859B9" w:rsidRDefault="00622A7D" w:rsidP="00622A7D">
      <w:pPr>
        <w:jc w:val="center"/>
        <w:rPr>
          <w:b/>
          <w:bCs/>
        </w:rPr>
      </w:pPr>
      <w:r w:rsidRPr="006859B9">
        <w:rPr>
          <w:b/>
          <w:bCs/>
          <w:noProof/>
        </w:rPr>
        <w:drawing>
          <wp:inline distT="0" distB="0" distL="0" distR="0" wp14:anchorId="05852553" wp14:editId="5FF5826B">
            <wp:extent cx="4838065" cy="1238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38065" cy="1238250"/>
                    </a:xfrm>
                    <a:prstGeom prst="rect">
                      <a:avLst/>
                    </a:prstGeom>
                    <a:noFill/>
                  </pic:spPr>
                </pic:pic>
              </a:graphicData>
            </a:graphic>
          </wp:inline>
        </w:drawing>
      </w:r>
    </w:p>
    <w:p w14:paraId="79D56DA0" w14:textId="77777777" w:rsidR="00622A7D" w:rsidRPr="006859B9" w:rsidRDefault="00622A7D" w:rsidP="00622A7D">
      <w:pPr>
        <w:jc w:val="center"/>
      </w:pPr>
      <w:r w:rsidRPr="006859B9">
        <w:t xml:space="preserve">Figure </w:t>
      </w:r>
      <w:r>
        <w:t>yy</w:t>
      </w:r>
      <w:r w:rsidRPr="006859B9">
        <w:t>-1: Illustration of misalignment between PRS and DRX</w:t>
      </w:r>
    </w:p>
    <w:p w14:paraId="53FE02A7" w14:textId="5EF40ECC" w:rsidR="00892327" w:rsidRDefault="00622A7D" w:rsidP="00622A7D">
      <w:pPr>
        <w:jc w:val="both"/>
      </w:pPr>
      <w:r w:rsidRPr="006859B9">
        <w:t xml:space="preserve">One straightforward solution for the problem </w:t>
      </w:r>
      <w:r w:rsidR="00C024CD">
        <w:t xml:space="preserve">as </w:t>
      </w:r>
      <w:r w:rsidRPr="006859B9">
        <w:t xml:space="preserve">seen in Figure </w:t>
      </w:r>
      <w:r w:rsidR="00730EE0">
        <w:t>yy</w:t>
      </w:r>
      <w:r w:rsidRPr="006859B9">
        <w:t xml:space="preserve">-1 could be to force UE to wake up to perform PRS measurements over the duration of PRS transmission occasions. This solution seems </w:t>
      </w:r>
      <w:r>
        <w:t xml:space="preserve">to be </w:t>
      </w:r>
      <w:r w:rsidRPr="006859B9">
        <w:t xml:space="preserve">on-the-shelf-solution, but it may totally violate the objective of the introduced DRX cycle for </w:t>
      </w:r>
      <w:r w:rsidR="00296378">
        <w:t>LPHAP</w:t>
      </w:r>
      <w:r w:rsidRPr="006859B9">
        <w:t xml:space="preserve"> UEs (for example, </w:t>
      </w:r>
      <w:r>
        <w:t>power saving</w:t>
      </w:r>
      <w:r w:rsidR="006D65AB">
        <w:t>, receiver complexity reduction, etc.</w:t>
      </w:r>
      <w:r w:rsidRPr="006859B9">
        <w:t>). Instead, if UE do</w:t>
      </w:r>
      <w:r w:rsidR="00BE42D8">
        <w:t>es</w:t>
      </w:r>
      <w:r w:rsidRPr="006859B9">
        <w:t xml:space="preserve"> not wake up, UE cannot perform the PRS measurement at the corresponding PRS transmission occasion and it may lead to positioning failure. </w:t>
      </w:r>
      <w:r w:rsidR="00892327" w:rsidRPr="00892327">
        <w:t xml:space="preserve">Alternatively, UE could wake up according to PRS cycle, but perform partial-band reception following the strategy of frequency hopping </w:t>
      </w:r>
      <w:r w:rsidR="00892327">
        <w:t>without compromising the power consumption</w:t>
      </w:r>
      <w:r w:rsidR="00892327" w:rsidRPr="00892327">
        <w:t>.</w:t>
      </w:r>
    </w:p>
    <w:p w14:paraId="6B32944D" w14:textId="4A714173" w:rsidR="00622A7D" w:rsidRDefault="00622A7D" w:rsidP="00622A7D">
      <w:pPr>
        <w:jc w:val="both"/>
      </w:pPr>
      <w:r w:rsidRPr="00432ABC">
        <w:rPr>
          <w:b/>
          <w:bCs/>
        </w:rPr>
        <w:t xml:space="preserve">Proposal </w:t>
      </w:r>
      <w:r w:rsidR="007E04B0">
        <w:rPr>
          <w:b/>
          <w:bCs/>
        </w:rPr>
        <w:t>4</w:t>
      </w:r>
      <w:r w:rsidRPr="00432ABC">
        <w:rPr>
          <w:b/>
          <w:bCs/>
        </w:rPr>
        <w:t>:</w:t>
      </w:r>
      <w:r>
        <w:t xml:space="preserve"> </w:t>
      </w:r>
      <w:r w:rsidR="005B694A">
        <w:t>The</w:t>
      </w:r>
      <w:r w:rsidR="00506A3B">
        <w:t xml:space="preserve"> </w:t>
      </w:r>
      <w:r>
        <w:t xml:space="preserve">DRX </w:t>
      </w:r>
      <w:r w:rsidR="00B52D68">
        <w:t>alignment issue is important, and it should be addressed.</w:t>
      </w:r>
      <w:r>
        <w:t xml:space="preserve">  </w:t>
      </w:r>
    </w:p>
    <w:p w14:paraId="79116F2C" w14:textId="11A13602" w:rsidR="00E9720E" w:rsidRDefault="00BE42D8" w:rsidP="00622A7D">
      <w:pPr>
        <w:jc w:val="both"/>
      </w:pPr>
      <w:r>
        <w:t xml:space="preserve">In addition, </w:t>
      </w:r>
      <w:r w:rsidR="00AC5664">
        <w:t xml:space="preserve">this DRX alignment </w:t>
      </w:r>
      <w:r w:rsidR="00881CC8">
        <w:t>might</w:t>
      </w:r>
      <w:r w:rsidR="00E9720E">
        <w:t xml:space="preserve"> not be </w:t>
      </w:r>
      <w:r w:rsidR="00DF7047">
        <w:t>an</w:t>
      </w:r>
      <w:r w:rsidR="00A9248A">
        <w:t xml:space="preserve"> important</w:t>
      </w:r>
      <w:r w:rsidR="00DF7047">
        <w:t xml:space="preserve"> issue only for the LPHAP device. The positioning measurement of RRC inactive </w:t>
      </w:r>
      <w:r w:rsidR="00B71FB5">
        <w:t>UE was introduced in Rel-17</w:t>
      </w:r>
      <w:r w:rsidR="00A9248A">
        <w:t xml:space="preserve">, and the </w:t>
      </w:r>
      <w:r w:rsidR="00AC3486">
        <w:t>various</w:t>
      </w:r>
      <w:r w:rsidR="00A9248A">
        <w:t xml:space="preserve"> </w:t>
      </w:r>
      <w:r w:rsidR="00A768B6">
        <w:t>enhancement</w:t>
      </w:r>
      <w:r w:rsidR="00AC3486">
        <w:t>s</w:t>
      </w:r>
      <w:r w:rsidR="00A768B6">
        <w:t xml:space="preserve"> in the Rel-18 NR positioning</w:t>
      </w:r>
      <w:r w:rsidR="00FA7FAF">
        <w:t xml:space="preserve"> would be </w:t>
      </w:r>
      <w:r w:rsidR="00765EBE">
        <w:t xml:space="preserve">applied to normal UE. </w:t>
      </w:r>
      <w:r w:rsidR="001F2285" w:rsidRPr="001F2285">
        <w:t xml:space="preserve">The enhancement of the alignment of the DRX and DL-PRS should be extended not only for LPHAP devices but also for </w:t>
      </w:r>
      <w:r w:rsidR="00FC722B">
        <w:t xml:space="preserve">a </w:t>
      </w:r>
      <w:r w:rsidR="001F2285" w:rsidRPr="001F2285">
        <w:t xml:space="preserve">normal and RedCap </w:t>
      </w:r>
      <w:r w:rsidR="00130D55">
        <w:t>device</w:t>
      </w:r>
      <w:r w:rsidR="008D0570">
        <w:t xml:space="preserve">, since </w:t>
      </w:r>
      <w:r w:rsidR="00FC722B">
        <w:t xml:space="preserve">the </w:t>
      </w:r>
      <w:r w:rsidR="008D0570">
        <w:t xml:space="preserve">RedCap device </w:t>
      </w:r>
      <w:r w:rsidR="00130D55">
        <w:t>can</w:t>
      </w:r>
      <w:r w:rsidR="008D0570">
        <w:t xml:space="preserve"> also make</w:t>
      </w:r>
      <w:r w:rsidR="0083486C">
        <w:t xml:space="preserve"> a</w:t>
      </w:r>
      <w:r w:rsidR="00130D55">
        <w:t xml:space="preserve"> </w:t>
      </w:r>
      <w:r w:rsidR="008D0570">
        <w:t>DL/UL positioning measurement</w:t>
      </w:r>
      <w:r w:rsidR="00FE166A">
        <w:t>`</w:t>
      </w:r>
      <w:r w:rsidR="00304F7C">
        <w:t xml:space="preserve"> in RRC inactive mode</w:t>
      </w:r>
      <w:r w:rsidR="008D0570">
        <w:t>.</w:t>
      </w:r>
    </w:p>
    <w:bookmarkEnd w:id="3"/>
    <w:bookmarkEnd w:id="4"/>
    <w:bookmarkEnd w:id="5"/>
    <w:bookmarkEnd w:id="6"/>
    <w:bookmarkEnd w:id="7"/>
    <w:bookmarkEnd w:id="8"/>
    <w:p w14:paraId="061DFF3B" w14:textId="114400D5" w:rsidR="00931B76" w:rsidRPr="003A74B1" w:rsidRDefault="00931B76" w:rsidP="002921E9">
      <w:pPr>
        <w:pStyle w:val="Heading1"/>
        <w:rPr>
          <w:lang w:val="en-US"/>
        </w:rPr>
      </w:pPr>
      <w:r w:rsidRPr="6DBAFB32">
        <w:rPr>
          <w:lang w:val="en-US"/>
        </w:rPr>
        <w:t>Conclusions</w:t>
      </w:r>
    </w:p>
    <w:p w14:paraId="4D279CEB" w14:textId="77777777" w:rsidR="005D400A" w:rsidRDefault="005D400A" w:rsidP="005D400A">
      <w:pPr>
        <w:jc w:val="both"/>
        <w:rPr>
          <w:rFonts w:eastAsia="Times New Roman"/>
        </w:rPr>
      </w:pPr>
      <w:r w:rsidRPr="00432ABC">
        <w:rPr>
          <w:rFonts w:eastAsia="Times New Roman"/>
          <w:b/>
          <w:bCs/>
        </w:rPr>
        <w:t xml:space="preserve">Proposal </w:t>
      </w:r>
      <w:r>
        <w:rPr>
          <w:rFonts w:eastAsia="Times New Roman"/>
          <w:b/>
          <w:bCs/>
        </w:rPr>
        <w:t>1</w:t>
      </w:r>
      <w:r w:rsidRPr="00432ABC">
        <w:rPr>
          <w:rFonts w:eastAsia="Times New Roman"/>
          <w:b/>
          <w:bCs/>
        </w:rPr>
        <w:t>:</w:t>
      </w:r>
      <w:r>
        <w:rPr>
          <w:rFonts w:eastAsia="Times New Roman"/>
        </w:rPr>
        <w:t xml:space="preserve"> RAN1 should consider how to enable a more efficient resource configuration considering the required SRS beam sweeping of the UE.</w:t>
      </w:r>
    </w:p>
    <w:p w14:paraId="0A4E39E0" w14:textId="77777777" w:rsidR="005D400A" w:rsidRDefault="005D400A" w:rsidP="005D400A">
      <w:pPr>
        <w:jc w:val="both"/>
      </w:pPr>
      <w:r w:rsidRPr="6DBAFB32">
        <w:rPr>
          <w:rFonts w:eastAsia="Times New Roman"/>
          <w:b/>
          <w:bCs/>
        </w:rPr>
        <w:t>Proposal 2</w:t>
      </w:r>
      <w:r w:rsidRPr="6DBAFB32">
        <w:rPr>
          <w:rFonts w:eastAsia="Times New Roman"/>
        </w:rPr>
        <w:t xml:space="preserve">: </w:t>
      </w:r>
      <w:r>
        <w:rPr>
          <w:rFonts w:eastAsia="Times New Roman"/>
        </w:rPr>
        <w:t>RAN1 should consider both network-triggered and UE initiated area-based SRS configuration update.</w:t>
      </w:r>
    </w:p>
    <w:p w14:paraId="39FDF610" w14:textId="77777777" w:rsidR="005D400A" w:rsidRDefault="005D400A" w:rsidP="005D400A">
      <w:pPr>
        <w:jc w:val="both"/>
        <w:rPr>
          <w:rFonts w:eastAsia="Times New Roman"/>
        </w:rPr>
      </w:pPr>
      <w:r w:rsidRPr="61C1692B">
        <w:rPr>
          <w:rFonts w:eastAsia="Times New Roman"/>
          <w:b/>
          <w:bCs/>
        </w:rPr>
        <w:t>Proposal 3</w:t>
      </w:r>
      <w:r w:rsidRPr="61C1692B">
        <w:rPr>
          <w:rFonts w:eastAsia="Times New Roman"/>
        </w:rPr>
        <w:t xml:space="preserve">: RAN1 </w:t>
      </w:r>
      <w:r>
        <w:rPr>
          <w:rFonts w:eastAsia="Times New Roman"/>
        </w:rPr>
        <w:t>should</w:t>
      </w:r>
      <w:r w:rsidRPr="61C1692B">
        <w:rPr>
          <w:rFonts w:eastAsia="Times New Roman"/>
        </w:rPr>
        <w:t xml:space="preserve"> study allowing </w:t>
      </w:r>
      <w:r>
        <w:rPr>
          <w:rFonts w:eastAsia="Times New Roman"/>
        </w:rPr>
        <w:t>a subset of</w:t>
      </w:r>
      <w:r w:rsidRPr="61C1692B">
        <w:rPr>
          <w:rFonts w:eastAsia="Times New Roman"/>
        </w:rPr>
        <w:t xml:space="preserve"> cells (i.e., close to UE) in the validation area to reserve the resource for area-based SRS. </w:t>
      </w:r>
    </w:p>
    <w:p w14:paraId="38F35963" w14:textId="77777777" w:rsidR="005D400A" w:rsidRDefault="005D400A" w:rsidP="005D400A">
      <w:pPr>
        <w:jc w:val="both"/>
      </w:pPr>
      <w:r w:rsidRPr="00432ABC">
        <w:rPr>
          <w:b/>
          <w:bCs/>
        </w:rPr>
        <w:t xml:space="preserve">Proposal </w:t>
      </w:r>
      <w:r>
        <w:rPr>
          <w:b/>
          <w:bCs/>
        </w:rPr>
        <w:t>4</w:t>
      </w:r>
      <w:r w:rsidRPr="00432ABC">
        <w:rPr>
          <w:b/>
          <w:bCs/>
        </w:rPr>
        <w:t>:</w:t>
      </w:r>
      <w:r>
        <w:t xml:space="preserve"> The DRX alignment issue is important, and it should be addressed.  </w:t>
      </w:r>
    </w:p>
    <w:p w14:paraId="447CA517" w14:textId="7D16AB7B" w:rsidR="00FD3934" w:rsidRPr="003A74B1" w:rsidRDefault="00FD3934" w:rsidP="002921E9">
      <w:pPr>
        <w:pStyle w:val="Heading1"/>
        <w:rPr>
          <w:lang w:val="en-US"/>
        </w:rPr>
      </w:pPr>
      <w:r w:rsidRPr="003A74B1">
        <w:rPr>
          <w:lang w:val="en-US"/>
        </w:rPr>
        <w:t>References</w:t>
      </w:r>
    </w:p>
    <w:p w14:paraId="5AAF88C0" w14:textId="428BB257" w:rsidR="00CC2A98" w:rsidRPr="005E183C" w:rsidRDefault="00542D0A" w:rsidP="005E183C">
      <w:pPr>
        <w:pStyle w:val="ListParagraph"/>
        <w:numPr>
          <w:ilvl w:val="0"/>
          <w:numId w:val="65"/>
        </w:numPr>
        <w:tabs>
          <w:tab w:val="left" w:pos="360"/>
        </w:tabs>
        <w:spacing w:after="120"/>
        <w:ind w:left="426"/>
        <w:jc w:val="both"/>
        <w:rPr>
          <w:rFonts w:eastAsia="MS Mincho"/>
          <w:lang w:val="en-US" w:eastAsia="ja-JP"/>
        </w:rPr>
      </w:pPr>
      <w:bookmarkStart w:id="9" w:name="_Ref100325078"/>
      <w:r w:rsidRPr="005E183C">
        <w:rPr>
          <w:rFonts w:eastAsia="MS Mincho"/>
          <w:lang w:val="en-US" w:eastAsia="ja-JP"/>
        </w:rPr>
        <w:t>RP-223549</w:t>
      </w:r>
      <w:r w:rsidR="00CC2A98" w:rsidRPr="005E183C">
        <w:rPr>
          <w:rFonts w:eastAsia="MS Mincho"/>
          <w:lang w:val="en-US" w:eastAsia="ja-JP"/>
        </w:rPr>
        <w:t>, “</w:t>
      </w:r>
      <w:r w:rsidRPr="005E183C">
        <w:rPr>
          <w:rFonts w:eastAsia="MS Mincho"/>
          <w:lang w:val="en-US" w:eastAsia="ja-JP"/>
        </w:rPr>
        <w:t>Expanded and Improved NR Positioning</w:t>
      </w:r>
      <w:r w:rsidR="00CC2A98" w:rsidRPr="005E183C">
        <w:rPr>
          <w:rFonts w:eastAsia="MS Mincho"/>
          <w:lang w:val="en-US" w:eastAsia="ja-JP"/>
        </w:rPr>
        <w:t>”</w:t>
      </w:r>
      <w:bookmarkEnd w:id="9"/>
    </w:p>
    <w:p w14:paraId="3B527D09" w14:textId="46CCACF3" w:rsidR="00285F26" w:rsidRDefault="00285F26"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R1-2300779, “Views on Bandwidth aggregation for positioning measurements”, Nokia, Nokia Shanghai Bell</w:t>
      </w:r>
    </w:p>
    <w:p w14:paraId="66938900" w14:textId="77777777" w:rsidR="00285F26" w:rsidRDefault="00285F26"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R1-2300778, “Views on NR DL and UL Carrier phase positioning”, Nokia, Nokia Shanghai Bell</w:t>
      </w:r>
    </w:p>
    <w:p w14:paraId="44FBB0D2" w14:textId="77777777" w:rsidR="00285F26" w:rsidRDefault="00285F26"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R1-2300780, “Views on Positioning for RedCap UEs”, Nokia, Nokia Shanghai Bell</w:t>
      </w:r>
    </w:p>
    <w:p w14:paraId="021E7984" w14:textId="77777777" w:rsidR="00E658F7" w:rsidRPr="009C7D04" w:rsidRDefault="00E658F7" w:rsidP="005E183C">
      <w:pPr>
        <w:pStyle w:val="ListParagraph"/>
        <w:numPr>
          <w:ilvl w:val="0"/>
          <w:numId w:val="65"/>
        </w:numPr>
        <w:tabs>
          <w:tab w:val="left" w:pos="360"/>
        </w:tabs>
        <w:spacing w:after="120"/>
        <w:ind w:left="426"/>
        <w:jc w:val="both"/>
        <w:rPr>
          <w:rFonts w:eastAsia="MS Mincho"/>
          <w:lang w:val="en-US" w:eastAsia="ja-JP"/>
        </w:rPr>
      </w:pPr>
      <w:r w:rsidRPr="009C7D04">
        <w:rPr>
          <w:rFonts w:eastAsia="MS Mincho"/>
          <w:lang w:val="en-US" w:eastAsia="ja-JP"/>
        </w:rPr>
        <w:t>R1-2300040, “Design of SL positioning reference signal SL-PRS”, Nokia, Nokia Shanghai Bell</w:t>
      </w:r>
    </w:p>
    <w:p w14:paraId="66287A18" w14:textId="77777777" w:rsidR="00E658F7" w:rsidRPr="009C7D04" w:rsidRDefault="00E658F7" w:rsidP="005E183C">
      <w:pPr>
        <w:pStyle w:val="ListParagraph"/>
        <w:numPr>
          <w:ilvl w:val="0"/>
          <w:numId w:val="65"/>
        </w:numPr>
        <w:tabs>
          <w:tab w:val="left" w:pos="360"/>
        </w:tabs>
        <w:spacing w:after="120"/>
        <w:ind w:left="426"/>
        <w:jc w:val="both"/>
        <w:rPr>
          <w:rFonts w:eastAsia="MS Mincho"/>
          <w:lang w:val="en-US" w:eastAsia="ja-JP"/>
        </w:rPr>
      </w:pPr>
      <w:r w:rsidRPr="009C7D04">
        <w:rPr>
          <w:rFonts w:eastAsia="MS Mincho"/>
          <w:lang w:val="en-US" w:eastAsia="ja-JP"/>
        </w:rPr>
        <w:t>R1-2300041, “On measurements and reporting for SL positioning”, Nokia, Nokia Shanghai Bell</w:t>
      </w:r>
    </w:p>
    <w:p w14:paraId="4887A56A" w14:textId="0F3E18A5" w:rsidR="001E6BDE" w:rsidRPr="003B36CD" w:rsidRDefault="00E658F7" w:rsidP="005E183C">
      <w:pPr>
        <w:pStyle w:val="ListParagraph"/>
        <w:numPr>
          <w:ilvl w:val="0"/>
          <w:numId w:val="65"/>
        </w:numPr>
        <w:tabs>
          <w:tab w:val="left" w:pos="360"/>
        </w:tabs>
        <w:spacing w:after="120"/>
        <w:ind w:left="426"/>
        <w:jc w:val="both"/>
        <w:rPr>
          <w:rFonts w:eastAsia="MS Mincho"/>
          <w:lang w:val="en-US" w:eastAsia="ja-JP"/>
        </w:rPr>
      </w:pPr>
      <w:r w:rsidRPr="009C7D04">
        <w:rPr>
          <w:rFonts w:eastAsia="MS Mincho"/>
          <w:lang w:val="en-US" w:eastAsia="ja-JP"/>
        </w:rPr>
        <w:t>R1-2300042, “On resource allocation for SL positioning reference signal”, Nokia, Nokia Shanghai Bell</w:t>
      </w:r>
    </w:p>
    <w:sectPr w:rsidR="001E6BDE" w:rsidRPr="003B36CD" w:rsidSect="002A0DE4">
      <w:headerReference w:type="default"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A26B6" w14:textId="77777777" w:rsidR="001B3281" w:rsidRDefault="001B3281">
      <w:r>
        <w:separator/>
      </w:r>
    </w:p>
  </w:endnote>
  <w:endnote w:type="continuationSeparator" w:id="0">
    <w:p w14:paraId="71DC9965" w14:textId="77777777" w:rsidR="001B3281" w:rsidRDefault="001B3281">
      <w:r>
        <w:continuationSeparator/>
      </w:r>
    </w:p>
  </w:endnote>
  <w:endnote w:type="continuationNotice" w:id="1">
    <w:p w14:paraId="0C435671" w14:textId="77777777" w:rsidR="001B3281" w:rsidRDefault="001B3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045BD" w14:textId="77777777" w:rsidR="001B3281" w:rsidRDefault="001B3281">
      <w:r>
        <w:separator/>
      </w:r>
    </w:p>
  </w:footnote>
  <w:footnote w:type="continuationSeparator" w:id="0">
    <w:p w14:paraId="3C6DE6E7" w14:textId="77777777" w:rsidR="001B3281" w:rsidRDefault="001B3281">
      <w:r>
        <w:continuationSeparator/>
      </w:r>
    </w:p>
  </w:footnote>
  <w:footnote w:type="continuationNotice" w:id="1">
    <w:p w14:paraId="336974D6" w14:textId="77777777" w:rsidR="001B3281" w:rsidRDefault="001B3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5"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4"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5"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6"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9"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7"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5"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8"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70"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3"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5"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3"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4"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6"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9"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1"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2"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4"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96"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0"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1"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5"/>
  </w:num>
  <w:num w:numId="2">
    <w:abstractNumId w:val="39"/>
  </w:num>
  <w:num w:numId="3">
    <w:abstractNumId w:val="69"/>
  </w:num>
  <w:num w:numId="4">
    <w:abstractNumId w:val="14"/>
  </w:num>
  <w:num w:numId="5">
    <w:abstractNumId w:val="2"/>
  </w:num>
  <w:num w:numId="6">
    <w:abstractNumId w:val="18"/>
  </w:num>
  <w:num w:numId="7">
    <w:abstractNumId w:val="33"/>
  </w:num>
  <w:num w:numId="8">
    <w:abstractNumId w:val="45"/>
  </w:num>
  <w:num w:numId="9">
    <w:abstractNumId w:val="102"/>
  </w:num>
  <w:num w:numId="10">
    <w:abstractNumId w:val="48"/>
  </w:num>
  <w:num w:numId="11">
    <w:abstractNumId w:val="44"/>
  </w:num>
  <w:num w:numId="12">
    <w:abstractNumId w:val="6"/>
  </w:num>
  <w:num w:numId="13">
    <w:abstractNumId w:val="95"/>
  </w:num>
  <w:num w:numId="14">
    <w:abstractNumId w:val="40"/>
  </w:num>
  <w:num w:numId="15">
    <w:abstractNumId w:val="99"/>
  </w:num>
  <w:num w:numId="16">
    <w:abstractNumId w:val="9"/>
  </w:num>
  <w:num w:numId="17">
    <w:abstractNumId w:val="100"/>
  </w:num>
  <w:num w:numId="18">
    <w:abstractNumId w:val="82"/>
  </w:num>
  <w:num w:numId="19">
    <w:abstractNumId w:val="85"/>
  </w:num>
  <w:num w:numId="20">
    <w:abstractNumId w:val="42"/>
  </w:num>
  <w:num w:numId="21">
    <w:abstractNumId w:val="31"/>
  </w:num>
  <w:num w:numId="22">
    <w:abstractNumId w:val="51"/>
  </w:num>
  <w:num w:numId="23">
    <w:abstractNumId w:val="26"/>
  </w:num>
  <w:num w:numId="24">
    <w:abstractNumId w:val="72"/>
  </w:num>
  <w:num w:numId="25">
    <w:abstractNumId w:val="83"/>
  </w:num>
  <w:num w:numId="26">
    <w:abstractNumId w:val="86"/>
  </w:num>
  <w:num w:numId="27">
    <w:abstractNumId w:val="74"/>
  </w:num>
  <w:num w:numId="28">
    <w:abstractNumId w:val="41"/>
  </w:num>
  <w:num w:numId="29">
    <w:abstractNumId w:val="17"/>
  </w:num>
  <w:num w:numId="30">
    <w:abstractNumId w:val="56"/>
  </w:num>
  <w:num w:numId="31">
    <w:abstractNumId w:val="34"/>
  </w:num>
  <w:num w:numId="32">
    <w:abstractNumId w:val="24"/>
  </w:num>
  <w:num w:numId="33">
    <w:abstractNumId w:val="43"/>
  </w:num>
  <w:num w:numId="34">
    <w:abstractNumId w:val="80"/>
  </w:num>
  <w:num w:numId="35">
    <w:abstractNumId w:val="38"/>
  </w:num>
  <w:num w:numId="36">
    <w:abstractNumId w:val="52"/>
  </w:num>
  <w:num w:numId="37">
    <w:abstractNumId w:val="67"/>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87"/>
  </w:num>
  <w:num w:numId="45">
    <w:abstractNumId w:val="101"/>
  </w:num>
  <w:num w:numId="46">
    <w:abstractNumId w:val="89"/>
  </w:num>
  <w:num w:numId="47">
    <w:abstractNumId w:val="68"/>
  </w:num>
  <w:num w:numId="48">
    <w:abstractNumId w:val="63"/>
  </w:num>
  <w:num w:numId="49">
    <w:abstractNumId w:val="62"/>
  </w:num>
  <w:num w:numId="50">
    <w:abstractNumId w:val="10"/>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num>
  <w:num w:numId="56">
    <w:abstractNumId w:val="64"/>
  </w:num>
  <w:num w:numId="57">
    <w:abstractNumId w:val="93"/>
  </w:num>
  <w:num w:numId="58">
    <w:abstractNumId w:val="3"/>
  </w:num>
  <w:num w:numId="59">
    <w:abstractNumId w:val="59"/>
  </w:num>
  <w:num w:numId="60">
    <w:abstractNumId w:val="50"/>
  </w:num>
  <w:num w:numId="61">
    <w:abstractNumId w:val="36"/>
  </w:num>
  <w:num w:numId="62">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63">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64">
    <w:abstractNumId w:val="57"/>
  </w:num>
  <w:num w:numId="65">
    <w:abstractNumId w:val="35"/>
  </w:num>
  <w:num w:numId="66">
    <w:abstractNumId w:val="58"/>
  </w:num>
  <w:num w:numId="67">
    <w:abstractNumId w:val="5"/>
  </w:num>
  <w:num w:numId="68">
    <w:abstractNumId w:val="73"/>
  </w:num>
  <w:num w:numId="69">
    <w:abstractNumId w:val="32"/>
  </w:num>
  <w:num w:numId="70">
    <w:abstractNumId w:val="78"/>
  </w:num>
  <w:num w:numId="71">
    <w:abstractNumId w:val="98"/>
  </w:num>
  <w:num w:numId="72">
    <w:abstractNumId w:val="75"/>
  </w:num>
  <w:num w:numId="73">
    <w:abstractNumId w:val="97"/>
  </w:num>
  <w:num w:numId="74">
    <w:abstractNumId w:val="16"/>
  </w:num>
  <w:num w:numId="75">
    <w:abstractNumId w:val="94"/>
  </w:num>
  <w:num w:numId="76">
    <w:abstractNumId w:val="28"/>
  </w:num>
  <w:num w:numId="77">
    <w:abstractNumId w:val="29"/>
  </w:num>
  <w:num w:numId="78">
    <w:abstractNumId w:val="53"/>
  </w:num>
  <w:num w:numId="79">
    <w:abstractNumId w:val="96"/>
  </w:num>
  <w:num w:numId="80">
    <w:abstractNumId w:val="66"/>
  </w:num>
  <w:num w:numId="81">
    <w:abstractNumId w:val="11"/>
  </w:num>
  <w:num w:numId="82">
    <w:abstractNumId w:val="70"/>
  </w:num>
  <w:num w:numId="83">
    <w:abstractNumId w:val="46"/>
  </w:num>
  <w:num w:numId="84">
    <w:abstractNumId w:val="91"/>
  </w:num>
  <w:num w:numId="85">
    <w:abstractNumId w:val="79"/>
  </w:num>
  <w:num w:numId="86">
    <w:abstractNumId w:val="54"/>
  </w:num>
  <w:num w:numId="87">
    <w:abstractNumId w:val="88"/>
  </w:num>
  <w:num w:numId="88">
    <w:abstractNumId w:val="8"/>
  </w:num>
  <w:num w:numId="89">
    <w:abstractNumId w:val="27"/>
  </w:num>
  <w:num w:numId="90">
    <w:abstractNumId w:val="4"/>
  </w:num>
  <w:num w:numId="91">
    <w:abstractNumId w:val="55"/>
  </w:num>
  <w:num w:numId="92">
    <w:abstractNumId w:val="76"/>
  </w:num>
  <w:num w:numId="93">
    <w:abstractNumId w:val="81"/>
  </w:num>
  <w:num w:numId="94">
    <w:abstractNumId w:val="23"/>
  </w:num>
  <w:num w:numId="95">
    <w:abstractNumId w:val="71"/>
  </w:num>
  <w:num w:numId="96">
    <w:abstractNumId w:val="47"/>
  </w:num>
  <w:num w:numId="97">
    <w:abstractNumId w:val="7"/>
  </w:num>
  <w:num w:numId="98">
    <w:abstractNumId w:val="92"/>
  </w:num>
  <w:num w:numId="99">
    <w:abstractNumId w:val="77"/>
  </w:num>
  <w:num w:numId="100">
    <w:abstractNumId w:val="37"/>
  </w:num>
  <w:num w:numId="101">
    <w:abstractNumId w:val="60"/>
  </w:num>
  <w:num w:numId="102">
    <w:abstractNumId w:val="1"/>
  </w:num>
  <w:num w:numId="103">
    <w:abstractNumId w:val="21"/>
  </w:num>
  <w:num w:numId="104">
    <w:abstractNumId w:val="12"/>
  </w:num>
  <w:num w:numId="105">
    <w:abstractNumId w:val="22"/>
  </w:num>
  <w:num w:numId="106">
    <w:abstractNumId w:val="30"/>
  </w:num>
  <w:num w:numId="107">
    <w:abstractNumId w:val="65"/>
  </w:num>
  <w:num w:numId="108">
    <w:abstractNumId w:val="61"/>
  </w:num>
  <w:num w:numId="109">
    <w:abstractNumId w:val="84"/>
  </w:num>
  <w:num w:numId="110">
    <w:abstractNumId w:val="90"/>
  </w:num>
  <w:num w:numId="111">
    <w:abstractNumId w:val="0"/>
  </w:num>
  <w:num w:numId="112">
    <w:abstractNumId w:val="25"/>
  </w:num>
  <w:num w:numId="113">
    <w:abstractNumId w:val="81"/>
  </w:num>
  <w:num w:numId="114">
    <w:abstractNumId w:val="8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932"/>
    <w:rsid w:val="00032A4D"/>
    <w:rsid w:val="00032D9B"/>
    <w:rsid w:val="00032E4B"/>
    <w:rsid w:val="00032E97"/>
    <w:rsid w:val="00033148"/>
    <w:rsid w:val="000332E5"/>
    <w:rsid w:val="000335FF"/>
    <w:rsid w:val="000339B1"/>
    <w:rsid w:val="00033CC0"/>
    <w:rsid w:val="00034373"/>
    <w:rsid w:val="00034617"/>
    <w:rsid w:val="00034912"/>
    <w:rsid w:val="00034A06"/>
    <w:rsid w:val="00034D18"/>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3C6B9"/>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1A17"/>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D84"/>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108"/>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DA8"/>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19"/>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78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668"/>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6B2"/>
    <w:rsid w:val="001D685C"/>
    <w:rsid w:val="001D6C2E"/>
    <w:rsid w:val="001D73A7"/>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285"/>
    <w:rsid w:val="001F2372"/>
    <w:rsid w:val="001F25E8"/>
    <w:rsid w:val="001F268A"/>
    <w:rsid w:val="001F2A23"/>
    <w:rsid w:val="001F2DDD"/>
    <w:rsid w:val="001F30EF"/>
    <w:rsid w:val="001F32F7"/>
    <w:rsid w:val="001F349A"/>
    <w:rsid w:val="001F3BB5"/>
    <w:rsid w:val="001F3DDD"/>
    <w:rsid w:val="001F3FAB"/>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CEB"/>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37FB6"/>
    <w:rsid w:val="002401B8"/>
    <w:rsid w:val="002403C6"/>
    <w:rsid w:val="002403ED"/>
    <w:rsid w:val="0024057B"/>
    <w:rsid w:val="00240716"/>
    <w:rsid w:val="00240C5C"/>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B7"/>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78"/>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8A9"/>
    <w:rsid w:val="002E7954"/>
    <w:rsid w:val="002E7DA5"/>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D9"/>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D51"/>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9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BD5"/>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68D"/>
    <w:rsid w:val="003A385B"/>
    <w:rsid w:val="003A3E57"/>
    <w:rsid w:val="003A401F"/>
    <w:rsid w:val="003A4130"/>
    <w:rsid w:val="003A41DA"/>
    <w:rsid w:val="003A42BA"/>
    <w:rsid w:val="003A4649"/>
    <w:rsid w:val="003A48F8"/>
    <w:rsid w:val="003A498F"/>
    <w:rsid w:val="003A4B54"/>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9B3"/>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583"/>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641"/>
    <w:rsid w:val="00450CC3"/>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8CA"/>
    <w:rsid w:val="00470BF5"/>
    <w:rsid w:val="00470D56"/>
    <w:rsid w:val="0047107C"/>
    <w:rsid w:val="0047131D"/>
    <w:rsid w:val="00471BB3"/>
    <w:rsid w:val="00471F89"/>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D03"/>
    <w:rsid w:val="00480EE8"/>
    <w:rsid w:val="00480FD4"/>
    <w:rsid w:val="00481046"/>
    <w:rsid w:val="00481645"/>
    <w:rsid w:val="00481D65"/>
    <w:rsid w:val="0048228E"/>
    <w:rsid w:val="004823FD"/>
    <w:rsid w:val="00482A8B"/>
    <w:rsid w:val="00482B4E"/>
    <w:rsid w:val="00482C1D"/>
    <w:rsid w:val="00483261"/>
    <w:rsid w:val="004832C7"/>
    <w:rsid w:val="0048348A"/>
    <w:rsid w:val="0048350F"/>
    <w:rsid w:val="004835CC"/>
    <w:rsid w:val="004838C7"/>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BF9"/>
    <w:rsid w:val="004E4C78"/>
    <w:rsid w:val="004E4EFF"/>
    <w:rsid w:val="004E512B"/>
    <w:rsid w:val="004E52D3"/>
    <w:rsid w:val="004E555F"/>
    <w:rsid w:val="004E57F2"/>
    <w:rsid w:val="004E589B"/>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79"/>
    <w:rsid w:val="00516666"/>
    <w:rsid w:val="005166C7"/>
    <w:rsid w:val="00516B09"/>
    <w:rsid w:val="00516D12"/>
    <w:rsid w:val="00516EFC"/>
    <w:rsid w:val="00516FD9"/>
    <w:rsid w:val="00517352"/>
    <w:rsid w:val="00517A5A"/>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918"/>
    <w:rsid w:val="00535C4A"/>
    <w:rsid w:val="005364A2"/>
    <w:rsid w:val="005364EE"/>
    <w:rsid w:val="00536715"/>
    <w:rsid w:val="0053683B"/>
    <w:rsid w:val="00536A30"/>
    <w:rsid w:val="00536AE6"/>
    <w:rsid w:val="00536B4D"/>
    <w:rsid w:val="00536BD1"/>
    <w:rsid w:val="005377D0"/>
    <w:rsid w:val="00537A3D"/>
    <w:rsid w:val="00537ACE"/>
    <w:rsid w:val="00537CD7"/>
    <w:rsid w:val="00537F43"/>
    <w:rsid w:val="00537F4F"/>
    <w:rsid w:val="005403F9"/>
    <w:rsid w:val="00540809"/>
    <w:rsid w:val="00540B4E"/>
    <w:rsid w:val="00540C51"/>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863"/>
    <w:rsid w:val="005B694A"/>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667"/>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E95"/>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F"/>
    <w:rsid w:val="00615C81"/>
    <w:rsid w:val="00615E46"/>
    <w:rsid w:val="00616155"/>
    <w:rsid w:val="00616411"/>
    <w:rsid w:val="00616452"/>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65B"/>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94"/>
    <w:rsid w:val="006829D6"/>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2A86"/>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BBF"/>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158"/>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31"/>
    <w:rsid w:val="0072235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81A"/>
    <w:rsid w:val="00765261"/>
    <w:rsid w:val="0076571D"/>
    <w:rsid w:val="00765C84"/>
    <w:rsid w:val="00765EBE"/>
    <w:rsid w:val="007660EC"/>
    <w:rsid w:val="00766128"/>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D11"/>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F0B"/>
    <w:rsid w:val="007E04B0"/>
    <w:rsid w:val="007E08FC"/>
    <w:rsid w:val="007E099F"/>
    <w:rsid w:val="007E0AC2"/>
    <w:rsid w:val="007E1278"/>
    <w:rsid w:val="007E12C0"/>
    <w:rsid w:val="007E14E4"/>
    <w:rsid w:val="007E1881"/>
    <w:rsid w:val="007E1CAA"/>
    <w:rsid w:val="007E1D23"/>
    <w:rsid w:val="007E24A9"/>
    <w:rsid w:val="007E27C4"/>
    <w:rsid w:val="007E30A7"/>
    <w:rsid w:val="007E3495"/>
    <w:rsid w:val="007E3704"/>
    <w:rsid w:val="007E3AD9"/>
    <w:rsid w:val="007E3C85"/>
    <w:rsid w:val="007E3C98"/>
    <w:rsid w:val="007E3EA1"/>
    <w:rsid w:val="007E40FB"/>
    <w:rsid w:val="007E4209"/>
    <w:rsid w:val="007E4E12"/>
    <w:rsid w:val="007E508E"/>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093"/>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B63"/>
    <w:rsid w:val="00804CDB"/>
    <w:rsid w:val="00804E1E"/>
    <w:rsid w:val="00804E9F"/>
    <w:rsid w:val="00805D0A"/>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21"/>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2C54"/>
    <w:rsid w:val="0081318D"/>
    <w:rsid w:val="00813E56"/>
    <w:rsid w:val="00813F43"/>
    <w:rsid w:val="008143FD"/>
    <w:rsid w:val="00814452"/>
    <w:rsid w:val="008154B4"/>
    <w:rsid w:val="008155D8"/>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A98"/>
    <w:rsid w:val="00834B77"/>
    <w:rsid w:val="00834C45"/>
    <w:rsid w:val="00835343"/>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AC"/>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7D0"/>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85"/>
    <w:rsid w:val="008902D7"/>
    <w:rsid w:val="0089048C"/>
    <w:rsid w:val="00890889"/>
    <w:rsid w:val="00890CAB"/>
    <w:rsid w:val="00890DDC"/>
    <w:rsid w:val="00890EE8"/>
    <w:rsid w:val="00891114"/>
    <w:rsid w:val="0089133E"/>
    <w:rsid w:val="008915BC"/>
    <w:rsid w:val="0089165D"/>
    <w:rsid w:val="00891852"/>
    <w:rsid w:val="00891AA3"/>
    <w:rsid w:val="00891D92"/>
    <w:rsid w:val="00891E6C"/>
    <w:rsid w:val="00891FA1"/>
    <w:rsid w:val="0089216A"/>
    <w:rsid w:val="00892327"/>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16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074"/>
    <w:rsid w:val="008A25E6"/>
    <w:rsid w:val="008A2D20"/>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577"/>
    <w:rsid w:val="008C06B8"/>
    <w:rsid w:val="008C080C"/>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BA6"/>
    <w:rsid w:val="008D3C28"/>
    <w:rsid w:val="008D3DA7"/>
    <w:rsid w:val="008D3DF6"/>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46"/>
    <w:rsid w:val="008F23B9"/>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367E"/>
    <w:rsid w:val="00904060"/>
    <w:rsid w:val="00904340"/>
    <w:rsid w:val="00904B0F"/>
    <w:rsid w:val="00904ED8"/>
    <w:rsid w:val="0090537A"/>
    <w:rsid w:val="00905435"/>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A98"/>
    <w:rsid w:val="00934C39"/>
    <w:rsid w:val="00934E17"/>
    <w:rsid w:val="00934F00"/>
    <w:rsid w:val="009350BF"/>
    <w:rsid w:val="0093510E"/>
    <w:rsid w:val="009352C9"/>
    <w:rsid w:val="00935337"/>
    <w:rsid w:val="009353DB"/>
    <w:rsid w:val="00935C51"/>
    <w:rsid w:val="00935E6F"/>
    <w:rsid w:val="0093601C"/>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04B"/>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0FAD"/>
    <w:rsid w:val="009A100A"/>
    <w:rsid w:val="009A1451"/>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B04"/>
    <w:rsid w:val="009E0F1C"/>
    <w:rsid w:val="009E0F35"/>
    <w:rsid w:val="009E1009"/>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4157"/>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6F"/>
    <w:rsid w:val="00A32ED5"/>
    <w:rsid w:val="00A33438"/>
    <w:rsid w:val="00A33455"/>
    <w:rsid w:val="00A33945"/>
    <w:rsid w:val="00A33A7D"/>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F5"/>
    <w:rsid w:val="00A61D8A"/>
    <w:rsid w:val="00A61DDD"/>
    <w:rsid w:val="00A623B3"/>
    <w:rsid w:val="00A62959"/>
    <w:rsid w:val="00A630DE"/>
    <w:rsid w:val="00A63BF6"/>
    <w:rsid w:val="00A63C90"/>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8B6"/>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48A"/>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65"/>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5FE"/>
    <w:rsid w:val="00AC4685"/>
    <w:rsid w:val="00AC46BB"/>
    <w:rsid w:val="00AC47F5"/>
    <w:rsid w:val="00AC485D"/>
    <w:rsid w:val="00AC4CD2"/>
    <w:rsid w:val="00AC4F54"/>
    <w:rsid w:val="00AC5257"/>
    <w:rsid w:val="00AC5664"/>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8B"/>
    <w:rsid w:val="00AF2210"/>
    <w:rsid w:val="00AF276B"/>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7C"/>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ACD"/>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50D"/>
    <w:rsid w:val="00B528BB"/>
    <w:rsid w:val="00B52BF5"/>
    <w:rsid w:val="00B52D68"/>
    <w:rsid w:val="00B52DDA"/>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CAB"/>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83"/>
    <w:rsid w:val="00C22289"/>
    <w:rsid w:val="00C222C9"/>
    <w:rsid w:val="00C223D8"/>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87EDC"/>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1F"/>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567"/>
    <w:rsid w:val="00CD57C8"/>
    <w:rsid w:val="00CD5BC4"/>
    <w:rsid w:val="00CD5D97"/>
    <w:rsid w:val="00CD5E06"/>
    <w:rsid w:val="00CD6682"/>
    <w:rsid w:val="00CD6864"/>
    <w:rsid w:val="00CD6980"/>
    <w:rsid w:val="00CD6EF6"/>
    <w:rsid w:val="00CD7479"/>
    <w:rsid w:val="00CD790D"/>
    <w:rsid w:val="00CD7A74"/>
    <w:rsid w:val="00CD7D2E"/>
    <w:rsid w:val="00CD7DA1"/>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55"/>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28"/>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0"/>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5DBF"/>
    <w:rsid w:val="00D666D0"/>
    <w:rsid w:val="00D6712F"/>
    <w:rsid w:val="00D671D0"/>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7BD"/>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1164"/>
    <w:rsid w:val="00DC1328"/>
    <w:rsid w:val="00DC16B3"/>
    <w:rsid w:val="00DC18CE"/>
    <w:rsid w:val="00DC19AE"/>
    <w:rsid w:val="00DC1A3B"/>
    <w:rsid w:val="00DC1ADE"/>
    <w:rsid w:val="00DC222C"/>
    <w:rsid w:val="00DC224A"/>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428"/>
    <w:rsid w:val="00DD75DD"/>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047"/>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4D2D"/>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36"/>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CE8"/>
    <w:rsid w:val="00E524F7"/>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512"/>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90"/>
    <w:rsid w:val="00E849A5"/>
    <w:rsid w:val="00E84FF1"/>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AC3"/>
    <w:rsid w:val="00EA7D0F"/>
    <w:rsid w:val="00EA7D63"/>
    <w:rsid w:val="00EA7D64"/>
    <w:rsid w:val="00EA7E02"/>
    <w:rsid w:val="00EA7E14"/>
    <w:rsid w:val="00EB030C"/>
    <w:rsid w:val="00EB0F38"/>
    <w:rsid w:val="00EB11EC"/>
    <w:rsid w:val="00EB13FE"/>
    <w:rsid w:val="00EB145B"/>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4F6"/>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D7DFE"/>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CB5"/>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D0"/>
    <w:rsid w:val="00F138FC"/>
    <w:rsid w:val="00F1449C"/>
    <w:rsid w:val="00F1451C"/>
    <w:rsid w:val="00F14AC5"/>
    <w:rsid w:val="00F14B21"/>
    <w:rsid w:val="00F14BD7"/>
    <w:rsid w:val="00F14D25"/>
    <w:rsid w:val="00F14DC8"/>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1C1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39"/>
    <w:rsid w:val="00F45167"/>
    <w:rsid w:val="00F452D2"/>
    <w:rsid w:val="00F45748"/>
    <w:rsid w:val="00F457FA"/>
    <w:rsid w:val="00F45917"/>
    <w:rsid w:val="00F45C77"/>
    <w:rsid w:val="00F46244"/>
    <w:rsid w:val="00F464CC"/>
    <w:rsid w:val="00F4655C"/>
    <w:rsid w:val="00F47231"/>
    <w:rsid w:val="00F47F85"/>
    <w:rsid w:val="00F50316"/>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091"/>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3AF"/>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E366F6"/>
    <w:rsid w:val="04F8383A"/>
    <w:rsid w:val="04FDFCB3"/>
    <w:rsid w:val="0510BECD"/>
    <w:rsid w:val="052BAA09"/>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AE82C"/>
    <w:rsid w:val="21BCA949"/>
    <w:rsid w:val="21CE19A3"/>
    <w:rsid w:val="21F271AF"/>
    <w:rsid w:val="21F66F60"/>
    <w:rsid w:val="229315FA"/>
    <w:rsid w:val="22C932A4"/>
    <w:rsid w:val="22CDC530"/>
    <w:rsid w:val="22D6C97D"/>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7A5A0"/>
    <w:rsid w:val="24AB5ABA"/>
    <w:rsid w:val="24B7E2DC"/>
    <w:rsid w:val="24D392DF"/>
    <w:rsid w:val="24E5E040"/>
    <w:rsid w:val="24F1AA0B"/>
    <w:rsid w:val="255451A2"/>
    <w:rsid w:val="25C296E0"/>
    <w:rsid w:val="25E34A53"/>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1339BD"/>
    <w:rsid w:val="2B6E7024"/>
    <w:rsid w:val="2B7440FC"/>
    <w:rsid w:val="2B940E7C"/>
    <w:rsid w:val="2BAAE310"/>
    <w:rsid w:val="2BB60FC2"/>
    <w:rsid w:val="2C1109E2"/>
    <w:rsid w:val="2C12EF0B"/>
    <w:rsid w:val="2C568108"/>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64A85A"/>
    <w:rsid w:val="3A7CA1C7"/>
    <w:rsid w:val="3AD99075"/>
    <w:rsid w:val="3ADD50C9"/>
    <w:rsid w:val="3B2BCE12"/>
    <w:rsid w:val="3B6C2BC8"/>
    <w:rsid w:val="3B738BE8"/>
    <w:rsid w:val="3B96B207"/>
    <w:rsid w:val="3BAD097C"/>
    <w:rsid w:val="3BCBAA53"/>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C7B689"/>
    <w:rsid w:val="3E10689C"/>
    <w:rsid w:val="3E20A754"/>
    <w:rsid w:val="3E540C2B"/>
    <w:rsid w:val="3E7BD958"/>
    <w:rsid w:val="3E8A4A93"/>
    <w:rsid w:val="3E99031A"/>
    <w:rsid w:val="3E9F1BD7"/>
    <w:rsid w:val="3EA5CFD5"/>
    <w:rsid w:val="3ECA4954"/>
    <w:rsid w:val="3F4EAA14"/>
    <w:rsid w:val="3F978074"/>
    <w:rsid w:val="3FA42802"/>
    <w:rsid w:val="3FEA3F80"/>
    <w:rsid w:val="404BF539"/>
    <w:rsid w:val="405C0120"/>
    <w:rsid w:val="40FEB1B9"/>
    <w:rsid w:val="4110C6C9"/>
    <w:rsid w:val="41134FF1"/>
    <w:rsid w:val="41262090"/>
    <w:rsid w:val="4137ED07"/>
    <w:rsid w:val="41B33527"/>
    <w:rsid w:val="41BC5BAF"/>
    <w:rsid w:val="41FA592A"/>
    <w:rsid w:val="4251436E"/>
    <w:rsid w:val="425B2109"/>
    <w:rsid w:val="428FDCF0"/>
    <w:rsid w:val="42B4ED8B"/>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40E6F"/>
    <w:rsid w:val="4D066369"/>
    <w:rsid w:val="4D40344B"/>
    <w:rsid w:val="4D5E30AC"/>
    <w:rsid w:val="4D778E8C"/>
    <w:rsid w:val="4D9DC6D6"/>
    <w:rsid w:val="4DAC46C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EED132"/>
    <w:rsid w:val="50148F6B"/>
    <w:rsid w:val="504ED0FC"/>
    <w:rsid w:val="50A45118"/>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767E75"/>
    <w:rsid w:val="60A42848"/>
    <w:rsid w:val="60D77036"/>
    <w:rsid w:val="60EE8F6B"/>
    <w:rsid w:val="6100FBBB"/>
    <w:rsid w:val="611148D4"/>
    <w:rsid w:val="611C5612"/>
    <w:rsid w:val="611E1FA6"/>
    <w:rsid w:val="612BD760"/>
    <w:rsid w:val="615DEC17"/>
    <w:rsid w:val="6172BD5B"/>
    <w:rsid w:val="61811236"/>
    <w:rsid w:val="61B79654"/>
    <w:rsid w:val="61C1692B"/>
    <w:rsid w:val="62847C69"/>
    <w:rsid w:val="628EEA49"/>
    <w:rsid w:val="628F5623"/>
    <w:rsid w:val="629AA10D"/>
    <w:rsid w:val="629E5FB3"/>
    <w:rsid w:val="62AB1389"/>
    <w:rsid w:val="62B05368"/>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E25A1"/>
    <w:rsid w:val="68BEF755"/>
    <w:rsid w:val="68C2E8CC"/>
    <w:rsid w:val="68CF39BA"/>
    <w:rsid w:val="68D7BA10"/>
    <w:rsid w:val="68DF74C5"/>
    <w:rsid w:val="68E24F0D"/>
    <w:rsid w:val="691862F1"/>
    <w:rsid w:val="69753085"/>
    <w:rsid w:val="69ABD961"/>
    <w:rsid w:val="69D2A040"/>
    <w:rsid w:val="69FC8AAB"/>
    <w:rsid w:val="6A0DBFCC"/>
    <w:rsid w:val="6A167639"/>
    <w:rsid w:val="6A4C71E5"/>
    <w:rsid w:val="6A6787FF"/>
    <w:rsid w:val="6A781913"/>
    <w:rsid w:val="6A98CE39"/>
    <w:rsid w:val="6AAD9F7D"/>
    <w:rsid w:val="6AB43352"/>
    <w:rsid w:val="6AD5D421"/>
    <w:rsid w:val="6B6C12C1"/>
    <w:rsid w:val="6B71FCFC"/>
    <w:rsid w:val="6B87B65C"/>
    <w:rsid w:val="6BB5661C"/>
    <w:rsid w:val="6BC9031D"/>
    <w:rsid w:val="6BE46E87"/>
    <w:rsid w:val="6C491998"/>
    <w:rsid w:val="6C6C18E3"/>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92EF61"/>
    <w:rsid w:val="739CC33C"/>
    <w:rsid w:val="73A709A0"/>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8BEB80"/>
    <w:rsid w:val="76ADC949"/>
    <w:rsid w:val="76C0094A"/>
    <w:rsid w:val="76D45986"/>
    <w:rsid w:val="76EF5A0F"/>
    <w:rsid w:val="76F16CD8"/>
    <w:rsid w:val="7702FEF0"/>
    <w:rsid w:val="772EDEE0"/>
    <w:rsid w:val="77635036"/>
    <w:rsid w:val="7781ABA3"/>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C7A0F1E-5B1D-4676-8C98-B45CC053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5AIRPNAIUNRU-1830940522-19150</_dlc_DocId>
    <_dlc_DocIdUrl xmlns="71c5aaf6-e6ce-465b-b873-5148d2a4c105">
      <Url>https://nokia.sharepoint.com/sites/c5g/5gradio/_layouts/15/DocIdRedir.aspx?ID=5AIRPNAIUNRU-1830940522-19150</Url>
      <Description>5AIRPNAIUNRU-1830940522-19150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purl.org/dc/dcmitype/"/>
    <ds:schemaRef ds:uri="http://purl.org/dc/elements/1.1/"/>
    <ds:schemaRef ds:uri="71c5aaf6-e6ce-465b-b873-5148d2a4c105"/>
    <ds:schemaRef ds:uri="http://schemas.microsoft.com/office/2006/documentManagement/types"/>
    <ds:schemaRef ds:uri="http://purl.org/dc/terms/"/>
    <ds:schemaRef ds:uri="95d2e41d-1f11-4347-bb1c-11d6a32975dd"/>
    <ds:schemaRef ds:uri="http://schemas.microsoft.com/office/infopath/2007/PartnerControls"/>
    <ds:schemaRef ds:uri="http://schemas.openxmlformats.org/package/2006/metadata/core-properties"/>
    <ds:schemaRef ds:uri="ebabf6ce-2443-438c-9946-ecc878e7654a"/>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3</Pages>
  <Words>1588</Words>
  <Characters>8612</Characters>
  <Application>Microsoft Office Word</Application>
  <DocSecurity>0</DocSecurity>
  <Lines>71</Lines>
  <Paragraphs>20</Paragraphs>
  <ScaleCrop>false</ScaleCrop>
  <Manager/>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68</cp:revision>
  <cp:lastPrinted>2019-05-01T03:45:00Z</cp:lastPrinted>
  <dcterms:created xsi:type="dcterms:W3CDTF">2023-02-17T17:15:00Z</dcterms:created>
  <dcterms:modified xsi:type="dcterms:W3CDTF">2023-02-17T20:52:00Z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edc6c815-cfb9-4d9a-b70c-1159c688bb72</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