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2CB96" w14:textId="392B59F4" w:rsidR="00287A56" w:rsidRPr="00D82A22" w:rsidRDefault="00287A56" w:rsidP="00287A56">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11</w:t>
      </w:r>
      <w:r w:rsidRPr="00402628">
        <w:rPr>
          <w:rFonts w:cs="Arial"/>
          <w:noProof w:val="0"/>
          <w:sz w:val="28"/>
          <w:szCs w:val="28"/>
          <w:lang w:val="en-US"/>
        </w:rPr>
        <w:tab/>
      </w:r>
      <w:r w:rsidRPr="009C2D9E">
        <w:rPr>
          <w:rFonts w:cs="Arial"/>
          <w:noProof w:val="0"/>
          <w:sz w:val="28"/>
          <w:szCs w:val="28"/>
          <w:lang w:val="en-US"/>
        </w:rPr>
        <w:t>R1-221189</w:t>
      </w:r>
      <w:r>
        <w:rPr>
          <w:rFonts w:cs="Arial"/>
          <w:noProof w:val="0"/>
          <w:sz w:val="28"/>
          <w:szCs w:val="28"/>
          <w:lang w:val="en-US"/>
        </w:rPr>
        <w:t>0</w:t>
      </w:r>
    </w:p>
    <w:bookmarkEnd w:id="0"/>
    <w:p w14:paraId="7E491068" w14:textId="77777777" w:rsidR="00287A56" w:rsidRPr="00402628" w:rsidRDefault="00287A56" w:rsidP="00287A56">
      <w:pPr>
        <w:pStyle w:val="a3"/>
        <w:rPr>
          <w:rFonts w:asciiTheme="majorHAnsi" w:hAnsiTheme="majorHAnsi" w:cstheme="majorHAnsi"/>
          <w:bCs/>
          <w:sz w:val="28"/>
          <w:lang w:val="en-US"/>
        </w:rPr>
      </w:pPr>
      <w:r w:rsidRPr="00AA3C62">
        <w:rPr>
          <w:rFonts w:asciiTheme="majorHAnsi" w:eastAsia="SimSun" w:hAnsiTheme="majorHAnsi" w:cstheme="majorHAnsi"/>
          <w:sz w:val="28"/>
          <w:szCs w:val="28"/>
          <w:lang w:val="en-US" w:eastAsia="zh-CN"/>
        </w:rPr>
        <w:t>Toulouse, FR</w:t>
      </w:r>
      <w:r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November</w:t>
      </w:r>
      <w:r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14</w:t>
      </w:r>
      <w:r w:rsidRPr="004D7244">
        <w:rPr>
          <w:rFonts w:asciiTheme="majorHAnsi" w:eastAsia="SimSun" w:hAnsiTheme="majorHAnsi" w:cstheme="majorHAnsi"/>
          <w:sz w:val="28"/>
          <w:szCs w:val="28"/>
          <w:vertAlign w:val="superscript"/>
          <w:lang w:val="en-US" w:eastAsia="zh-CN"/>
        </w:rPr>
        <w:t>th</w:t>
      </w:r>
      <w:r w:rsidRPr="004D7244">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November</w:t>
      </w:r>
      <w:r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18</w:t>
      </w:r>
      <w:r w:rsidRPr="004D7244">
        <w:rPr>
          <w:rFonts w:asciiTheme="majorHAnsi" w:eastAsia="SimSun" w:hAnsiTheme="majorHAnsi" w:cstheme="majorHAnsi"/>
          <w:sz w:val="28"/>
          <w:szCs w:val="28"/>
          <w:vertAlign w:val="superscript"/>
          <w:lang w:val="en-US" w:eastAsia="zh-CN"/>
        </w:rPr>
        <w:t>th</w:t>
      </w:r>
      <w:r w:rsidRPr="004D7244">
        <w:rPr>
          <w:rFonts w:asciiTheme="majorHAnsi" w:eastAsia="SimSun" w:hAnsiTheme="majorHAnsi" w:cstheme="majorHAnsi"/>
          <w:sz w:val="28"/>
          <w:szCs w:val="28"/>
          <w:lang w:val="en-US" w:eastAsia="zh-CN"/>
        </w:rPr>
        <w:t>, 2022</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17EA071B"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914232">
        <w:rPr>
          <w:rFonts w:ascii="Arial" w:hAnsi="Arial" w:cs="Arial" w:hint="eastAsia"/>
          <w:b/>
          <w:sz w:val="28"/>
          <w:szCs w:val="28"/>
          <w:lang w:val="en-US"/>
        </w:rPr>
        <w:t>Views</w:t>
      </w:r>
      <w:r w:rsidR="00914232">
        <w:rPr>
          <w:rFonts w:ascii="Arial" w:hAnsi="Arial" w:cs="Arial"/>
          <w:b/>
          <w:sz w:val="28"/>
          <w:szCs w:val="28"/>
          <w:lang w:val="en-US"/>
        </w:rPr>
        <w:t xml:space="preserve"> on</w:t>
      </w:r>
      <w:r w:rsidR="00881FF2" w:rsidRPr="00881FF2">
        <w:rPr>
          <w:rFonts w:ascii="Arial" w:hAnsi="Arial" w:cs="Arial"/>
          <w:b/>
          <w:sz w:val="28"/>
          <w:szCs w:val="28"/>
          <w:lang w:val="en-US"/>
        </w:rPr>
        <w:t xml:space="preserve"> </w:t>
      </w:r>
      <w:r w:rsidR="00914232">
        <w:rPr>
          <w:rFonts w:ascii="Arial" w:hAnsi="Arial" w:cs="Arial"/>
          <w:b/>
          <w:sz w:val="28"/>
          <w:szCs w:val="28"/>
          <w:lang w:val="en-US"/>
        </w:rPr>
        <w:t xml:space="preserve">UL </w:t>
      </w:r>
      <w:r w:rsidR="00881FF2" w:rsidRPr="00881FF2">
        <w:rPr>
          <w:rFonts w:ascii="Arial" w:hAnsi="Arial" w:cs="Arial"/>
          <w:b/>
          <w:sz w:val="28"/>
          <w:szCs w:val="28"/>
          <w:lang w:val="en-US"/>
        </w:rPr>
        <w:t>multi-panel transmission</w:t>
      </w:r>
    </w:p>
    <w:p w14:paraId="26DC8AEB" w14:textId="4406260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881FF2">
        <w:rPr>
          <w:rFonts w:ascii="Arial" w:eastAsiaTheme="minorEastAsia" w:hAnsi="Arial" w:cs="Arial"/>
          <w:b/>
          <w:sz w:val="28"/>
          <w:szCs w:val="28"/>
          <w:lang w:val="pt-BR"/>
        </w:rPr>
        <w:t>4</w:t>
      </w:r>
      <w:r w:rsidR="00F148B8">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0F84F9A6" w14:textId="0BFAE4EB" w:rsidR="00586EB1" w:rsidRDefault="00586EB1" w:rsidP="00586EB1">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27D63AC4" w14:textId="77777777" w:rsidR="00586EB1" w:rsidRDefault="00586EB1" w:rsidP="00586EB1">
      <w:pPr>
        <w:pStyle w:val="af1"/>
        <w:spacing w:before="60"/>
        <w:rPr>
          <w:noProof/>
        </w:rPr>
      </w:pPr>
      <w:r>
        <w:rPr>
          <w:noProof/>
          <w:lang w:eastAsia="ja-JP"/>
        </w:rPr>
        <mc:AlternateContent>
          <mc:Choice Requires="wps">
            <w:drawing>
              <wp:inline distT="0" distB="0" distL="0" distR="0" wp14:anchorId="6099377C" wp14:editId="4C6084B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1105F5A8" w14:textId="77777777" w:rsidR="00586EB1" w:rsidRPr="00586EB1" w:rsidRDefault="00586EB1"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586EB1" w:rsidRPr="00586EB1" w:rsidRDefault="00586EB1"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586EB1" w:rsidRPr="00586EB1" w:rsidRDefault="00586EB1"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6099377C"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1105F5A8" w14:textId="77777777" w:rsidR="00586EB1" w:rsidRPr="00586EB1" w:rsidRDefault="00586EB1"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586EB1" w:rsidRPr="00586EB1" w:rsidRDefault="00586EB1"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586EB1" w:rsidRPr="00586EB1" w:rsidRDefault="00586EB1"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40188D0D" w14:textId="7FB67F7D" w:rsidR="00586EB1" w:rsidRPr="001816CC" w:rsidRDefault="00586EB1" w:rsidP="00586EB1">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UL multi-panel transmission.</w:t>
      </w:r>
      <w:r w:rsidR="001816CC">
        <w:rPr>
          <w:rFonts w:eastAsia="ＭＳ ゴシック"/>
          <w:sz w:val="24"/>
          <w:lang w:val="en-GB" w:eastAsia="ja-JP"/>
        </w:rPr>
        <w:br/>
      </w:r>
    </w:p>
    <w:p w14:paraId="5E79CCEC" w14:textId="77777777" w:rsidR="00F55536" w:rsidRDefault="00D76DC2" w:rsidP="00FC4C50">
      <w:pPr>
        <w:pStyle w:val="10"/>
        <w:spacing w:after="180"/>
      </w:pPr>
      <w:r>
        <w:t>D</w:t>
      </w:r>
      <w:r w:rsidR="00D17E22">
        <w:t>iscussion</w:t>
      </w:r>
      <w:r w:rsidR="00FC4C50">
        <w:t>s</w:t>
      </w:r>
    </w:p>
    <w:p w14:paraId="1B4EC2D2" w14:textId="46AEBC67" w:rsidR="00F55536" w:rsidRPr="00F55536" w:rsidRDefault="00F55536" w:rsidP="00F55536">
      <w:pPr>
        <w:pStyle w:val="10"/>
        <w:numPr>
          <w:ilvl w:val="1"/>
          <w:numId w:val="1"/>
        </w:numPr>
        <w:spacing w:after="180"/>
      </w:pPr>
      <w:r>
        <w:t>Single-DCI based STxMP PUSCH</w:t>
      </w:r>
    </w:p>
    <w:p w14:paraId="5D62149B" w14:textId="79D04905" w:rsidR="00EF4582" w:rsidRDefault="00EF4582" w:rsidP="00EB005B">
      <w:r>
        <w:rPr>
          <w:rFonts w:hint="eastAsia"/>
        </w:rPr>
        <w:t xml:space="preserve">For </w:t>
      </w:r>
      <w:r w:rsidR="00516F04">
        <w:t>TPMI indication and DMRS ports associated with</w:t>
      </w:r>
      <w:r w:rsidR="008065B7">
        <w:t xml:space="preserve"> </w:t>
      </w:r>
      <w:r w:rsidR="00582403">
        <w:t>CDM group</w:t>
      </w:r>
      <w:r w:rsidR="008065B7">
        <w:t>s</w:t>
      </w:r>
      <w:r w:rsidR="00582403">
        <w:t xml:space="preserve"> in SDM scheme</w:t>
      </w:r>
      <w:r>
        <w:t xml:space="preserve">, the following </w:t>
      </w:r>
      <w:r w:rsidR="00582403">
        <w:t>agreement</w:t>
      </w:r>
      <w:r w:rsidR="008B6881">
        <w:t xml:space="preserve"> was</w:t>
      </w:r>
      <w:r>
        <w:t xml:space="preserve"> achieved.</w:t>
      </w:r>
    </w:p>
    <w:tbl>
      <w:tblPr>
        <w:tblStyle w:val="af0"/>
        <w:tblW w:w="0" w:type="auto"/>
        <w:tblLook w:val="04A0" w:firstRow="1" w:lastRow="0" w:firstColumn="1" w:lastColumn="0" w:noHBand="0" w:noVBand="1"/>
      </w:tblPr>
      <w:tblGrid>
        <w:gridCol w:w="9631"/>
      </w:tblGrid>
      <w:tr w:rsidR="00EF4582" w:rsidRPr="004438D8" w14:paraId="01BD5728" w14:textId="77777777" w:rsidTr="00460C1B">
        <w:tc>
          <w:tcPr>
            <w:tcW w:w="9631" w:type="dxa"/>
          </w:tcPr>
          <w:p w14:paraId="04E47876" w14:textId="77777777" w:rsidR="00287A56" w:rsidRPr="00E27533" w:rsidRDefault="00287A56" w:rsidP="00287A56">
            <w:pPr>
              <w:rPr>
                <w:rFonts w:cs="Times"/>
                <w:b/>
                <w:bCs/>
                <w:highlight w:val="green"/>
                <w:lang w:val="en-CA" w:eastAsia="zh-CN"/>
              </w:rPr>
            </w:pPr>
            <w:r w:rsidRPr="00E27533">
              <w:rPr>
                <w:rFonts w:cs="Times"/>
                <w:b/>
                <w:bCs/>
                <w:highlight w:val="green"/>
                <w:lang w:val="en-CA" w:eastAsia="zh-CN"/>
              </w:rPr>
              <w:t>Agreement</w:t>
            </w:r>
          </w:p>
          <w:p w14:paraId="4BEE0608" w14:textId="77777777" w:rsidR="00287A56" w:rsidRPr="00E27533" w:rsidRDefault="00287A56" w:rsidP="00893D91">
            <w:pPr>
              <w:pStyle w:val="aff5"/>
              <w:numPr>
                <w:ilvl w:val="0"/>
                <w:numId w:val="16"/>
              </w:numPr>
              <w:snapToGrid/>
              <w:spacing w:after="0" w:afterAutospacing="0"/>
              <w:ind w:leftChars="0"/>
              <w:rPr>
                <w:rFonts w:cs="Times"/>
                <w:bCs/>
                <w:lang w:val="en-CA" w:eastAsia="zh-CN"/>
              </w:rPr>
            </w:pPr>
            <w:r w:rsidRPr="00E27533">
              <w:rPr>
                <w:rFonts w:cs="Times"/>
                <w:bCs/>
                <w:lang w:val="en-CA" w:eastAsia="zh-CN"/>
              </w:rPr>
              <w:t>Reuse the DCI field ‘Antenna Ports’ in DCI format 0_1 and 0_2 to indicate DMRS ports for SDM scheme of single-DCI based STxMP PUSCH:</w:t>
            </w:r>
          </w:p>
          <w:p w14:paraId="056A3F78" w14:textId="77777777" w:rsidR="00287A56" w:rsidRPr="00E27533" w:rsidRDefault="00287A56" w:rsidP="00893D91">
            <w:pPr>
              <w:pStyle w:val="aff5"/>
              <w:numPr>
                <w:ilvl w:val="1"/>
                <w:numId w:val="16"/>
              </w:numPr>
              <w:snapToGrid/>
              <w:spacing w:after="0" w:afterAutospacing="0"/>
              <w:ind w:leftChars="0"/>
              <w:rPr>
                <w:rFonts w:cs="Times"/>
                <w:bCs/>
                <w:lang w:val="en-CA" w:eastAsia="zh-CN"/>
              </w:rPr>
            </w:pPr>
            <w:r w:rsidRPr="00E27533">
              <w:rPr>
                <w:rFonts w:cs="Times"/>
                <w:bCs/>
                <w:lang w:val="en-CA" w:eastAsia="zh-CN"/>
              </w:rPr>
              <w:t>The total numbers of layers, L, indicated by two TPMI fields of CB PUSCH or two SRI fields of NCB PUSCH is used to determine the DMRS port indication table.</w:t>
            </w:r>
          </w:p>
          <w:p w14:paraId="58119AE9" w14:textId="77777777" w:rsidR="00287A56" w:rsidRPr="00E27533" w:rsidRDefault="00287A56" w:rsidP="00893D91">
            <w:pPr>
              <w:pStyle w:val="aff5"/>
              <w:numPr>
                <w:ilvl w:val="1"/>
                <w:numId w:val="16"/>
              </w:numPr>
              <w:snapToGrid/>
              <w:spacing w:after="0" w:afterAutospacing="0"/>
              <w:ind w:leftChars="0"/>
              <w:rPr>
                <w:rFonts w:cs="Times"/>
                <w:bCs/>
                <w:lang w:val="en-CA" w:eastAsia="zh-CN"/>
              </w:rPr>
            </w:pPr>
            <w:r w:rsidRPr="00E27533">
              <w:rPr>
                <w:rFonts w:cs="Times"/>
                <w:bCs/>
                <w:lang w:val="en-CA" w:eastAsia="zh-CN"/>
              </w:rPr>
              <w:t>L1 of the indicated DMRS ports are associated with the L1 PUSCH layers which are indicated by the first TPMI field for CB PUSCH or the first SRI field for NCB PUSCH and the rest L- L1 of the indicated DMRS ports are associated with the L-</w:t>
            </w:r>
            <w:r w:rsidRPr="00E27533">
              <w:rPr>
                <w:rFonts w:cs="Times"/>
                <w:bCs/>
                <w:lang w:val="en-CA" w:eastAsia="zh-CN"/>
              </w:rPr>
              <w:lastRenderedPageBreak/>
              <w:t>L1 PUSCH layers which are indicated by the second TPMI field for CB PUSCH or the second SRI field for the NCB PUSCH.</w:t>
            </w:r>
          </w:p>
          <w:p w14:paraId="3670BEF4" w14:textId="77777777" w:rsidR="00287A56" w:rsidRPr="00E27533" w:rsidRDefault="00287A56" w:rsidP="00893D91">
            <w:pPr>
              <w:pStyle w:val="aff5"/>
              <w:numPr>
                <w:ilvl w:val="2"/>
                <w:numId w:val="16"/>
              </w:numPr>
              <w:snapToGrid/>
              <w:spacing w:after="0" w:afterAutospacing="0"/>
              <w:ind w:leftChars="0"/>
              <w:rPr>
                <w:rFonts w:cs="Times"/>
                <w:bCs/>
                <w:lang w:val="en-CA" w:eastAsia="zh-CN"/>
              </w:rPr>
            </w:pPr>
            <w:r w:rsidRPr="00E27533">
              <w:rPr>
                <w:rFonts w:cs="Times"/>
                <w:bCs/>
                <w:lang w:val="en-CA" w:eastAsia="zh-CN"/>
              </w:rPr>
              <w:t>FFS: how to partition the indicated DMRS ports among the PUSCH layers.</w:t>
            </w:r>
          </w:p>
          <w:p w14:paraId="1E5A561B" w14:textId="77777777" w:rsidR="00287A56" w:rsidRPr="00E27533" w:rsidRDefault="00287A56" w:rsidP="00893D91">
            <w:pPr>
              <w:pStyle w:val="aff5"/>
              <w:numPr>
                <w:ilvl w:val="0"/>
                <w:numId w:val="16"/>
              </w:numPr>
              <w:snapToGrid/>
              <w:spacing w:after="0" w:afterAutospacing="0"/>
              <w:ind w:leftChars="0"/>
              <w:rPr>
                <w:rFonts w:cs="Times"/>
                <w:bCs/>
                <w:lang w:val="en-CA" w:eastAsia="zh-CN"/>
              </w:rPr>
            </w:pPr>
            <w:r w:rsidRPr="00E27533">
              <w:rPr>
                <w:rFonts w:cs="Times"/>
                <w:bCs/>
                <w:lang w:val="en-CA" w:eastAsia="zh-CN"/>
              </w:rPr>
              <w:t xml:space="preserve">Down-select one from the following two Alts for SDM scheme in </w:t>
            </w:r>
            <w:r w:rsidRPr="00E27533">
              <w:rPr>
                <w:rFonts w:cs="Times"/>
                <w:bCs/>
                <w:color w:val="FF0000"/>
                <w:lang w:val="en-CA" w:eastAsia="zh-CN"/>
              </w:rPr>
              <w:t>RAN1#111</w:t>
            </w:r>
            <w:r w:rsidRPr="00E27533">
              <w:rPr>
                <w:rFonts w:cs="Times"/>
                <w:bCs/>
                <w:lang w:val="en-CA" w:eastAsia="zh-CN"/>
              </w:rPr>
              <w:t>:</w:t>
            </w:r>
          </w:p>
          <w:p w14:paraId="0AA61DE2" w14:textId="77777777" w:rsidR="00287A56" w:rsidRPr="00E27533" w:rsidRDefault="00287A56" w:rsidP="00893D91">
            <w:pPr>
              <w:pStyle w:val="aff5"/>
              <w:numPr>
                <w:ilvl w:val="1"/>
                <w:numId w:val="16"/>
              </w:numPr>
              <w:snapToGrid/>
              <w:spacing w:after="0" w:afterAutospacing="0"/>
              <w:ind w:leftChars="0"/>
              <w:rPr>
                <w:rFonts w:cs="Times"/>
                <w:bCs/>
                <w:lang w:val="en-CA" w:eastAsia="zh-CN"/>
              </w:rPr>
            </w:pPr>
            <w:r w:rsidRPr="00E27533">
              <w:rPr>
                <w:rFonts w:cs="Times"/>
                <w:bCs/>
                <w:lang w:val="en-CA" w:eastAsia="zh-CN"/>
              </w:rPr>
              <w:t>Alt1: the DMRS ports associated with two TPMI/SRI fields must be in different CDM groups.</w:t>
            </w:r>
          </w:p>
          <w:p w14:paraId="21D512F0" w14:textId="77777777" w:rsidR="00287A56" w:rsidRPr="00E27533" w:rsidRDefault="00287A56" w:rsidP="00893D91">
            <w:pPr>
              <w:pStyle w:val="aff5"/>
              <w:numPr>
                <w:ilvl w:val="1"/>
                <w:numId w:val="16"/>
              </w:numPr>
              <w:snapToGrid/>
              <w:spacing w:after="0" w:afterAutospacing="0"/>
              <w:ind w:leftChars="0"/>
              <w:rPr>
                <w:rFonts w:cs="Times"/>
                <w:bCs/>
                <w:lang w:val="en-CA" w:eastAsia="zh-CN"/>
              </w:rPr>
            </w:pPr>
            <w:r w:rsidRPr="00E27533">
              <w:rPr>
                <w:rFonts w:cs="Times"/>
                <w:bCs/>
                <w:lang w:val="en-CA" w:eastAsia="zh-CN"/>
              </w:rPr>
              <w:t>Alt2: the DMRS ports associated with two TPMI/SRI fields can be in same or different CDM groups.</w:t>
            </w:r>
          </w:p>
          <w:p w14:paraId="350AFDF4" w14:textId="78919A97" w:rsidR="00EF4582" w:rsidRPr="00287A56" w:rsidRDefault="00EF4582" w:rsidP="008B6881">
            <w:pPr>
              <w:rPr>
                <w:rFonts w:cs="Times"/>
                <w:lang w:val="en-CA" w:eastAsia="x-none"/>
              </w:rPr>
            </w:pPr>
          </w:p>
        </w:tc>
      </w:tr>
    </w:tbl>
    <w:p w14:paraId="30172544" w14:textId="1A52820F" w:rsidR="008065B7" w:rsidRDefault="008065B7" w:rsidP="008065B7">
      <w:pPr>
        <w:pStyle w:val="Style1"/>
        <w:snapToGrid w:val="0"/>
        <w:spacing w:line="240" w:lineRule="auto"/>
        <w:ind w:firstLine="0"/>
        <w:contextualSpacing w:val="0"/>
      </w:pPr>
    </w:p>
    <w:p w14:paraId="33DF92A6" w14:textId="3E3679A0" w:rsidR="008B6881" w:rsidRDefault="00516F04" w:rsidP="00A035B8">
      <w:r w:rsidRPr="00516F04">
        <w:t>At the last meeting</w:t>
      </w:r>
      <w:r>
        <w:t>,</w:t>
      </w:r>
      <w:r w:rsidRPr="00516F04">
        <w:t xml:space="preserve"> it was agreed that the total number of layers </w:t>
      </w:r>
      <w:r w:rsidRPr="00926030">
        <w:rPr>
          <w:i/>
        </w:rPr>
        <w:t>L</w:t>
      </w:r>
      <w:r w:rsidRPr="00516F04">
        <w:t xml:space="preserve"> indicated by the two TPMI fields determines the DMRS port indication table.</w:t>
      </w:r>
      <w:r>
        <w:t xml:space="preserve"> </w:t>
      </w:r>
      <w:r w:rsidRPr="00516F04">
        <w:t xml:space="preserve">Specifically, it states that the first TPMI field </w:t>
      </w:r>
      <w:r>
        <w:t>indicates</w:t>
      </w:r>
      <w:r w:rsidRPr="00516F04">
        <w:t xml:space="preserve"> </w:t>
      </w:r>
      <w:r w:rsidRPr="00926030">
        <w:rPr>
          <w:i/>
        </w:rPr>
        <w:t>L</w:t>
      </w:r>
      <w:r w:rsidRPr="00926030">
        <w:rPr>
          <w:vertAlign w:val="subscript"/>
        </w:rPr>
        <w:t>1</w:t>
      </w:r>
      <w:r w:rsidRPr="00516F04">
        <w:t xml:space="preserve"> and the remaining </w:t>
      </w:r>
      <w:r w:rsidRPr="00926030">
        <w:rPr>
          <w:i/>
        </w:rPr>
        <w:t>L</w:t>
      </w:r>
      <w:r w:rsidRPr="00516F04">
        <w:t>-</w:t>
      </w:r>
      <w:r w:rsidRPr="00926030">
        <w:rPr>
          <w:i/>
        </w:rPr>
        <w:t>L</w:t>
      </w:r>
      <w:r w:rsidRPr="00926030">
        <w:rPr>
          <w:vertAlign w:val="subscript"/>
        </w:rPr>
        <w:t>1</w:t>
      </w:r>
      <w:r w:rsidR="00926030">
        <w:t>(=</w:t>
      </w:r>
      <w:r w:rsidR="00926030" w:rsidRPr="00926030">
        <w:rPr>
          <w:i/>
        </w:rPr>
        <w:t>L</w:t>
      </w:r>
      <w:r w:rsidR="00926030" w:rsidRPr="00926030">
        <w:rPr>
          <w:vertAlign w:val="subscript"/>
        </w:rPr>
        <w:t>2</w:t>
      </w:r>
      <w:r w:rsidR="00926030">
        <w:t>)</w:t>
      </w:r>
      <w:r w:rsidRPr="00516F04">
        <w:t xml:space="preserve"> layers for determining </w:t>
      </w:r>
      <w:r w:rsidRPr="00926030">
        <w:rPr>
          <w:i/>
        </w:rPr>
        <w:t>L</w:t>
      </w:r>
      <w:r w:rsidRPr="00516F04">
        <w:t xml:space="preserve"> are </w:t>
      </w:r>
      <w:r>
        <w:t>indicated</w:t>
      </w:r>
      <w:r w:rsidRPr="00516F04">
        <w:t xml:space="preserve"> by the second TPMI field.</w:t>
      </w:r>
      <w:r>
        <w:t xml:space="preserve"> </w:t>
      </w:r>
      <w:r w:rsidRPr="00516F04">
        <w:t>However, under the current specification, the second TPMI field can only indicate the same number of layers as the first TPMI field indicates.</w:t>
      </w:r>
      <w:r w:rsidR="00926030">
        <w:t xml:space="preserve"> </w:t>
      </w:r>
      <w:r w:rsidR="00926030" w:rsidRPr="00926030">
        <w:t>This means that</w:t>
      </w:r>
      <w:r w:rsidR="00926030">
        <w:t xml:space="preserve"> only</w:t>
      </w:r>
      <w:r w:rsidR="00926030" w:rsidRPr="00926030">
        <w:t xml:space="preserve"> the layer combination </w:t>
      </w:r>
      <w:r w:rsidR="00926030">
        <w:t xml:space="preserve">of </w:t>
      </w:r>
      <w:r w:rsidR="00926030" w:rsidRPr="00926030">
        <w:t>{1</w:t>
      </w:r>
      <w:r w:rsidR="00926030">
        <w:t>+1</w:t>
      </w:r>
      <w:r w:rsidR="00926030" w:rsidRPr="00926030">
        <w:t>,</w:t>
      </w:r>
      <w:r w:rsidR="00926030">
        <w:t xml:space="preserve"> 2+2</w:t>
      </w:r>
      <w:r w:rsidR="00926030" w:rsidRPr="00926030">
        <w:t xml:space="preserve">} </w:t>
      </w:r>
      <w:r w:rsidR="00926030">
        <w:t>can</w:t>
      </w:r>
      <w:r w:rsidR="00926030" w:rsidRPr="00926030">
        <w:t xml:space="preserve"> be supported.</w:t>
      </w:r>
      <w:r w:rsidR="00926030">
        <w:t xml:space="preserve"> </w:t>
      </w:r>
      <w:r w:rsidR="00926030" w:rsidRPr="00926030">
        <w:t xml:space="preserve">To support {1+2, 2+1}, </w:t>
      </w:r>
      <w:r w:rsidR="00926030" w:rsidRPr="00FA13DE">
        <w:rPr>
          <w:i/>
        </w:rPr>
        <w:t>L</w:t>
      </w:r>
      <w:r w:rsidR="00926030" w:rsidRPr="00FA13DE">
        <w:rPr>
          <w:vertAlign w:val="subscript"/>
        </w:rPr>
        <w:t>2</w:t>
      </w:r>
      <w:r w:rsidR="00926030" w:rsidRPr="00926030">
        <w:t xml:space="preserve"> must be </w:t>
      </w:r>
      <w:r w:rsidR="00FA13DE">
        <w:t>indicated</w:t>
      </w:r>
      <w:r w:rsidR="00926030" w:rsidRPr="00926030">
        <w:t xml:space="preserve"> independently of </w:t>
      </w:r>
      <w:r w:rsidR="00926030" w:rsidRPr="00FA13DE">
        <w:rPr>
          <w:i/>
        </w:rPr>
        <w:t>L</w:t>
      </w:r>
      <w:r w:rsidR="00926030" w:rsidRPr="00FA13DE">
        <w:rPr>
          <w:vertAlign w:val="subscript"/>
        </w:rPr>
        <w:t>1</w:t>
      </w:r>
      <w:r w:rsidR="00FA13DE">
        <w:t>. Therefore we should enhance</w:t>
      </w:r>
      <w:r w:rsidR="00926030" w:rsidRPr="00926030">
        <w:t xml:space="preserve"> the second TPMI field to include the number of layers.</w:t>
      </w:r>
      <w:r w:rsidR="00FA13DE">
        <w:t xml:space="preserve"> </w:t>
      </w:r>
      <w:r w:rsidR="00FA13DE" w:rsidRPr="00FA13DE">
        <w:t>This enhancement can be achieved by increasing the size of the second TPMI field to 6 bits.</w:t>
      </w:r>
    </w:p>
    <w:p w14:paraId="593C6E59" w14:textId="74D8CF5E" w:rsidR="00FA13DE" w:rsidRDefault="00FA13DE" w:rsidP="00A035B8">
      <w:pPr>
        <w:rPr>
          <w:b/>
        </w:rPr>
      </w:pPr>
      <w:r w:rsidRPr="00FA13DE">
        <w:rPr>
          <w:b/>
        </w:rPr>
        <w:t xml:space="preserve">Observation 1: </w:t>
      </w:r>
      <w:r w:rsidRPr="00FA13DE">
        <w:rPr>
          <w:b/>
          <w:i/>
        </w:rPr>
        <w:t>L</w:t>
      </w:r>
      <w:r w:rsidRPr="00FA13DE">
        <w:rPr>
          <w:b/>
        </w:rPr>
        <w:t xml:space="preserve"> should be the sum of </w:t>
      </w:r>
      <w:r w:rsidRPr="00FA13DE">
        <w:rPr>
          <w:b/>
          <w:i/>
        </w:rPr>
        <w:t>L</w:t>
      </w:r>
      <w:r w:rsidRPr="00FA13DE">
        <w:rPr>
          <w:b/>
          <w:vertAlign w:val="subscript"/>
        </w:rPr>
        <w:t>1</w:t>
      </w:r>
      <w:r w:rsidRPr="00FA13DE">
        <w:rPr>
          <w:b/>
        </w:rPr>
        <w:t xml:space="preserve"> + </w:t>
      </w:r>
      <w:r w:rsidRPr="00FA13DE">
        <w:rPr>
          <w:b/>
          <w:i/>
        </w:rPr>
        <w:t>L</w:t>
      </w:r>
      <w:r w:rsidRPr="00FA13DE">
        <w:rPr>
          <w:b/>
          <w:vertAlign w:val="subscript"/>
        </w:rPr>
        <w:t>2</w:t>
      </w:r>
      <w:r w:rsidRPr="00FA13DE">
        <w:rPr>
          <w:b/>
        </w:rPr>
        <w:t>.</w:t>
      </w:r>
    </w:p>
    <w:p w14:paraId="76B5D5D1" w14:textId="0A3BF99B" w:rsidR="00500C21" w:rsidRPr="00FA13DE" w:rsidRDefault="00500C21" w:rsidP="00A035B8">
      <w:pPr>
        <w:rPr>
          <w:b/>
        </w:rPr>
      </w:pPr>
      <w:r>
        <w:rPr>
          <w:b/>
        </w:rPr>
        <w:t>Observation 2: Second TPMI field can indicate only the same number of layers indicated by first TPMI field.</w:t>
      </w:r>
    </w:p>
    <w:p w14:paraId="526CF496" w14:textId="4233FBB3" w:rsidR="003357D3" w:rsidRDefault="003357D3" w:rsidP="003357D3">
      <w:pPr>
        <w:rPr>
          <w:b/>
          <w:bCs/>
        </w:rPr>
      </w:pPr>
      <w:r w:rsidRPr="005B2292">
        <w:rPr>
          <w:rFonts w:hint="eastAsia"/>
          <w:b/>
          <w:bCs/>
        </w:rPr>
        <w:t>P</w:t>
      </w:r>
      <w:r w:rsidRPr="005B2292">
        <w:rPr>
          <w:b/>
          <w:bCs/>
        </w:rPr>
        <w:t xml:space="preserve">roposal 1: </w:t>
      </w:r>
      <w:r w:rsidR="00FA13DE" w:rsidRPr="00FA13DE">
        <w:rPr>
          <w:b/>
          <w:bCs/>
        </w:rPr>
        <w:t xml:space="preserve">The second TPMI field should indicate </w:t>
      </w:r>
      <w:r w:rsidR="00FA13DE" w:rsidRPr="00FA13DE">
        <w:rPr>
          <w:b/>
          <w:bCs/>
          <w:i/>
        </w:rPr>
        <w:t>L</w:t>
      </w:r>
      <w:r w:rsidR="00FA13DE" w:rsidRPr="00FA13DE">
        <w:rPr>
          <w:b/>
          <w:bCs/>
          <w:vertAlign w:val="subscript"/>
        </w:rPr>
        <w:t>2</w:t>
      </w:r>
      <w:r w:rsidR="00FA13DE" w:rsidRPr="00FA13DE">
        <w:rPr>
          <w:b/>
          <w:bCs/>
        </w:rPr>
        <w:t xml:space="preserve"> independently of </w:t>
      </w:r>
      <w:r w:rsidR="00FA13DE" w:rsidRPr="00FA13DE">
        <w:rPr>
          <w:b/>
          <w:bCs/>
          <w:i/>
        </w:rPr>
        <w:t>L</w:t>
      </w:r>
      <w:r w:rsidR="00FA13DE" w:rsidRPr="00FA13DE">
        <w:rPr>
          <w:b/>
          <w:bCs/>
          <w:vertAlign w:val="subscript"/>
        </w:rPr>
        <w:t>1</w:t>
      </w:r>
      <w:r w:rsidR="00FA13DE">
        <w:rPr>
          <w:b/>
          <w:bCs/>
        </w:rPr>
        <w:t>.</w:t>
      </w:r>
    </w:p>
    <w:p w14:paraId="24FB56C4" w14:textId="7B9DB7E0" w:rsidR="00FA13DE" w:rsidRDefault="00FA13DE" w:rsidP="00FA13DE">
      <w:pPr>
        <w:rPr>
          <w:b/>
          <w:bCs/>
        </w:rPr>
      </w:pPr>
      <w:r w:rsidRPr="005B2292">
        <w:rPr>
          <w:rFonts w:hint="eastAsia"/>
          <w:b/>
          <w:bCs/>
        </w:rPr>
        <w:t>P</w:t>
      </w:r>
      <w:r w:rsidRPr="005B2292">
        <w:rPr>
          <w:b/>
          <w:bCs/>
        </w:rPr>
        <w:t xml:space="preserve">roposal </w:t>
      </w:r>
      <w:r>
        <w:rPr>
          <w:b/>
          <w:bCs/>
        </w:rPr>
        <w:t>2</w:t>
      </w:r>
      <w:r w:rsidRPr="005B2292">
        <w:rPr>
          <w:b/>
          <w:bCs/>
        </w:rPr>
        <w:t xml:space="preserve">: </w:t>
      </w:r>
      <w:r>
        <w:rPr>
          <w:b/>
          <w:bCs/>
        </w:rPr>
        <w:t>Expand the second TPMI field to 6 bits for</w:t>
      </w:r>
      <w:r w:rsidRPr="00FA13DE">
        <w:rPr>
          <w:b/>
          <w:bCs/>
        </w:rPr>
        <w:t xml:space="preserve"> an independent number of layers</w:t>
      </w:r>
      <w:r w:rsidR="00500C21">
        <w:rPr>
          <w:b/>
          <w:bCs/>
        </w:rPr>
        <w:t xml:space="preserve"> </w:t>
      </w:r>
      <w:r w:rsidR="00500C21" w:rsidRPr="00500C21">
        <w:rPr>
          <w:b/>
          <w:bCs/>
          <w:i/>
        </w:rPr>
        <w:t>L</w:t>
      </w:r>
      <w:r w:rsidR="00500C21" w:rsidRPr="00500C21">
        <w:rPr>
          <w:b/>
          <w:bCs/>
          <w:vertAlign w:val="subscript"/>
        </w:rPr>
        <w:t>2</w:t>
      </w:r>
      <w:r>
        <w:rPr>
          <w:b/>
          <w:bCs/>
        </w:rPr>
        <w:t>.</w:t>
      </w:r>
    </w:p>
    <w:p w14:paraId="60473996" w14:textId="7A2FD42E" w:rsidR="00500C21" w:rsidRDefault="00500C21" w:rsidP="00500C21">
      <w:pPr>
        <w:rPr>
          <w:bCs/>
        </w:rPr>
      </w:pPr>
      <w:r>
        <w:rPr>
          <w:bCs/>
        </w:rPr>
        <w:br/>
      </w:r>
      <w:r w:rsidRPr="00500C21">
        <w:rPr>
          <w:bCs/>
        </w:rPr>
        <w:t>The following two Alts have been proposed for DMRS port restrictions in the SDM scheme.</w:t>
      </w:r>
      <w:r>
        <w:rPr>
          <w:bCs/>
        </w:rPr>
        <w:t xml:space="preserve"> </w:t>
      </w:r>
    </w:p>
    <w:p w14:paraId="3BC7560D" w14:textId="77777777" w:rsidR="00500C21" w:rsidRDefault="00500C21" w:rsidP="00893D91">
      <w:pPr>
        <w:pStyle w:val="aff5"/>
        <w:numPr>
          <w:ilvl w:val="0"/>
          <w:numId w:val="17"/>
        </w:numPr>
        <w:ind w:leftChars="0"/>
        <w:rPr>
          <w:rFonts w:cs="Times"/>
          <w:bCs/>
          <w:lang w:val="en-CA" w:eastAsia="zh-CN"/>
        </w:rPr>
      </w:pPr>
      <w:r w:rsidRPr="00500C21">
        <w:rPr>
          <w:rFonts w:cs="Times"/>
          <w:bCs/>
          <w:lang w:val="en-CA" w:eastAsia="zh-CN"/>
        </w:rPr>
        <w:t>Alt1: the DMRS ports associated with two TPMI/SRI fields must be in different CDM groups.</w:t>
      </w:r>
    </w:p>
    <w:p w14:paraId="3881B58A" w14:textId="64891678" w:rsidR="00500C21" w:rsidRPr="00500C21" w:rsidRDefault="00500C21" w:rsidP="00893D91">
      <w:pPr>
        <w:pStyle w:val="aff5"/>
        <w:numPr>
          <w:ilvl w:val="0"/>
          <w:numId w:val="17"/>
        </w:numPr>
        <w:ind w:leftChars="0"/>
        <w:rPr>
          <w:rFonts w:cs="Times"/>
          <w:bCs/>
          <w:lang w:val="en-CA" w:eastAsia="zh-CN"/>
        </w:rPr>
      </w:pPr>
      <w:r w:rsidRPr="00500C21">
        <w:rPr>
          <w:rFonts w:cs="Times"/>
          <w:bCs/>
          <w:lang w:val="en-CA" w:eastAsia="zh-CN"/>
        </w:rPr>
        <w:t>Alt2: the DMRS ports associated with two TPMI/SRI fields can be in same or different CDM groups.</w:t>
      </w:r>
    </w:p>
    <w:p w14:paraId="2E4BC89F" w14:textId="537B9CF5" w:rsidR="00500C21" w:rsidRDefault="00736DA6" w:rsidP="0057510D">
      <w:pPr>
        <w:rPr>
          <w:lang w:val="en-CA" w:eastAsia="zh-CN"/>
        </w:rPr>
      </w:pPr>
      <w:r w:rsidRPr="00736DA6">
        <w:rPr>
          <w:bCs/>
          <w:lang w:val="en-CA"/>
        </w:rPr>
        <w:t>The CDM group is now associated with a TCI, and each TCI corresponds to a TRP.</w:t>
      </w:r>
      <w:r>
        <w:rPr>
          <w:bCs/>
          <w:lang w:val="en-CA"/>
        </w:rPr>
        <w:t xml:space="preserve"> </w:t>
      </w:r>
      <w:r w:rsidRPr="00736DA6">
        <w:rPr>
          <w:bCs/>
          <w:lang w:val="en-CA"/>
        </w:rPr>
        <w:t>This means that if the DMRS ports associated with each SRI/TPMI field belong to different CDM groups</w:t>
      </w:r>
      <w:r>
        <w:rPr>
          <w:bCs/>
          <w:lang w:val="en-CA"/>
        </w:rPr>
        <w:t xml:space="preserve"> (if Alt1 is supported)</w:t>
      </w:r>
      <w:r w:rsidRPr="00736DA6">
        <w:rPr>
          <w:bCs/>
          <w:lang w:val="en-CA"/>
        </w:rPr>
        <w:t>, the number of layers indica</w:t>
      </w:r>
      <w:r>
        <w:rPr>
          <w:bCs/>
          <w:lang w:val="en-CA"/>
        </w:rPr>
        <w:t>ted by each TPMI field can</w:t>
      </w:r>
      <w:r w:rsidRPr="00736DA6">
        <w:rPr>
          <w:bCs/>
          <w:lang w:val="en-CA"/>
        </w:rPr>
        <w:t xml:space="preserve"> be mapped</w:t>
      </w:r>
      <w:r>
        <w:rPr>
          <w:bCs/>
          <w:lang w:val="en-CA"/>
        </w:rPr>
        <w:t xml:space="preserve"> directly</w:t>
      </w:r>
      <w:r w:rsidRPr="00736DA6">
        <w:rPr>
          <w:bCs/>
          <w:lang w:val="en-CA"/>
        </w:rPr>
        <w:t xml:space="preserve"> to each TRP.</w:t>
      </w:r>
      <w:r>
        <w:rPr>
          <w:bCs/>
          <w:lang w:val="en-CA"/>
        </w:rPr>
        <w:t xml:space="preserve"> </w:t>
      </w:r>
      <w:r w:rsidR="0057510D" w:rsidRPr="0057510D">
        <w:rPr>
          <w:bCs/>
          <w:lang w:val="en-CA"/>
        </w:rPr>
        <w:t xml:space="preserve">If Alt2 is to be supported, we need to consider </w:t>
      </w:r>
      <w:r w:rsidR="0057510D">
        <w:rPr>
          <w:lang w:val="en-CA" w:eastAsia="zh-CN"/>
        </w:rPr>
        <w:t xml:space="preserve">how to determine the partition of the indicated DMRS ports among PUSCH layers/panels. </w:t>
      </w:r>
      <w:r w:rsidR="0057510D" w:rsidRPr="0057510D">
        <w:rPr>
          <w:lang w:val="en-CA" w:eastAsia="zh-CN"/>
        </w:rPr>
        <w:t>This is undesirable because it increases standardization efforts.</w:t>
      </w:r>
      <w:r w:rsidR="0057510D">
        <w:rPr>
          <w:lang w:val="en-CA" w:eastAsia="zh-CN"/>
        </w:rPr>
        <w:t xml:space="preserve"> </w:t>
      </w:r>
      <w:r w:rsidR="0057510D" w:rsidRPr="0057510D">
        <w:rPr>
          <w:lang w:val="en-CA" w:eastAsia="zh-CN"/>
        </w:rPr>
        <w:t>If the DMRS ports of each panel belong to the same CDM group, the orthogonality between panels may be lost and the channel estimation performance may degrade.</w:t>
      </w:r>
      <w:r w:rsidR="0057510D">
        <w:rPr>
          <w:lang w:val="en-CA" w:eastAsia="zh-CN"/>
        </w:rPr>
        <w:t xml:space="preserve"> </w:t>
      </w:r>
      <w:r w:rsidR="0057510D" w:rsidRPr="0057510D">
        <w:rPr>
          <w:lang w:val="en-CA" w:eastAsia="zh-CN"/>
        </w:rPr>
        <w:t>This is because different TRPs may have different phase shifts due to different delays between UEs.</w:t>
      </w:r>
      <w:r w:rsidR="0057510D">
        <w:rPr>
          <w:lang w:val="en-CA" w:eastAsia="zh-CN"/>
        </w:rPr>
        <w:t xml:space="preserve"> </w:t>
      </w:r>
      <w:r w:rsidR="0057510D" w:rsidRPr="0057510D">
        <w:rPr>
          <w:lang w:val="en-CA" w:eastAsia="zh-CN"/>
        </w:rPr>
        <w:t>For these reasons, Alt 1 should be supported.</w:t>
      </w:r>
    </w:p>
    <w:p w14:paraId="0EA5EAEB" w14:textId="18DFFEC8" w:rsidR="0057510D" w:rsidRDefault="0057510D" w:rsidP="00D95CD5">
      <w:r w:rsidRPr="0057510D">
        <w:rPr>
          <w:b/>
          <w:lang w:val="en-CA" w:eastAsia="zh-CN"/>
        </w:rPr>
        <w:lastRenderedPageBreak/>
        <w:t xml:space="preserve">Proposal 3: </w:t>
      </w:r>
      <w:r>
        <w:rPr>
          <w:b/>
          <w:lang w:val="en-CA" w:eastAsia="zh-CN"/>
        </w:rPr>
        <w:t>T</w:t>
      </w:r>
      <w:r w:rsidRPr="0057510D">
        <w:rPr>
          <w:b/>
          <w:lang w:val="en-CA" w:eastAsia="zh-CN"/>
        </w:rPr>
        <w:t xml:space="preserve">he DMRS ports associated with two TPMI/SRI fields </w:t>
      </w:r>
      <w:r>
        <w:rPr>
          <w:b/>
          <w:lang w:val="en-CA" w:eastAsia="zh-CN"/>
        </w:rPr>
        <w:t>should</w:t>
      </w:r>
      <w:r w:rsidRPr="0057510D">
        <w:rPr>
          <w:b/>
          <w:lang w:val="en-CA" w:eastAsia="zh-CN"/>
        </w:rPr>
        <w:t xml:space="preserve"> be in different CDM groups</w:t>
      </w:r>
      <w:r w:rsidR="00882419">
        <w:rPr>
          <w:b/>
          <w:lang w:val="en-CA" w:eastAsia="zh-CN"/>
        </w:rPr>
        <w:t xml:space="preserve"> in the SDM scheme</w:t>
      </w:r>
      <w:r w:rsidRPr="0057510D">
        <w:rPr>
          <w:b/>
          <w:lang w:val="en-CA" w:eastAsia="zh-CN"/>
        </w:rPr>
        <w:t>.</w:t>
      </w:r>
      <w:r>
        <w:rPr>
          <w:b/>
          <w:lang w:val="en-CA" w:eastAsia="zh-CN"/>
        </w:rPr>
        <w:br/>
      </w:r>
    </w:p>
    <w:p w14:paraId="5925540C" w14:textId="55BF5589" w:rsidR="00F55536" w:rsidRPr="0057510D" w:rsidRDefault="00F55536" w:rsidP="00F55536">
      <w:pPr>
        <w:rPr>
          <w:b/>
          <w:lang w:val="en-CA" w:eastAsia="zh-CN"/>
        </w:rPr>
      </w:pPr>
      <w:r>
        <w:rPr>
          <w:rFonts w:hint="eastAsia"/>
        </w:rPr>
        <w:t xml:space="preserve">For </w:t>
      </w:r>
      <w:r>
        <w:t>the SRS configuration, the following agreement was achieved.</w:t>
      </w:r>
    </w:p>
    <w:tbl>
      <w:tblPr>
        <w:tblStyle w:val="af0"/>
        <w:tblW w:w="0" w:type="auto"/>
        <w:tblLook w:val="04A0" w:firstRow="1" w:lastRow="0" w:firstColumn="1" w:lastColumn="0" w:noHBand="0" w:noVBand="1"/>
      </w:tblPr>
      <w:tblGrid>
        <w:gridCol w:w="9631"/>
      </w:tblGrid>
      <w:tr w:rsidR="00F55536" w:rsidRPr="004438D8" w14:paraId="00FA8615" w14:textId="77777777" w:rsidTr="00426EEF">
        <w:tc>
          <w:tcPr>
            <w:tcW w:w="9631" w:type="dxa"/>
          </w:tcPr>
          <w:p w14:paraId="34891DBF" w14:textId="59DBA804" w:rsidR="00F55536" w:rsidRPr="00E27533" w:rsidRDefault="00F55536" w:rsidP="00F55536">
            <w:pPr>
              <w:rPr>
                <w:rFonts w:ascii="Times" w:hAnsi="Times" w:cs="Times"/>
                <w:b/>
                <w:sz w:val="20"/>
              </w:rPr>
            </w:pPr>
            <w:r w:rsidRPr="00E27533">
              <w:rPr>
                <w:rFonts w:cs="Times"/>
                <w:b/>
                <w:bCs/>
                <w:highlight w:val="green"/>
                <w:lang w:val="en-CA" w:eastAsia="zh-CN"/>
              </w:rPr>
              <w:t>Agreement</w:t>
            </w:r>
            <w:r>
              <w:rPr>
                <w:rFonts w:cs="Times"/>
                <w:b/>
                <w:bCs/>
                <w:highlight w:val="green"/>
                <w:lang w:val="en-CA" w:eastAsia="zh-CN"/>
              </w:rPr>
              <w:br/>
            </w:r>
            <w:r w:rsidRPr="00E27533">
              <w:rPr>
                <w:rStyle w:val="af5"/>
                <w:rFonts w:ascii="Times" w:hAnsi="Times" w:cs="Times"/>
                <w:b w:val="0"/>
                <w:color w:val="000000"/>
                <w:sz w:val="20"/>
              </w:rPr>
              <w:t xml:space="preserve">For SDM scheme of single-DCI based STxMP PUSCH </w:t>
            </w:r>
          </w:p>
          <w:p w14:paraId="0B46EADA" w14:textId="77777777" w:rsidR="00F55536" w:rsidRPr="00E27533" w:rsidRDefault="00F55536" w:rsidP="00893D91">
            <w:pPr>
              <w:numPr>
                <w:ilvl w:val="0"/>
                <w:numId w:val="19"/>
              </w:numPr>
              <w:snapToGrid/>
              <w:spacing w:after="0" w:afterAutospacing="0"/>
              <w:jc w:val="left"/>
              <w:rPr>
                <w:rFonts w:eastAsia="Times New Roman" w:cs="Times"/>
                <w:b/>
              </w:rPr>
            </w:pPr>
            <w:r w:rsidRPr="00E27533">
              <w:rPr>
                <w:rStyle w:val="af5"/>
                <w:rFonts w:eastAsia="Times New Roman" w:cs="Times"/>
                <w:b w:val="0"/>
              </w:rPr>
              <w:t>Configure two SRS resource sets for CB or NCB .</w:t>
            </w:r>
            <w:r w:rsidRPr="00E27533">
              <w:rPr>
                <w:rFonts w:eastAsia="Times New Roman" w:cs="Times"/>
                <w:b/>
              </w:rPr>
              <w:t xml:space="preserve"> </w:t>
            </w:r>
          </w:p>
          <w:p w14:paraId="3AAC6518" w14:textId="77777777" w:rsidR="00F55536" w:rsidRPr="00E27533" w:rsidRDefault="00F55536" w:rsidP="00893D91">
            <w:pPr>
              <w:numPr>
                <w:ilvl w:val="1"/>
                <w:numId w:val="19"/>
              </w:numPr>
              <w:snapToGrid/>
              <w:spacing w:after="0" w:afterAutospacing="0"/>
              <w:jc w:val="left"/>
              <w:rPr>
                <w:rFonts w:eastAsia="Times New Roman" w:cs="Times"/>
                <w:b/>
              </w:rPr>
            </w:pPr>
            <w:r w:rsidRPr="00E27533">
              <w:rPr>
                <w:rStyle w:val="af5"/>
                <w:rFonts w:eastAsia="Times New Roman" w:cs="Times"/>
                <w:b w:val="0"/>
              </w:rPr>
              <w:t>FFS : These two SRS resource sets can have different number of SRS resources for codebook -based or non-codebook based.</w:t>
            </w:r>
          </w:p>
          <w:p w14:paraId="02AF1088" w14:textId="77777777" w:rsidR="00F55536" w:rsidRPr="00E27533" w:rsidRDefault="00F55536" w:rsidP="00893D91">
            <w:pPr>
              <w:numPr>
                <w:ilvl w:val="0"/>
                <w:numId w:val="19"/>
              </w:numPr>
              <w:snapToGrid/>
              <w:spacing w:after="0" w:afterAutospacing="0"/>
              <w:jc w:val="left"/>
              <w:rPr>
                <w:rFonts w:eastAsia="Times New Roman" w:cs="Times"/>
                <w:b/>
              </w:rPr>
            </w:pPr>
            <w:r w:rsidRPr="00E27533">
              <w:rPr>
                <w:rStyle w:val="af5"/>
                <w:rFonts w:eastAsia="Times New Roman" w:cs="Times"/>
                <w:b w:val="0"/>
              </w:rPr>
              <w:t xml:space="preserve">For codebook -based PUSCH , DCI indicates two TPMI fields, and each TPMI field separately indicates the precoding information and the number of layers conveyed over the SRS ports </w:t>
            </w:r>
            <w:r w:rsidRPr="00E27533">
              <w:rPr>
                <w:rStyle w:val="af5"/>
                <w:rFonts w:eastAsia="Times New Roman" w:cs="Times"/>
                <w:b w:val="0"/>
                <w:color w:val="FF0000"/>
              </w:rPr>
              <w:t xml:space="preserve">of the indicated SRS resource </w:t>
            </w:r>
            <w:r w:rsidRPr="00E27533">
              <w:rPr>
                <w:rStyle w:val="af5"/>
                <w:rFonts w:eastAsia="Times New Roman" w:cs="Times"/>
                <w:b w:val="0"/>
              </w:rPr>
              <w:t xml:space="preserve">in each SRS resource set. </w:t>
            </w:r>
          </w:p>
          <w:p w14:paraId="1119D779" w14:textId="77777777" w:rsidR="00F55536" w:rsidRPr="00E27533" w:rsidRDefault="00F55536" w:rsidP="00893D91">
            <w:pPr>
              <w:numPr>
                <w:ilvl w:val="0"/>
                <w:numId w:val="19"/>
              </w:numPr>
              <w:snapToGrid/>
              <w:spacing w:after="0" w:afterAutospacing="0"/>
              <w:jc w:val="left"/>
              <w:rPr>
                <w:rFonts w:eastAsia="Times New Roman" w:cs="Times"/>
                <w:b/>
              </w:rPr>
            </w:pPr>
            <w:r w:rsidRPr="00E27533">
              <w:rPr>
                <w:rStyle w:val="af5"/>
                <w:rFonts w:eastAsia="Times New Roman" w:cs="Times"/>
                <w:b w:val="0"/>
              </w:rPr>
              <w:t>For non-codebook based PUSCH and codebook -based PUSCH , DCI indicates two SRI fields and each field indicates SRS resource(s)  for each SRS resource set separately.</w:t>
            </w:r>
            <w:r w:rsidRPr="00E27533">
              <w:rPr>
                <w:rFonts w:eastAsia="Times New Roman" w:cs="Times"/>
                <w:b/>
              </w:rPr>
              <w:t xml:space="preserve"> </w:t>
            </w:r>
          </w:p>
          <w:p w14:paraId="276BFAED" w14:textId="77777777" w:rsidR="00F55536" w:rsidRPr="00E27533" w:rsidRDefault="00F55536" w:rsidP="00893D91">
            <w:pPr>
              <w:numPr>
                <w:ilvl w:val="1"/>
                <w:numId w:val="19"/>
              </w:numPr>
              <w:snapToGrid/>
              <w:spacing w:after="0" w:afterAutospacing="0"/>
              <w:jc w:val="left"/>
              <w:rPr>
                <w:rFonts w:eastAsia="Times New Roman" w:cs="Times"/>
                <w:b/>
              </w:rPr>
            </w:pPr>
            <w:r w:rsidRPr="00E27533">
              <w:rPr>
                <w:rStyle w:val="af5"/>
                <w:rFonts w:eastAsia="Times New Roman" w:cs="Times"/>
                <w:b w:val="0"/>
              </w:rPr>
              <w:t>FFS : For codebook -based PUSCH , the two SRS resources indicated by the two SRI fields can have different number of SRS ports</w:t>
            </w:r>
          </w:p>
          <w:p w14:paraId="20809C57" w14:textId="77777777" w:rsidR="00F55536" w:rsidRPr="00F55536" w:rsidRDefault="00F55536" w:rsidP="00426EEF">
            <w:pPr>
              <w:rPr>
                <w:rFonts w:cs="Times"/>
                <w:lang w:eastAsia="x-none"/>
              </w:rPr>
            </w:pPr>
          </w:p>
        </w:tc>
      </w:tr>
    </w:tbl>
    <w:p w14:paraId="28415E42" w14:textId="793A2EBF" w:rsidR="00F55536" w:rsidRDefault="00F55536" w:rsidP="007B5D90">
      <w:r>
        <w:br/>
      </w:r>
      <w:r w:rsidR="007B5D90" w:rsidRPr="007B5D90">
        <w:t>There is some overlap with the above agreement regarding TPMI indication. We believe that a clearer agreement can be reached by first summarizing the discussion.</w:t>
      </w:r>
      <w:r w:rsidR="007B5D90">
        <w:t xml:space="preserve"> </w:t>
      </w:r>
      <w:r w:rsidR="007B5D90" w:rsidRPr="007B5D90">
        <w:t>For a single DCI-based STxMP PUSCH, it would be necessary to discuss in more detail the association between each TPMI field and the SRS resource set and how to indicate the number of layers.</w:t>
      </w:r>
      <w:r w:rsidR="007B5D90">
        <w:t xml:space="preserve"> </w:t>
      </w:r>
      <w:r w:rsidR="007E67DD" w:rsidRPr="007E67DD">
        <w:t>As previously agreed, it is simple and desirable that each TPMI field directs the TPMI information of the SRS ports associated with each SRS resource set.</w:t>
      </w:r>
      <w:r w:rsidR="007E67DD">
        <w:t xml:space="preserve"> </w:t>
      </w:r>
      <w:r w:rsidR="00337719">
        <w:t>T</w:t>
      </w:r>
      <w:r w:rsidR="007E67DD" w:rsidRPr="007E67DD">
        <w:t xml:space="preserve">his can be interpreted as follows. The first TPMI field relates to the first SRS resource set, </w:t>
      </w:r>
      <w:r w:rsidR="007E67DD">
        <w:t xml:space="preserve">and </w:t>
      </w:r>
      <w:r w:rsidR="007E67DD" w:rsidRPr="007E67DD">
        <w:t>the second TPMI field relates to the second SRS resource set</w:t>
      </w:r>
      <w:r w:rsidR="007E67DD">
        <w:t xml:space="preserve">. </w:t>
      </w:r>
    </w:p>
    <w:p w14:paraId="72D1C810" w14:textId="00C4C641" w:rsidR="007B5D90" w:rsidRDefault="00337719" w:rsidP="007B5D90">
      <w:pPr>
        <w:rPr>
          <w:b/>
          <w:bCs/>
        </w:rPr>
      </w:pPr>
      <w:r w:rsidRPr="00337719">
        <w:rPr>
          <w:b/>
          <w:bCs/>
        </w:rPr>
        <w:t>Proposal 4: The relationship between the SRI/TPMI field and the SRS resource set should be discussed on the basis of the following</w:t>
      </w:r>
      <w:r>
        <w:rPr>
          <w:b/>
          <w:bCs/>
        </w:rPr>
        <w:t>.</w:t>
      </w:r>
    </w:p>
    <w:p w14:paraId="10A31EBD" w14:textId="70FFFC4B" w:rsidR="00337719" w:rsidRDefault="00337719" w:rsidP="00337719">
      <w:pPr>
        <w:pStyle w:val="aff5"/>
        <w:numPr>
          <w:ilvl w:val="0"/>
          <w:numId w:val="24"/>
        </w:numPr>
        <w:ind w:leftChars="0"/>
        <w:rPr>
          <w:b/>
          <w:bCs/>
        </w:rPr>
      </w:pPr>
      <w:r>
        <w:rPr>
          <w:b/>
          <w:bCs/>
        </w:rPr>
        <w:t>The first SRI/TPMI fields</w:t>
      </w:r>
      <w:r w:rsidRPr="00337719">
        <w:t xml:space="preserve"> </w:t>
      </w:r>
      <w:r w:rsidRPr="00337719">
        <w:rPr>
          <w:b/>
          <w:bCs/>
        </w:rPr>
        <w:t>are associated with the first SRS resource set</w:t>
      </w:r>
      <w:r>
        <w:rPr>
          <w:b/>
          <w:bCs/>
        </w:rPr>
        <w:t>.</w:t>
      </w:r>
    </w:p>
    <w:p w14:paraId="3521FFE1" w14:textId="29D8DD32" w:rsidR="00337719" w:rsidRPr="00337719" w:rsidRDefault="00337719" w:rsidP="00337719">
      <w:pPr>
        <w:pStyle w:val="aff5"/>
        <w:numPr>
          <w:ilvl w:val="0"/>
          <w:numId w:val="24"/>
        </w:numPr>
        <w:ind w:leftChars="0"/>
        <w:rPr>
          <w:b/>
          <w:bCs/>
        </w:rPr>
      </w:pPr>
      <w:r>
        <w:rPr>
          <w:rFonts w:hint="eastAsia"/>
          <w:b/>
          <w:bCs/>
        </w:rPr>
        <w:t>T</w:t>
      </w:r>
      <w:r>
        <w:rPr>
          <w:b/>
          <w:bCs/>
        </w:rPr>
        <w:t>he second SRI/TPMI fields</w:t>
      </w:r>
      <w:r w:rsidRPr="00337719">
        <w:t xml:space="preserve"> </w:t>
      </w:r>
      <w:r w:rsidRPr="00337719">
        <w:rPr>
          <w:b/>
          <w:bCs/>
        </w:rPr>
        <w:t xml:space="preserve">are associated with the </w:t>
      </w:r>
      <w:r>
        <w:rPr>
          <w:b/>
          <w:bCs/>
        </w:rPr>
        <w:t>second</w:t>
      </w:r>
      <w:r w:rsidRPr="00337719">
        <w:rPr>
          <w:b/>
          <w:bCs/>
        </w:rPr>
        <w:t xml:space="preserve"> SRS resource set</w:t>
      </w:r>
      <w:r>
        <w:rPr>
          <w:b/>
          <w:bCs/>
        </w:rPr>
        <w:t>.</w:t>
      </w:r>
    </w:p>
    <w:p w14:paraId="08255BC2" w14:textId="12257431" w:rsidR="00F22CFC" w:rsidRPr="0057510D" w:rsidRDefault="00337719" w:rsidP="00F22CFC">
      <w:pPr>
        <w:rPr>
          <w:b/>
          <w:lang w:val="en-CA" w:eastAsia="zh-CN"/>
        </w:rPr>
      </w:pPr>
      <w:r>
        <w:br/>
      </w:r>
      <w:r w:rsidR="00F22CFC">
        <w:rPr>
          <w:rFonts w:hint="eastAsia"/>
        </w:rPr>
        <w:t>For</w:t>
      </w:r>
      <w:r w:rsidR="00F22CFC">
        <w:t xml:space="preserve"> the dynamic switching between SDM scheme</w:t>
      </w:r>
      <w:r w:rsidR="007E67DD">
        <w:t xml:space="preserve"> </w:t>
      </w:r>
      <w:r w:rsidR="007E67DD">
        <w:rPr>
          <w:rFonts w:hint="eastAsia"/>
        </w:rPr>
        <w:t>a</w:t>
      </w:r>
      <w:r w:rsidR="007E67DD">
        <w:t>nd sTRP transmission</w:t>
      </w:r>
      <w:r w:rsidR="00F22CFC">
        <w:t>, the following agreement was achieved.</w:t>
      </w:r>
    </w:p>
    <w:tbl>
      <w:tblPr>
        <w:tblStyle w:val="af0"/>
        <w:tblW w:w="0" w:type="auto"/>
        <w:tblLook w:val="04A0" w:firstRow="1" w:lastRow="0" w:firstColumn="1" w:lastColumn="0" w:noHBand="0" w:noVBand="1"/>
      </w:tblPr>
      <w:tblGrid>
        <w:gridCol w:w="9631"/>
      </w:tblGrid>
      <w:tr w:rsidR="00F22CFC" w:rsidRPr="004438D8" w14:paraId="739ACA09" w14:textId="77777777" w:rsidTr="00426EEF">
        <w:tc>
          <w:tcPr>
            <w:tcW w:w="9631" w:type="dxa"/>
          </w:tcPr>
          <w:p w14:paraId="5370ABA6" w14:textId="48228F92" w:rsidR="00F22CFC" w:rsidRPr="00E27533" w:rsidRDefault="00F22CFC" w:rsidP="00F22CFC">
            <w:pPr>
              <w:rPr>
                <w:rFonts w:cs="Times"/>
                <w:bCs/>
                <w:lang w:val="en-CA" w:eastAsia="zh-CN"/>
              </w:rPr>
            </w:pPr>
            <w:r w:rsidRPr="00E27533">
              <w:rPr>
                <w:rFonts w:cs="Times"/>
                <w:b/>
                <w:bCs/>
                <w:highlight w:val="green"/>
                <w:lang w:val="en-CA" w:eastAsia="zh-CN"/>
              </w:rPr>
              <w:t>Agreement</w:t>
            </w:r>
            <w:r>
              <w:rPr>
                <w:rFonts w:cs="Times"/>
                <w:b/>
                <w:bCs/>
                <w:highlight w:val="green"/>
                <w:lang w:val="en-CA" w:eastAsia="zh-CN"/>
              </w:rPr>
              <w:br/>
            </w:r>
            <w:r w:rsidRPr="00E27533">
              <w:rPr>
                <w:rFonts w:cs="Times"/>
                <w:bCs/>
                <w:lang w:val="en-CA" w:eastAsia="zh-CN"/>
              </w:rPr>
              <w:t>Support dynamic switching between SDM scheme of single-DCI based STxMP PUSCH and sTRP transmission</w:t>
            </w:r>
          </w:p>
          <w:p w14:paraId="2475F026" w14:textId="77777777" w:rsidR="00F22CFC" w:rsidRPr="00E27533" w:rsidRDefault="00F22CFC" w:rsidP="00893D91">
            <w:pPr>
              <w:pStyle w:val="aff5"/>
              <w:numPr>
                <w:ilvl w:val="0"/>
                <w:numId w:val="21"/>
              </w:numPr>
              <w:snapToGrid/>
              <w:spacing w:after="0" w:afterAutospacing="0"/>
              <w:ind w:leftChars="0"/>
              <w:rPr>
                <w:rFonts w:cs="Times"/>
                <w:bCs/>
                <w:lang w:val="en-CA" w:eastAsia="zh-CN"/>
              </w:rPr>
            </w:pPr>
            <w:r w:rsidRPr="00E27533">
              <w:rPr>
                <w:rFonts w:cs="Times"/>
                <w:bCs/>
                <w:lang w:eastAsia="zh-CN"/>
              </w:rPr>
              <w:t>FFS the indication of dynamic switching</w:t>
            </w:r>
          </w:p>
          <w:p w14:paraId="5B8AAA69" w14:textId="77777777" w:rsidR="00F22CFC" w:rsidRPr="00E27533" w:rsidRDefault="00F22CFC" w:rsidP="00893D91">
            <w:pPr>
              <w:pStyle w:val="aff5"/>
              <w:numPr>
                <w:ilvl w:val="0"/>
                <w:numId w:val="21"/>
              </w:numPr>
              <w:snapToGrid/>
              <w:spacing w:after="0" w:afterAutospacing="0"/>
              <w:ind w:leftChars="0"/>
              <w:rPr>
                <w:rFonts w:cs="Times"/>
                <w:bCs/>
                <w:lang w:val="en-CA" w:eastAsia="zh-CN"/>
              </w:rPr>
            </w:pPr>
            <w:r w:rsidRPr="00E27533">
              <w:rPr>
                <w:rFonts w:cs="Times"/>
                <w:bCs/>
                <w:lang w:val="en-CA" w:eastAsia="zh-CN"/>
              </w:rPr>
              <w:lastRenderedPageBreak/>
              <w:t>FFS: max number of layers when switching to sTRP transmission</w:t>
            </w:r>
          </w:p>
          <w:p w14:paraId="656F22E6" w14:textId="77777777" w:rsidR="00F22CFC" w:rsidRPr="00F22CFC" w:rsidRDefault="00F22CFC" w:rsidP="00426EEF">
            <w:pPr>
              <w:rPr>
                <w:rFonts w:cs="Times"/>
                <w:lang w:val="en-CA" w:eastAsia="x-none"/>
              </w:rPr>
            </w:pPr>
          </w:p>
        </w:tc>
      </w:tr>
    </w:tbl>
    <w:p w14:paraId="1A5EE747" w14:textId="6CF1182F" w:rsidR="00F22CFC" w:rsidRDefault="00F22CFC" w:rsidP="002D6DE4">
      <w:r>
        <w:lastRenderedPageBreak/>
        <w:br/>
      </w:r>
      <w:r w:rsidR="002D6DE4">
        <w:t>W</w:t>
      </w:r>
      <w:r w:rsidR="002D6DE4" w:rsidRPr="00462E89">
        <w:t>hen switching from multi-panel SDM transmission to sTRP transmission</w:t>
      </w:r>
      <w:r w:rsidR="002D6DE4">
        <w:t>,</w:t>
      </w:r>
      <w:r w:rsidR="002D6DE4" w:rsidRPr="00462E89">
        <w:t xml:space="preserve"> </w:t>
      </w:r>
      <w:r w:rsidR="002D6DE4">
        <w:t>i</w:t>
      </w:r>
      <w:r w:rsidR="00462E89" w:rsidRPr="00462E89">
        <w:t>t is important to indicate which panel stops transmitting.</w:t>
      </w:r>
      <w:r w:rsidR="00462E89">
        <w:t xml:space="preserve"> </w:t>
      </w:r>
      <w:r w:rsidR="00E603F2" w:rsidRPr="00E603F2">
        <w:t>Since each SRS resource set is associated with a panel, we can assume that STxMP is running when both SRS resource sets are activ</w:t>
      </w:r>
      <w:r w:rsidR="00E603F2">
        <w:t>e</w:t>
      </w:r>
      <w:r w:rsidR="00E603F2" w:rsidRPr="00E603F2">
        <w:t>.</w:t>
      </w:r>
      <w:r w:rsidR="00E603F2">
        <w:t xml:space="preserve"> </w:t>
      </w:r>
      <w:r w:rsidR="00E603F2" w:rsidRPr="00E603F2">
        <w:t>In other words, switching can be a</w:t>
      </w:r>
      <w:r w:rsidR="002D6DE4">
        <w:t>chieved</w:t>
      </w:r>
      <w:r w:rsidR="00E603F2" w:rsidRPr="00E603F2">
        <w:t xml:space="preserve"> by indicating only one SRS resource set to be active.</w:t>
      </w:r>
      <w:r w:rsidR="00E603F2">
        <w:t xml:space="preserve"> </w:t>
      </w:r>
      <w:r w:rsidR="002D6DE4">
        <w:t>The information associated with the SRS resource set is determined by the SRS resource set indicator.</w:t>
      </w:r>
      <w:r w:rsidR="002D6DE4">
        <w:t xml:space="preserve"> </w:t>
      </w:r>
      <w:r w:rsidR="002D6DE4">
        <w:t>Therefore, the use of the SRS resource set indicator would be a good starting point for discussion.</w:t>
      </w:r>
      <w:r w:rsidR="002D6DE4">
        <w:t xml:space="preserve"> </w:t>
      </w:r>
    </w:p>
    <w:p w14:paraId="7839ABF9" w14:textId="2F15A80E" w:rsidR="002D6DE4" w:rsidRPr="002D6DE4" w:rsidRDefault="002D6DE4" w:rsidP="002D6DE4">
      <w:pPr>
        <w:rPr>
          <w:b/>
        </w:rPr>
      </w:pPr>
      <w:r w:rsidRPr="002D6DE4">
        <w:rPr>
          <w:b/>
        </w:rPr>
        <w:t xml:space="preserve">Proposal 5: </w:t>
      </w:r>
      <w:r>
        <w:rPr>
          <w:b/>
        </w:rPr>
        <w:t xml:space="preserve">For the indication of dynamic switching between SDM scheme and sTRP transmission, support the </w:t>
      </w:r>
      <w:r w:rsidR="00252DF6">
        <w:rPr>
          <w:b/>
        </w:rPr>
        <w:t xml:space="preserve">use of the </w:t>
      </w:r>
      <w:r>
        <w:rPr>
          <w:b/>
        </w:rPr>
        <w:t>SRS resource set indicator</w:t>
      </w:r>
      <w:r w:rsidR="00252DF6">
        <w:rPr>
          <w:b/>
        </w:rPr>
        <w:t>.</w:t>
      </w:r>
      <w:r w:rsidR="00252DF6">
        <w:rPr>
          <w:b/>
        </w:rPr>
        <w:br/>
      </w:r>
    </w:p>
    <w:p w14:paraId="63C9122D" w14:textId="1876ABBA" w:rsidR="00F22CFC" w:rsidRPr="0057510D" w:rsidRDefault="00F22CFC" w:rsidP="00F22CFC">
      <w:pPr>
        <w:rPr>
          <w:b/>
          <w:lang w:val="en-CA" w:eastAsia="zh-CN"/>
        </w:rPr>
      </w:pPr>
      <w:r>
        <w:rPr>
          <w:rFonts w:hint="eastAsia"/>
        </w:rPr>
        <w:t>For</w:t>
      </w:r>
      <w:r>
        <w:t xml:space="preserve"> the switching between SDM scheme and mTRP PUSCH TDM scheme, the following agreement was achieved.</w:t>
      </w:r>
    </w:p>
    <w:tbl>
      <w:tblPr>
        <w:tblStyle w:val="af0"/>
        <w:tblW w:w="0" w:type="auto"/>
        <w:tblLook w:val="04A0" w:firstRow="1" w:lastRow="0" w:firstColumn="1" w:lastColumn="0" w:noHBand="0" w:noVBand="1"/>
      </w:tblPr>
      <w:tblGrid>
        <w:gridCol w:w="9631"/>
      </w:tblGrid>
      <w:tr w:rsidR="00F22CFC" w:rsidRPr="004438D8" w14:paraId="1A5FE160" w14:textId="77777777" w:rsidTr="00426EEF">
        <w:tc>
          <w:tcPr>
            <w:tcW w:w="9631" w:type="dxa"/>
          </w:tcPr>
          <w:p w14:paraId="1E9DAE83" w14:textId="7937F24C" w:rsidR="00F22CFC" w:rsidRPr="00DC39F2" w:rsidRDefault="00F22CFC" w:rsidP="00F22CFC">
            <w:pPr>
              <w:rPr>
                <w:bCs/>
                <w:lang w:val="en-CA" w:eastAsia="zh-CN"/>
              </w:rPr>
            </w:pPr>
            <w:r w:rsidRPr="00E27533">
              <w:rPr>
                <w:rFonts w:cs="Times"/>
                <w:b/>
                <w:bCs/>
                <w:highlight w:val="green"/>
                <w:lang w:val="en-CA" w:eastAsia="zh-CN"/>
              </w:rPr>
              <w:t>Agreement</w:t>
            </w:r>
            <w:r>
              <w:rPr>
                <w:rFonts w:cs="Times"/>
                <w:b/>
                <w:bCs/>
                <w:highlight w:val="green"/>
                <w:lang w:val="en-CA" w:eastAsia="zh-CN"/>
              </w:rPr>
              <w:br/>
            </w:r>
            <w:r w:rsidRPr="00DC39F2">
              <w:rPr>
                <w:bCs/>
                <w:lang w:val="en-CA" w:eastAsia="zh-CN"/>
              </w:rPr>
              <w:t xml:space="preserve">For the switching between SDM scheme of single-DCI based STxMP PUSCH and Rel-17 mTRP </w:t>
            </w:r>
            <w:r w:rsidRPr="00DC39F2">
              <w:rPr>
                <w:bCs/>
                <w:lang w:eastAsia="zh-CN"/>
              </w:rPr>
              <w:t xml:space="preserve">PUSCH TDM scheme, </w:t>
            </w:r>
            <w:r w:rsidRPr="00DC39F2">
              <w:rPr>
                <w:bCs/>
                <w:lang w:val="en-CA" w:eastAsia="zh-CN"/>
              </w:rPr>
              <w:t>Alt2 is supported. FFS</w:t>
            </w:r>
            <w:r>
              <w:rPr>
                <w:bCs/>
                <w:lang w:val="en-CA" w:eastAsia="zh-CN"/>
              </w:rPr>
              <w:t>: W</w:t>
            </w:r>
            <w:r w:rsidRPr="00DC39F2">
              <w:rPr>
                <w:bCs/>
                <w:lang w:val="en-CA" w:eastAsia="zh-CN"/>
              </w:rPr>
              <w:t>hether Alt1 is supported in addition to Alt2.</w:t>
            </w:r>
          </w:p>
          <w:p w14:paraId="223C9508" w14:textId="77777777" w:rsidR="00F22CFC" w:rsidRPr="00DC39F2" w:rsidRDefault="00F22CFC" w:rsidP="00893D91">
            <w:pPr>
              <w:pStyle w:val="aff5"/>
              <w:numPr>
                <w:ilvl w:val="0"/>
                <w:numId w:val="21"/>
              </w:numPr>
              <w:snapToGrid/>
              <w:spacing w:after="0" w:afterAutospacing="0"/>
              <w:ind w:leftChars="0"/>
              <w:rPr>
                <w:bCs/>
                <w:lang w:val="en-CA" w:eastAsia="zh-CN"/>
              </w:rPr>
            </w:pPr>
            <w:r w:rsidRPr="00DC39F2">
              <w:rPr>
                <w:bCs/>
                <w:lang w:val="en-CA" w:eastAsia="zh-CN"/>
              </w:rPr>
              <w:t>Alt1: Support dynamic switching between SDM scheme of single-DCI based STxMP PUSCH and Rel-17 mTRP PUSCH TDM scheme</w:t>
            </w:r>
          </w:p>
          <w:p w14:paraId="092E2BA7" w14:textId="77777777" w:rsidR="00F22CFC" w:rsidRPr="00DC39F2" w:rsidRDefault="00F22CFC" w:rsidP="00893D91">
            <w:pPr>
              <w:pStyle w:val="aff5"/>
              <w:numPr>
                <w:ilvl w:val="1"/>
                <w:numId w:val="21"/>
              </w:numPr>
              <w:snapToGrid/>
              <w:spacing w:after="0" w:afterAutospacing="0"/>
              <w:ind w:leftChars="0"/>
              <w:rPr>
                <w:bCs/>
                <w:lang w:val="en-CA" w:eastAsia="zh-CN"/>
              </w:rPr>
            </w:pPr>
            <w:r w:rsidRPr="00DC39F2">
              <w:rPr>
                <w:bCs/>
                <w:lang w:val="en-CA" w:eastAsia="zh-CN"/>
              </w:rPr>
              <w:t>FFS: how to support dynamic switching, e.g., using the indicated PUSCH repetition number</w:t>
            </w:r>
          </w:p>
          <w:p w14:paraId="4B4D4DAE" w14:textId="77777777" w:rsidR="00F22CFC" w:rsidRPr="00DC39F2" w:rsidRDefault="00F22CFC" w:rsidP="00893D91">
            <w:pPr>
              <w:pStyle w:val="aff5"/>
              <w:numPr>
                <w:ilvl w:val="1"/>
                <w:numId w:val="21"/>
              </w:numPr>
              <w:snapToGrid/>
              <w:spacing w:after="0" w:afterAutospacing="0"/>
              <w:ind w:leftChars="0"/>
              <w:rPr>
                <w:bCs/>
                <w:lang w:val="en-CA" w:eastAsia="zh-CN"/>
              </w:rPr>
            </w:pPr>
            <w:r w:rsidRPr="00DC39F2">
              <w:rPr>
                <w:bCs/>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6FA9E5E6" w14:textId="77777777" w:rsidR="00F22CFC" w:rsidRPr="00DC39F2" w:rsidRDefault="00F22CFC" w:rsidP="00893D91">
            <w:pPr>
              <w:pStyle w:val="aff5"/>
              <w:numPr>
                <w:ilvl w:val="0"/>
                <w:numId w:val="21"/>
              </w:numPr>
              <w:snapToGrid/>
              <w:spacing w:after="0" w:afterAutospacing="0"/>
              <w:ind w:leftChars="0"/>
              <w:rPr>
                <w:bCs/>
                <w:lang w:val="en-CA" w:eastAsia="zh-CN"/>
              </w:rPr>
            </w:pPr>
            <w:r w:rsidRPr="00DC39F2">
              <w:rPr>
                <w:bCs/>
                <w:lang w:val="en-CA" w:eastAsia="zh-CN"/>
              </w:rPr>
              <w:t>Alt2: Support RRC-based switching between SDM scheme of single-DCI based STxMP PUSCH and Rel-17 mTRP PUSCH TDM scheme</w:t>
            </w:r>
          </w:p>
          <w:p w14:paraId="45459B34" w14:textId="77777777" w:rsidR="00F22CFC" w:rsidRPr="00F22CFC" w:rsidRDefault="00F22CFC" w:rsidP="00426EEF">
            <w:pPr>
              <w:rPr>
                <w:rFonts w:cs="Times"/>
                <w:lang w:val="en-CA" w:eastAsia="x-none"/>
              </w:rPr>
            </w:pPr>
          </w:p>
        </w:tc>
      </w:tr>
    </w:tbl>
    <w:p w14:paraId="6E9EA5B8" w14:textId="5D933C73" w:rsidR="00940338" w:rsidRDefault="00F22CFC" w:rsidP="00971656">
      <w:r>
        <w:br/>
      </w:r>
      <w:r w:rsidR="00AE3E48" w:rsidRPr="00AE3E48">
        <w:t>Semi-static RRC-based switching, Alt2, has already been agreed.</w:t>
      </w:r>
      <w:r w:rsidR="00AE3E48">
        <w:t xml:space="preserve"> </w:t>
      </w:r>
      <w:r w:rsidR="00AE3E48" w:rsidRPr="00AE3E48">
        <w:t>For Alt1, which is being dis</w:t>
      </w:r>
      <w:r w:rsidR="00AE3E48">
        <w:t>cussed for additional support, we</w:t>
      </w:r>
      <w:r w:rsidR="00AE3E48" w:rsidRPr="00AE3E48">
        <w:t xml:space="preserve"> agree with using the PUSCH repetition number for switching.</w:t>
      </w:r>
      <w:r w:rsidR="00AE3E48">
        <w:t xml:space="preserve"> </w:t>
      </w:r>
      <w:r w:rsidR="00971656">
        <w:t>T</w:t>
      </w:r>
      <w:r w:rsidR="007D4F31" w:rsidRPr="007D4F31">
        <w:t>he Rel-17 mTRP PUSCH TDM scheme uses the SRS resource set indicator for switching</w:t>
      </w:r>
      <w:r w:rsidR="00971656">
        <w:t xml:space="preserve"> as follows</w:t>
      </w:r>
      <w:r w:rsidR="007D4F31" w:rsidRPr="007D4F31">
        <w:t>, the Rel-18 STxMP PUSCH SDM scheme can assume a similar specification.</w:t>
      </w:r>
    </w:p>
    <w:p w14:paraId="7482DE51" w14:textId="29210A82" w:rsidR="00F05599" w:rsidRPr="00F05599" w:rsidRDefault="00F05599" w:rsidP="00971656">
      <w:pPr>
        <w:rPr>
          <w:b/>
        </w:rPr>
      </w:pPr>
      <w:r w:rsidRPr="00F05599">
        <w:rPr>
          <w:b/>
        </w:rPr>
        <w:t xml:space="preserve">Proposal 6: </w:t>
      </w:r>
      <w:r>
        <w:rPr>
          <w:b/>
        </w:rPr>
        <w:t>Support dynamic switching between Rel-18 STxMP SDM scheme and Rel-17 mTRP TDM scheme.</w:t>
      </w:r>
    </w:p>
    <w:p w14:paraId="049EE6C4" w14:textId="5F07A8C5" w:rsidR="00940338" w:rsidRDefault="00940338" w:rsidP="00F05599">
      <w:pPr>
        <w:jc w:val="center"/>
      </w:pPr>
      <w:r w:rsidRPr="00971656">
        <w:lastRenderedPageBreak/>
        <w:drawing>
          <wp:inline distT="0" distB="0" distL="0" distR="0" wp14:anchorId="43E276EA" wp14:editId="61F8D7AE">
            <wp:extent cx="5255537" cy="2540211"/>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60778" cy="2542744"/>
                    </a:xfrm>
                    <a:prstGeom prst="rect">
                      <a:avLst/>
                    </a:prstGeom>
                  </pic:spPr>
                </pic:pic>
              </a:graphicData>
            </a:graphic>
          </wp:inline>
        </w:drawing>
      </w:r>
    </w:p>
    <w:p w14:paraId="5597D250" w14:textId="68B2189D" w:rsidR="00F05599" w:rsidRPr="00F05599" w:rsidRDefault="00F05599" w:rsidP="00940338">
      <w:r w:rsidRPr="00F05599">
        <w:t>We propose the following detailed specifications.</w:t>
      </w:r>
    </w:p>
    <w:p w14:paraId="7AC8E8FB" w14:textId="141FC73E" w:rsidR="00505BF8" w:rsidRDefault="00940338" w:rsidP="00940338">
      <w:r w:rsidRPr="00940338">
        <w:rPr>
          <w:b/>
        </w:rPr>
        <w:t xml:space="preserve">When Rel-17 mTRP TDM is configured in </w:t>
      </w:r>
      <w:r w:rsidRPr="00940338">
        <w:rPr>
          <w:b/>
        </w:rPr>
        <w:t>RRC</w:t>
      </w:r>
      <w:r>
        <w:br/>
        <w:t>T</w:t>
      </w:r>
      <w:r>
        <w:t>he conventional specifications as shown in the</w:t>
      </w:r>
      <w:r>
        <w:t xml:space="preserve"> </w:t>
      </w:r>
      <w:r w:rsidR="00852BE1">
        <w:t>table 7.3.1.1.2-36 in 38.212.</w:t>
      </w:r>
    </w:p>
    <w:p w14:paraId="6B55DE4A" w14:textId="3348BE5D" w:rsidR="00F22CFC" w:rsidRDefault="00940338" w:rsidP="00971656">
      <w:r w:rsidRPr="00940338">
        <w:rPr>
          <w:b/>
        </w:rPr>
        <w:t>When Rel-1</w:t>
      </w:r>
      <w:r>
        <w:rPr>
          <w:b/>
        </w:rPr>
        <w:t>8</w:t>
      </w:r>
      <w:r w:rsidRPr="00940338">
        <w:rPr>
          <w:b/>
        </w:rPr>
        <w:t xml:space="preserve"> </w:t>
      </w:r>
      <w:r>
        <w:rPr>
          <w:b/>
        </w:rPr>
        <w:t>STxMP</w:t>
      </w:r>
      <w:r w:rsidRPr="00940338">
        <w:rPr>
          <w:b/>
        </w:rPr>
        <w:t xml:space="preserve"> </w:t>
      </w:r>
      <w:r>
        <w:rPr>
          <w:b/>
        </w:rPr>
        <w:t>SDM</w:t>
      </w:r>
      <w:r w:rsidRPr="00940338">
        <w:rPr>
          <w:b/>
        </w:rPr>
        <w:t xml:space="preserve"> is configured in </w:t>
      </w:r>
      <w:r>
        <w:rPr>
          <w:b/>
        </w:rPr>
        <w:t>RRC</w:t>
      </w:r>
      <w:r>
        <w:rPr>
          <w:b/>
        </w:rPr>
        <w:br/>
      </w:r>
      <w:r>
        <w:t>T</w:t>
      </w:r>
      <w:r w:rsidR="00971656">
        <w:t>he following specifications can be assumed: If the SRS resource set indicator indicates 0 or 1, one SRI/TPMI field is associated with one SRS resource set. If the SRS resource set indicator indicates 2 or 3, both SRS resource sets are associated with their respective SRI/TPMI fields.</w:t>
      </w:r>
      <w:r w:rsidR="00E120A5">
        <w:t xml:space="preserve"> </w:t>
      </w:r>
    </w:p>
    <w:p w14:paraId="5B79C103" w14:textId="3710D6B6" w:rsidR="00971656" w:rsidRPr="00971656" w:rsidRDefault="00940338" w:rsidP="00940338">
      <w:r w:rsidRPr="00940338">
        <w:rPr>
          <w:b/>
        </w:rPr>
        <w:t xml:space="preserve">When </w:t>
      </w:r>
      <w:r>
        <w:rPr>
          <w:b/>
        </w:rPr>
        <w:t xml:space="preserve">both Rel-17 mTRP TDM and </w:t>
      </w:r>
      <w:r w:rsidRPr="00940338">
        <w:rPr>
          <w:b/>
        </w:rPr>
        <w:t>Rel-1</w:t>
      </w:r>
      <w:r>
        <w:rPr>
          <w:b/>
        </w:rPr>
        <w:t>8</w:t>
      </w:r>
      <w:r w:rsidRPr="00940338">
        <w:rPr>
          <w:b/>
        </w:rPr>
        <w:t xml:space="preserve"> </w:t>
      </w:r>
      <w:r>
        <w:rPr>
          <w:b/>
        </w:rPr>
        <w:t>STxMP</w:t>
      </w:r>
      <w:r w:rsidRPr="00940338">
        <w:rPr>
          <w:b/>
        </w:rPr>
        <w:t xml:space="preserve"> </w:t>
      </w:r>
      <w:r>
        <w:rPr>
          <w:b/>
        </w:rPr>
        <w:t>SDM</w:t>
      </w:r>
      <w:r>
        <w:rPr>
          <w:b/>
        </w:rPr>
        <w:t xml:space="preserve"> are</w:t>
      </w:r>
      <w:r w:rsidRPr="00940338">
        <w:rPr>
          <w:b/>
        </w:rPr>
        <w:t xml:space="preserve"> configured in </w:t>
      </w:r>
      <w:r>
        <w:rPr>
          <w:b/>
        </w:rPr>
        <w:t>RRC</w:t>
      </w:r>
      <w:r>
        <w:rPr>
          <w:b/>
        </w:rPr>
        <w:br/>
      </w:r>
      <w:r>
        <w:t>Based on the repetition number</w:t>
      </w:r>
      <w:r w:rsidR="00F05599">
        <w:t xml:space="preserve"> </w:t>
      </w:r>
      <w:r w:rsidR="00F05599" w:rsidRPr="00F05599">
        <w:rPr>
          <w:i/>
        </w:rPr>
        <w:t>K</w:t>
      </w:r>
      <w:r>
        <w:t>, the interpretation of the code point of the SRS resource set indicator is changed as follows.</w:t>
      </w:r>
      <w:r>
        <w:br/>
      </w:r>
      <w:r>
        <w:t xml:space="preserve">If </w:t>
      </w:r>
      <w:r w:rsidR="00F05599" w:rsidRPr="00F05599">
        <w:rPr>
          <w:i/>
        </w:rPr>
        <w:t>K</w:t>
      </w:r>
      <w:r w:rsidR="00F05599">
        <w:t>&gt;</w:t>
      </w:r>
      <w:r>
        <w:t xml:space="preserve">1, the code point correspondence is the same as </w:t>
      </w:r>
      <w:r w:rsidR="00F05599">
        <w:t xml:space="preserve">for Rel-17 </w:t>
      </w:r>
      <w:r>
        <w:t>mTRP</w:t>
      </w:r>
      <w:r w:rsidR="00F05599">
        <w:t xml:space="preserve"> TDM</w:t>
      </w:r>
      <w:r>
        <w:t>.</w:t>
      </w:r>
      <w:r>
        <w:br/>
      </w:r>
      <w:r>
        <w:t xml:space="preserve">If </w:t>
      </w:r>
      <w:r w:rsidR="00F05599" w:rsidRPr="00F05599">
        <w:rPr>
          <w:i/>
        </w:rPr>
        <w:t>K</w:t>
      </w:r>
      <w:r w:rsidR="00F05599">
        <w:t>=</w:t>
      </w:r>
      <w:r>
        <w:t>1, the code point c</w:t>
      </w:r>
      <w:r w:rsidR="00F05599">
        <w:t>orrespondence is the same as for</w:t>
      </w:r>
      <w:r>
        <w:t xml:space="preserve"> </w:t>
      </w:r>
      <w:r w:rsidR="00F05599">
        <w:t xml:space="preserve">Rel-18 </w:t>
      </w:r>
      <w:r>
        <w:t>STxMP</w:t>
      </w:r>
      <w:r w:rsidR="00F05599">
        <w:t xml:space="preserve"> SDM</w:t>
      </w:r>
      <w:r>
        <w:t>.</w:t>
      </w:r>
    </w:p>
    <w:p w14:paraId="50252651" w14:textId="7D53F8A8" w:rsidR="00F22CFC" w:rsidRDefault="003577ED" w:rsidP="00D95CD5">
      <w:pPr>
        <w:rPr>
          <w:b/>
        </w:rPr>
      </w:pPr>
      <w:r w:rsidRPr="003577ED">
        <w:rPr>
          <w:rFonts w:hint="eastAsia"/>
          <w:b/>
        </w:rPr>
        <w:t xml:space="preserve">Proposal 7: </w:t>
      </w:r>
      <w:r>
        <w:rPr>
          <w:b/>
        </w:rPr>
        <w:t xml:space="preserve">For dynamic switching between Rel-17 mTRP TDM and Rel-18 STxMP SDM, </w:t>
      </w:r>
      <w:r w:rsidR="00852BE1">
        <w:rPr>
          <w:b/>
        </w:rPr>
        <w:t>support the following specification.</w:t>
      </w:r>
    </w:p>
    <w:p w14:paraId="5F6109F7" w14:textId="050170B6" w:rsidR="00852BE1" w:rsidRDefault="00852BE1" w:rsidP="00852BE1">
      <w:pPr>
        <w:pStyle w:val="aff5"/>
        <w:numPr>
          <w:ilvl w:val="0"/>
          <w:numId w:val="25"/>
        </w:numPr>
        <w:ind w:leftChars="0"/>
      </w:pPr>
      <w:r w:rsidRPr="00852BE1">
        <w:rPr>
          <w:b/>
        </w:rPr>
        <w:t>When Rel-17 mTRP TDM is configured in RRC</w:t>
      </w:r>
      <w:r>
        <w:br/>
        <w:t>The conventional specifications as shown in the table</w:t>
      </w:r>
      <w:r>
        <w:t xml:space="preserve"> 7.3.1.1.2-36 in 38.212</w:t>
      </w:r>
      <w:r>
        <w:t>.</w:t>
      </w:r>
      <w:r>
        <w:br/>
      </w:r>
    </w:p>
    <w:p w14:paraId="28C82EC9" w14:textId="6C0E4C92" w:rsidR="00852BE1" w:rsidRDefault="00852BE1" w:rsidP="00852BE1">
      <w:pPr>
        <w:pStyle w:val="aff5"/>
        <w:numPr>
          <w:ilvl w:val="0"/>
          <w:numId w:val="25"/>
        </w:numPr>
        <w:ind w:leftChars="0"/>
      </w:pPr>
      <w:r w:rsidRPr="00852BE1">
        <w:rPr>
          <w:b/>
        </w:rPr>
        <w:t>When Rel-18 STxMP SDM is configured in RRC</w:t>
      </w:r>
      <w:r w:rsidRPr="00852BE1">
        <w:rPr>
          <w:b/>
        </w:rPr>
        <w:br/>
      </w:r>
      <w:r>
        <w:t xml:space="preserve">The following specifications can be assumed: If the SRS resource set indicator indicates 0 or 1, one SRI/TPMI field is associated with one SRS resource set. If the SRS resource set indicator indicates 2 or 3, both SRS resource sets are associated with their respective SRI/TPMI fields. </w:t>
      </w:r>
      <w:r>
        <w:br/>
      </w:r>
    </w:p>
    <w:p w14:paraId="22B797A2" w14:textId="447A7AA3" w:rsidR="00852BE1" w:rsidRPr="00971656" w:rsidRDefault="00852BE1" w:rsidP="00EA4487">
      <w:pPr>
        <w:pStyle w:val="aff5"/>
        <w:numPr>
          <w:ilvl w:val="0"/>
          <w:numId w:val="25"/>
        </w:numPr>
        <w:ind w:leftChars="0"/>
      </w:pPr>
      <w:r w:rsidRPr="00852BE1">
        <w:rPr>
          <w:b/>
        </w:rPr>
        <w:t>When both Rel-17 mTRP TDM and Rel-18 STxMP SDM are configured in RRC</w:t>
      </w:r>
      <w:r w:rsidRPr="00852BE1">
        <w:rPr>
          <w:b/>
        </w:rPr>
        <w:br/>
      </w:r>
      <w:r>
        <w:t xml:space="preserve">Based on the repetition number </w:t>
      </w:r>
      <w:r w:rsidRPr="00852BE1">
        <w:rPr>
          <w:i/>
        </w:rPr>
        <w:t>K</w:t>
      </w:r>
      <w:r w:rsidR="00EA4487" w:rsidRPr="00EA4487">
        <w:t>(</w:t>
      </w:r>
      <w:r w:rsidR="00EA4487" w:rsidRPr="00EA4487">
        <w:rPr>
          <w:i/>
        </w:rPr>
        <w:t>numberOfRepetitions</w:t>
      </w:r>
      <w:r w:rsidR="00EA4487" w:rsidRPr="00EA4487">
        <w:t>)</w:t>
      </w:r>
      <w:r>
        <w:t>, the interpretation of the code point of the SRS resource set indicator is changed as follows.</w:t>
      </w:r>
      <w:r>
        <w:br/>
        <w:t xml:space="preserve">If </w:t>
      </w:r>
      <w:r w:rsidRPr="00852BE1">
        <w:rPr>
          <w:i/>
        </w:rPr>
        <w:t>K</w:t>
      </w:r>
      <w:r>
        <w:t>&gt;1, the code point correspondence is the same as for Rel-17 mTRP TDM.</w:t>
      </w:r>
      <w:r>
        <w:br/>
        <w:t xml:space="preserve">If </w:t>
      </w:r>
      <w:r w:rsidRPr="00852BE1">
        <w:rPr>
          <w:i/>
        </w:rPr>
        <w:t>K</w:t>
      </w:r>
      <w:r>
        <w:t>=1, the code point correspondence is the same as for Rel-18 STxMP SDM.</w:t>
      </w:r>
    </w:p>
    <w:p w14:paraId="0E65BF81" w14:textId="77777777" w:rsidR="001A5EBC" w:rsidRDefault="001A5EBC" w:rsidP="00F55536">
      <w:pPr>
        <w:rPr>
          <w:b/>
        </w:rPr>
      </w:pP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F3FFA97" w14:textId="77777777" w:rsidR="00EA4487" w:rsidRDefault="00EA4487" w:rsidP="00EA4487">
      <w:pPr>
        <w:rPr>
          <w:b/>
        </w:rPr>
      </w:pPr>
      <w:r w:rsidRPr="00FA13DE">
        <w:rPr>
          <w:b/>
        </w:rPr>
        <w:t xml:space="preserve">Observation 1: </w:t>
      </w:r>
      <w:r w:rsidRPr="00FA13DE">
        <w:rPr>
          <w:b/>
          <w:i/>
        </w:rPr>
        <w:t>L</w:t>
      </w:r>
      <w:r w:rsidRPr="00FA13DE">
        <w:rPr>
          <w:b/>
        </w:rPr>
        <w:t xml:space="preserve"> should be the sum of </w:t>
      </w:r>
      <w:r w:rsidRPr="00FA13DE">
        <w:rPr>
          <w:b/>
          <w:i/>
        </w:rPr>
        <w:t>L</w:t>
      </w:r>
      <w:r w:rsidRPr="00FA13DE">
        <w:rPr>
          <w:b/>
          <w:vertAlign w:val="subscript"/>
        </w:rPr>
        <w:t>1</w:t>
      </w:r>
      <w:r w:rsidRPr="00FA13DE">
        <w:rPr>
          <w:b/>
        </w:rPr>
        <w:t xml:space="preserve"> + </w:t>
      </w:r>
      <w:r w:rsidRPr="00FA13DE">
        <w:rPr>
          <w:b/>
          <w:i/>
        </w:rPr>
        <w:t>L</w:t>
      </w:r>
      <w:r w:rsidRPr="00FA13DE">
        <w:rPr>
          <w:b/>
          <w:vertAlign w:val="subscript"/>
        </w:rPr>
        <w:t>2</w:t>
      </w:r>
      <w:r w:rsidRPr="00FA13DE">
        <w:rPr>
          <w:b/>
        </w:rPr>
        <w:t>.</w:t>
      </w:r>
    </w:p>
    <w:p w14:paraId="047D5B3C" w14:textId="77777777" w:rsidR="00EA4487" w:rsidRPr="00FA13DE" w:rsidRDefault="00EA4487" w:rsidP="00EA4487">
      <w:pPr>
        <w:rPr>
          <w:b/>
        </w:rPr>
      </w:pPr>
      <w:r>
        <w:rPr>
          <w:b/>
        </w:rPr>
        <w:t>Observation 2: Second TPMI field can indicate only the same number of layers indicated by first TPMI field.</w:t>
      </w:r>
    </w:p>
    <w:p w14:paraId="5821C152" w14:textId="77777777" w:rsidR="00EA4487" w:rsidRDefault="00EA4487" w:rsidP="00EA4487">
      <w:pPr>
        <w:rPr>
          <w:b/>
          <w:bCs/>
        </w:rPr>
      </w:pPr>
      <w:r w:rsidRPr="005B2292">
        <w:rPr>
          <w:rFonts w:hint="eastAsia"/>
          <w:b/>
          <w:bCs/>
        </w:rPr>
        <w:t>P</w:t>
      </w:r>
      <w:r w:rsidRPr="005B2292">
        <w:rPr>
          <w:b/>
          <w:bCs/>
        </w:rPr>
        <w:t xml:space="preserve">roposal 1: </w:t>
      </w:r>
      <w:r w:rsidRPr="00FA13DE">
        <w:rPr>
          <w:b/>
          <w:bCs/>
        </w:rPr>
        <w:t xml:space="preserve">The second TPMI field should indicate </w:t>
      </w:r>
      <w:r w:rsidRPr="00FA13DE">
        <w:rPr>
          <w:b/>
          <w:bCs/>
          <w:i/>
        </w:rPr>
        <w:t>L</w:t>
      </w:r>
      <w:r w:rsidRPr="00FA13DE">
        <w:rPr>
          <w:b/>
          <w:bCs/>
          <w:vertAlign w:val="subscript"/>
        </w:rPr>
        <w:t>2</w:t>
      </w:r>
      <w:r w:rsidRPr="00FA13DE">
        <w:rPr>
          <w:b/>
          <w:bCs/>
        </w:rPr>
        <w:t xml:space="preserve"> independently of </w:t>
      </w:r>
      <w:r w:rsidRPr="00FA13DE">
        <w:rPr>
          <w:b/>
          <w:bCs/>
          <w:i/>
        </w:rPr>
        <w:t>L</w:t>
      </w:r>
      <w:r w:rsidRPr="00FA13DE">
        <w:rPr>
          <w:b/>
          <w:bCs/>
          <w:vertAlign w:val="subscript"/>
        </w:rPr>
        <w:t>1</w:t>
      </w:r>
      <w:r>
        <w:rPr>
          <w:b/>
          <w:bCs/>
        </w:rPr>
        <w:t>.</w:t>
      </w:r>
    </w:p>
    <w:p w14:paraId="22024D4B" w14:textId="77777777" w:rsidR="00EA4487" w:rsidRDefault="00EA4487" w:rsidP="00EA4487">
      <w:pPr>
        <w:rPr>
          <w:b/>
          <w:bCs/>
        </w:rPr>
      </w:pPr>
      <w:r w:rsidRPr="005B2292">
        <w:rPr>
          <w:rFonts w:hint="eastAsia"/>
          <w:b/>
          <w:bCs/>
        </w:rPr>
        <w:t>P</w:t>
      </w:r>
      <w:r w:rsidRPr="005B2292">
        <w:rPr>
          <w:b/>
          <w:bCs/>
        </w:rPr>
        <w:t xml:space="preserve">roposal </w:t>
      </w:r>
      <w:r>
        <w:rPr>
          <w:b/>
          <w:bCs/>
        </w:rPr>
        <w:t>2</w:t>
      </w:r>
      <w:r w:rsidRPr="005B2292">
        <w:rPr>
          <w:b/>
          <w:bCs/>
        </w:rPr>
        <w:t xml:space="preserve">: </w:t>
      </w:r>
      <w:r>
        <w:rPr>
          <w:b/>
          <w:bCs/>
        </w:rPr>
        <w:t>Expand the second TPMI field to 6 bits for</w:t>
      </w:r>
      <w:r w:rsidRPr="00FA13DE">
        <w:rPr>
          <w:b/>
          <w:bCs/>
        </w:rPr>
        <w:t xml:space="preserve"> an independent number of layers</w:t>
      </w:r>
      <w:r>
        <w:rPr>
          <w:b/>
          <w:bCs/>
        </w:rPr>
        <w:t xml:space="preserve"> </w:t>
      </w:r>
      <w:r w:rsidRPr="00500C21">
        <w:rPr>
          <w:b/>
          <w:bCs/>
          <w:i/>
        </w:rPr>
        <w:t>L</w:t>
      </w:r>
      <w:r w:rsidRPr="00500C21">
        <w:rPr>
          <w:b/>
          <w:bCs/>
          <w:vertAlign w:val="subscript"/>
        </w:rPr>
        <w:t>2</w:t>
      </w:r>
      <w:r>
        <w:rPr>
          <w:b/>
          <w:bCs/>
        </w:rPr>
        <w:t>.</w:t>
      </w:r>
    </w:p>
    <w:p w14:paraId="5CEB0FCE" w14:textId="40CA3903" w:rsidR="00EA4487" w:rsidRDefault="00EA4487" w:rsidP="00EA4487">
      <w:r w:rsidRPr="0057510D">
        <w:rPr>
          <w:b/>
          <w:lang w:val="en-CA" w:eastAsia="zh-CN"/>
        </w:rPr>
        <w:t xml:space="preserve">Proposal 3: </w:t>
      </w:r>
      <w:r>
        <w:rPr>
          <w:b/>
          <w:lang w:val="en-CA" w:eastAsia="zh-CN"/>
        </w:rPr>
        <w:t>T</w:t>
      </w:r>
      <w:r w:rsidRPr="0057510D">
        <w:rPr>
          <w:b/>
          <w:lang w:val="en-CA" w:eastAsia="zh-CN"/>
        </w:rPr>
        <w:t xml:space="preserve">he DMRS ports associated with two TPMI/SRI fields </w:t>
      </w:r>
      <w:r>
        <w:rPr>
          <w:b/>
          <w:lang w:val="en-CA" w:eastAsia="zh-CN"/>
        </w:rPr>
        <w:t>should</w:t>
      </w:r>
      <w:r w:rsidRPr="0057510D">
        <w:rPr>
          <w:b/>
          <w:lang w:val="en-CA" w:eastAsia="zh-CN"/>
        </w:rPr>
        <w:t xml:space="preserve"> be in different CDM groups</w:t>
      </w:r>
      <w:r>
        <w:rPr>
          <w:b/>
          <w:lang w:val="en-CA" w:eastAsia="zh-CN"/>
        </w:rPr>
        <w:t xml:space="preserve"> in the SDM scheme</w:t>
      </w:r>
      <w:r w:rsidRPr="0057510D">
        <w:rPr>
          <w:b/>
          <w:lang w:val="en-CA" w:eastAsia="zh-CN"/>
        </w:rPr>
        <w:t>.</w:t>
      </w:r>
    </w:p>
    <w:p w14:paraId="4449F596" w14:textId="77777777" w:rsidR="00EA4487" w:rsidRDefault="00EA4487" w:rsidP="00EA4487">
      <w:pPr>
        <w:rPr>
          <w:b/>
          <w:bCs/>
        </w:rPr>
      </w:pPr>
      <w:r w:rsidRPr="00337719">
        <w:rPr>
          <w:b/>
          <w:bCs/>
        </w:rPr>
        <w:t>Proposal 4: The relationship between the SRI/TPMI field and the SRS resource set should be discussed on the basis of the following</w:t>
      </w:r>
      <w:r>
        <w:rPr>
          <w:b/>
          <w:bCs/>
        </w:rPr>
        <w:t>.</w:t>
      </w:r>
    </w:p>
    <w:p w14:paraId="645F5794" w14:textId="77777777" w:rsidR="00EA4487" w:rsidRDefault="00EA4487" w:rsidP="00EA4487">
      <w:pPr>
        <w:pStyle w:val="aff5"/>
        <w:numPr>
          <w:ilvl w:val="0"/>
          <w:numId w:val="24"/>
        </w:numPr>
        <w:ind w:leftChars="0"/>
        <w:rPr>
          <w:b/>
          <w:bCs/>
        </w:rPr>
      </w:pPr>
      <w:r>
        <w:rPr>
          <w:b/>
          <w:bCs/>
        </w:rPr>
        <w:t>The first SRI/TPMI fields</w:t>
      </w:r>
      <w:r w:rsidRPr="00337719">
        <w:t xml:space="preserve"> </w:t>
      </w:r>
      <w:r w:rsidRPr="00337719">
        <w:rPr>
          <w:b/>
          <w:bCs/>
        </w:rPr>
        <w:t>are associated with the first SRS resource set</w:t>
      </w:r>
      <w:r>
        <w:rPr>
          <w:b/>
          <w:bCs/>
        </w:rPr>
        <w:t>.</w:t>
      </w:r>
    </w:p>
    <w:p w14:paraId="38AFABAC" w14:textId="77777777" w:rsidR="00EA4487" w:rsidRPr="00337719" w:rsidRDefault="00EA4487" w:rsidP="00EA4487">
      <w:pPr>
        <w:pStyle w:val="aff5"/>
        <w:numPr>
          <w:ilvl w:val="0"/>
          <w:numId w:val="24"/>
        </w:numPr>
        <w:ind w:leftChars="0"/>
        <w:rPr>
          <w:b/>
          <w:bCs/>
        </w:rPr>
      </w:pPr>
      <w:r>
        <w:rPr>
          <w:rFonts w:hint="eastAsia"/>
          <w:b/>
          <w:bCs/>
        </w:rPr>
        <w:t>T</w:t>
      </w:r>
      <w:r>
        <w:rPr>
          <w:b/>
          <w:bCs/>
        </w:rPr>
        <w:t>he second SRI/TPMI fields</w:t>
      </w:r>
      <w:r w:rsidRPr="00337719">
        <w:t xml:space="preserve"> </w:t>
      </w:r>
      <w:r w:rsidRPr="00337719">
        <w:rPr>
          <w:b/>
          <w:bCs/>
        </w:rPr>
        <w:t xml:space="preserve">are associated with the </w:t>
      </w:r>
      <w:r>
        <w:rPr>
          <w:b/>
          <w:bCs/>
        </w:rPr>
        <w:t>second</w:t>
      </w:r>
      <w:r w:rsidRPr="00337719">
        <w:rPr>
          <w:b/>
          <w:bCs/>
        </w:rPr>
        <w:t xml:space="preserve"> SRS resource set</w:t>
      </w:r>
      <w:r>
        <w:rPr>
          <w:b/>
          <w:bCs/>
        </w:rPr>
        <w:t>.</w:t>
      </w:r>
    </w:p>
    <w:p w14:paraId="6CD00BA6" w14:textId="4542CF69" w:rsidR="00EA4487" w:rsidRPr="00EA4487" w:rsidRDefault="00EA4487" w:rsidP="00EA4487">
      <w:pPr>
        <w:rPr>
          <w:b/>
        </w:rPr>
      </w:pPr>
      <w:r w:rsidRPr="00EA4487">
        <w:rPr>
          <w:b/>
        </w:rPr>
        <w:t>Proposal 5: For the indication of dynamic switching between SDM scheme and sTRP transmission, support the use of the SRS resource set indicator.</w:t>
      </w:r>
    </w:p>
    <w:p w14:paraId="576D638E" w14:textId="77777777" w:rsidR="00EA4487" w:rsidRPr="00F05599" w:rsidRDefault="00EA4487" w:rsidP="00EA4487">
      <w:pPr>
        <w:rPr>
          <w:b/>
        </w:rPr>
      </w:pPr>
      <w:r w:rsidRPr="00F05599">
        <w:rPr>
          <w:b/>
        </w:rPr>
        <w:t xml:space="preserve">Proposal 6: </w:t>
      </w:r>
      <w:r>
        <w:rPr>
          <w:b/>
        </w:rPr>
        <w:t>Support dynamic switching between Rel-18 STxMP SDM scheme and Rel-17 mTRP TDM scheme.</w:t>
      </w:r>
    </w:p>
    <w:p w14:paraId="04C9A14A" w14:textId="77777777" w:rsidR="00EA4487" w:rsidRDefault="00EA4487" w:rsidP="00EA4487">
      <w:pPr>
        <w:rPr>
          <w:b/>
        </w:rPr>
      </w:pPr>
      <w:r w:rsidRPr="003577ED">
        <w:rPr>
          <w:rFonts w:hint="eastAsia"/>
          <w:b/>
        </w:rPr>
        <w:t xml:space="preserve">Proposal 7: </w:t>
      </w:r>
      <w:r>
        <w:rPr>
          <w:b/>
        </w:rPr>
        <w:t>For dynamic switching between Rel-17 mTRP TDM and Rel-18 STxMP SDM, support the following specification.</w:t>
      </w:r>
    </w:p>
    <w:p w14:paraId="463D54D8" w14:textId="77777777" w:rsidR="00EA4487" w:rsidRDefault="00EA4487" w:rsidP="00EA4487">
      <w:pPr>
        <w:pStyle w:val="aff5"/>
        <w:numPr>
          <w:ilvl w:val="0"/>
          <w:numId w:val="25"/>
        </w:numPr>
        <w:ind w:leftChars="0"/>
      </w:pPr>
      <w:r w:rsidRPr="00852BE1">
        <w:rPr>
          <w:b/>
        </w:rPr>
        <w:t>When Rel-17 mTRP TDM is configured in RRC</w:t>
      </w:r>
      <w:r>
        <w:br/>
        <w:t>The conventional specifications as shown in the table 7.3.1.1.2-36 in 38.212.</w:t>
      </w:r>
      <w:r>
        <w:br/>
      </w:r>
    </w:p>
    <w:p w14:paraId="39ECCED1" w14:textId="77777777" w:rsidR="00EA4487" w:rsidRDefault="00EA4487" w:rsidP="00EA4487">
      <w:pPr>
        <w:pStyle w:val="aff5"/>
        <w:numPr>
          <w:ilvl w:val="0"/>
          <w:numId w:val="25"/>
        </w:numPr>
        <w:ind w:leftChars="0"/>
      </w:pPr>
      <w:r w:rsidRPr="00852BE1">
        <w:rPr>
          <w:b/>
        </w:rPr>
        <w:t>When Rel-18 STxMP SDM is configured in RRC</w:t>
      </w:r>
      <w:r w:rsidRPr="00852BE1">
        <w:rPr>
          <w:b/>
        </w:rPr>
        <w:br/>
      </w:r>
      <w:r>
        <w:t xml:space="preserve">The following specifications can be assumed: If the SRS resource set indicator indicates 0 or 1, one SRI/TPMI field is associated with one SRS resource set. If the SRS resource set indicator indicates 2 or 3, both SRS resource sets are associated with their respective SRI/TPMI fields. </w:t>
      </w:r>
      <w:r>
        <w:br/>
      </w:r>
    </w:p>
    <w:p w14:paraId="4CC6F46D" w14:textId="77777777" w:rsidR="00EA4487" w:rsidRPr="00971656" w:rsidRDefault="00EA4487" w:rsidP="00EA4487">
      <w:pPr>
        <w:pStyle w:val="aff5"/>
        <w:numPr>
          <w:ilvl w:val="0"/>
          <w:numId w:val="25"/>
        </w:numPr>
        <w:ind w:leftChars="0"/>
      </w:pPr>
      <w:r w:rsidRPr="00852BE1">
        <w:rPr>
          <w:b/>
        </w:rPr>
        <w:t>When both Rel-17 mTRP TDM and Rel-18 STxMP SDM are configured in RRC</w:t>
      </w:r>
      <w:r w:rsidRPr="00852BE1">
        <w:rPr>
          <w:b/>
        </w:rPr>
        <w:br/>
      </w:r>
      <w:r>
        <w:t xml:space="preserve">Based on the repetition number </w:t>
      </w:r>
      <w:r w:rsidRPr="00852BE1">
        <w:rPr>
          <w:i/>
        </w:rPr>
        <w:t>K</w:t>
      </w:r>
      <w:r w:rsidRPr="00EA4487">
        <w:t>(</w:t>
      </w:r>
      <w:r w:rsidRPr="00EA4487">
        <w:rPr>
          <w:i/>
        </w:rPr>
        <w:t>numberOfRepetitions</w:t>
      </w:r>
      <w:r w:rsidRPr="00EA4487">
        <w:t>)</w:t>
      </w:r>
      <w:r>
        <w:t>, the interpretation of the code point of the SRS resource set indicator is changed as follows.</w:t>
      </w:r>
      <w:r>
        <w:br/>
        <w:t xml:space="preserve">If </w:t>
      </w:r>
      <w:r w:rsidRPr="00852BE1">
        <w:rPr>
          <w:i/>
        </w:rPr>
        <w:t>K</w:t>
      </w:r>
      <w:r>
        <w:t>&gt;1, the code point correspondence is the same as for Rel-17 mTRP TDM.</w:t>
      </w:r>
      <w:r>
        <w:br/>
        <w:t xml:space="preserve">If </w:t>
      </w:r>
      <w:r w:rsidRPr="00852BE1">
        <w:rPr>
          <w:i/>
        </w:rPr>
        <w:t>K</w:t>
      </w:r>
      <w:r>
        <w:t>=1, the code point correspondence is the same as for Rel-18 STxMP SDM.</w:t>
      </w:r>
    </w:p>
    <w:p w14:paraId="5ACB7D5D" w14:textId="569BA173" w:rsidR="00771F5C" w:rsidRPr="00EA4487" w:rsidRDefault="00771F5C" w:rsidP="00EA4487">
      <w:pPr>
        <w:rPr>
          <w:b/>
          <w:bCs/>
        </w:rPr>
      </w:pPr>
      <w:bookmarkStart w:id="3" w:name="_GoBack"/>
      <w:bookmarkEnd w:id="3"/>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268060D" w14:textId="240E640B" w:rsidR="00EF4582" w:rsidRDefault="00EF4582" w:rsidP="00EF4582">
      <w:pPr>
        <w:pStyle w:val="textintend2"/>
        <w:widowControl w:val="0"/>
        <w:spacing w:after="0"/>
        <w:rPr>
          <w:szCs w:val="24"/>
          <w:lang w:eastAsia="ja-JP"/>
        </w:rPr>
      </w:pPr>
      <w:r w:rsidRPr="00EF4582">
        <w:rPr>
          <w:szCs w:val="24"/>
          <w:lang w:eastAsia="ja-JP"/>
        </w:rPr>
        <w:t>RAN Meeting#94, RP-213598, New WID: MIMO Evolution for Downlink and Uplink</w:t>
      </w:r>
    </w:p>
    <w:p w14:paraId="0B442E9C" w14:textId="19A9E498" w:rsidR="00161AD5" w:rsidRPr="00EF4582" w:rsidRDefault="00EF4582" w:rsidP="00EF4582">
      <w:pPr>
        <w:pStyle w:val="textintend2"/>
        <w:widowControl w:val="0"/>
        <w:spacing w:after="0"/>
        <w:rPr>
          <w:szCs w:val="24"/>
          <w:lang w:eastAsia="ja-JP"/>
        </w:rPr>
      </w:pPr>
      <w:r w:rsidRPr="00EF4582">
        <w:rPr>
          <w:szCs w:val="24"/>
          <w:lang w:eastAsia="ja-JP"/>
        </w:rPr>
        <w:t>RAN1 Meetin</w:t>
      </w:r>
      <w:r>
        <w:rPr>
          <w:szCs w:val="24"/>
          <w:lang w:eastAsia="ja-JP"/>
        </w:rPr>
        <w:t>g#110</w:t>
      </w:r>
      <w:r w:rsidR="00287A56">
        <w:rPr>
          <w:szCs w:val="24"/>
          <w:lang w:eastAsia="ja-JP"/>
        </w:rPr>
        <w:t>b-e</w:t>
      </w:r>
      <w:r>
        <w:rPr>
          <w:szCs w:val="24"/>
          <w:lang w:eastAsia="ja-JP"/>
        </w:rPr>
        <w:t>, Chair's notes RAN1#110</w:t>
      </w:r>
      <w:r w:rsidR="00287A56">
        <w:rPr>
          <w:szCs w:val="24"/>
          <w:lang w:eastAsia="ja-JP"/>
        </w:rPr>
        <w:t>b-e</w:t>
      </w:r>
      <w:r w:rsidRPr="00EF4582">
        <w:rPr>
          <w:szCs w:val="24"/>
          <w:lang w:eastAsia="ja-JP"/>
        </w:rPr>
        <w:t>.</w:t>
      </w:r>
    </w:p>
    <w:sectPr w:rsidR="00161AD5" w:rsidRPr="00EF4582"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15795" w14:textId="77777777" w:rsidR="00B863D4" w:rsidRDefault="00B863D4">
      <w:r>
        <w:separator/>
      </w:r>
    </w:p>
  </w:endnote>
  <w:endnote w:type="continuationSeparator" w:id="0">
    <w:p w14:paraId="60EDE203" w14:textId="77777777" w:rsidR="00B863D4" w:rsidRDefault="00B863D4">
      <w:r>
        <w:continuationSeparator/>
      </w:r>
    </w:p>
  </w:endnote>
  <w:endnote w:type="continuationNotice" w:id="1">
    <w:p w14:paraId="40A5AD5E" w14:textId="77777777" w:rsidR="00B863D4" w:rsidRDefault="00B86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SimSun"/>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sidR="00772127">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0EFA9" w14:textId="77777777" w:rsidR="00B863D4" w:rsidRDefault="00B863D4">
      <w:r>
        <w:separator/>
      </w:r>
    </w:p>
  </w:footnote>
  <w:footnote w:type="continuationSeparator" w:id="0">
    <w:p w14:paraId="360618FC" w14:textId="77777777" w:rsidR="00B863D4" w:rsidRDefault="00B863D4">
      <w:r>
        <w:continuationSeparator/>
      </w:r>
    </w:p>
  </w:footnote>
  <w:footnote w:type="continuationNotice" w:id="1">
    <w:p w14:paraId="4F428BAF" w14:textId="77777777" w:rsidR="00B863D4" w:rsidRDefault="00B863D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16807"/>
    <w:multiLevelType w:val="hybridMultilevel"/>
    <w:tmpl w:val="7B722D1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4A1FC1"/>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1F830BE9"/>
    <w:multiLevelType w:val="hybridMultilevel"/>
    <w:tmpl w:val="8F7854D8"/>
    <w:lvl w:ilvl="0" w:tplc="CE7E72F4">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BB4F71"/>
    <w:multiLevelType w:val="hybridMultilevel"/>
    <w:tmpl w:val="D1DA0EE8"/>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95059E"/>
    <w:multiLevelType w:val="hybridMultilevel"/>
    <w:tmpl w:val="4EAA5F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A7B33D3"/>
    <w:multiLevelType w:val="hybridMultilevel"/>
    <w:tmpl w:val="DCF647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2"/>
  </w:num>
  <w:num w:numId="8">
    <w:abstractNumId w:val="4"/>
  </w:num>
  <w:num w:numId="9">
    <w:abstractNumId w:val="22"/>
  </w:num>
  <w:num w:numId="10">
    <w:abstractNumId w:val="11"/>
  </w:num>
  <w:num w:numId="11">
    <w:abstractNumId w:val="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8"/>
  </w:num>
  <w:num w:numId="15">
    <w:abstractNumId w:val="2"/>
  </w:num>
  <w:num w:numId="16">
    <w:abstractNumId w:val="23"/>
  </w:num>
  <w:num w:numId="17">
    <w:abstractNumId w:val="3"/>
  </w:num>
  <w:num w:numId="18">
    <w:abstractNumId w:val="10"/>
  </w:num>
  <w:num w:numId="19">
    <w:abstractNumId w:val="1"/>
  </w:num>
  <w:num w:numId="20">
    <w:abstractNumId w:val="21"/>
  </w:num>
  <w:num w:numId="21">
    <w:abstractNumId w:val="9"/>
  </w:num>
  <w:num w:numId="22">
    <w:abstractNumId w:val="16"/>
  </w:num>
  <w:num w:numId="23">
    <w:abstractNumId w:val="15"/>
  </w:num>
  <w:num w:numId="24">
    <w:abstractNumId w:val="8"/>
  </w:num>
  <w:num w:numId="25">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2F00"/>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17"/>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3BC"/>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6F60"/>
    <w:rsid w:val="00047314"/>
    <w:rsid w:val="00047550"/>
    <w:rsid w:val="00047B0F"/>
    <w:rsid w:val="00047D0A"/>
    <w:rsid w:val="00050489"/>
    <w:rsid w:val="000509A1"/>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02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79A"/>
    <w:rsid w:val="000C3E9A"/>
    <w:rsid w:val="000C3F22"/>
    <w:rsid w:val="000C4556"/>
    <w:rsid w:val="000C46F8"/>
    <w:rsid w:val="000C4720"/>
    <w:rsid w:val="000C4DAD"/>
    <w:rsid w:val="000C532C"/>
    <w:rsid w:val="000C5C7F"/>
    <w:rsid w:val="000C5D37"/>
    <w:rsid w:val="000C5E63"/>
    <w:rsid w:val="000C5F63"/>
    <w:rsid w:val="000C60F4"/>
    <w:rsid w:val="000C6237"/>
    <w:rsid w:val="000C645A"/>
    <w:rsid w:val="000C6724"/>
    <w:rsid w:val="000C6806"/>
    <w:rsid w:val="000C6A91"/>
    <w:rsid w:val="000C6C38"/>
    <w:rsid w:val="000C6F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38"/>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2FA7"/>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71A"/>
    <w:rsid w:val="00141907"/>
    <w:rsid w:val="00141971"/>
    <w:rsid w:val="00141D1E"/>
    <w:rsid w:val="00141D89"/>
    <w:rsid w:val="00141E74"/>
    <w:rsid w:val="00141EA8"/>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6CC"/>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BCC"/>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8B"/>
    <w:rsid w:val="001A59FB"/>
    <w:rsid w:val="001A5D19"/>
    <w:rsid w:val="001A5EBC"/>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7CB"/>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C77"/>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60"/>
    <w:rsid w:val="002527F5"/>
    <w:rsid w:val="00252A5A"/>
    <w:rsid w:val="00252A6A"/>
    <w:rsid w:val="00252BC3"/>
    <w:rsid w:val="00252DF6"/>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429"/>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A56"/>
    <w:rsid w:val="00287CE1"/>
    <w:rsid w:val="002900A5"/>
    <w:rsid w:val="00290242"/>
    <w:rsid w:val="00291147"/>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C33"/>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65F"/>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213"/>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6DE4"/>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39"/>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78B"/>
    <w:rsid w:val="003039ED"/>
    <w:rsid w:val="00303BBE"/>
    <w:rsid w:val="00303F66"/>
    <w:rsid w:val="003040F3"/>
    <w:rsid w:val="0030435D"/>
    <w:rsid w:val="0030454B"/>
    <w:rsid w:val="003045AC"/>
    <w:rsid w:val="0030515C"/>
    <w:rsid w:val="0030560B"/>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E8D"/>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7D3"/>
    <w:rsid w:val="0033597C"/>
    <w:rsid w:val="00335B0B"/>
    <w:rsid w:val="0033618B"/>
    <w:rsid w:val="00336348"/>
    <w:rsid w:val="003363C0"/>
    <w:rsid w:val="00336491"/>
    <w:rsid w:val="0033652E"/>
    <w:rsid w:val="0033678C"/>
    <w:rsid w:val="003367E2"/>
    <w:rsid w:val="00336920"/>
    <w:rsid w:val="00337518"/>
    <w:rsid w:val="003375EA"/>
    <w:rsid w:val="00337719"/>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1C3"/>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7ED"/>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1D8"/>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35A"/>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14B"/>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5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5D1"/>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D5B"/>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A55"/>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361"/>
    <w:rsid w:val="004524CA"/>
    <w:rsid w:val="00452672"/>
    <w:rsid w:val="00452686"/>
    <w:rsid w:val="004528A3"/>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E89"/>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9FA"/>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58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DBC"/>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375"/>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3C4"/>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C21"/>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BF8"/>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04"/>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872"/>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10"/>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3FEB"/>
    <w:rsid w:val="005540CC"/>
    <w:rsid w:val="00554287"/>
    <w:rsid w:val="005544D4"/>
    <w:rsid w:val="005544E4"/>
    <w:rsid w:val="005546C5"/>
    <w:rsid w:val="0055477D"/>
    <w:rsid w:val="005548F6"/>
    <w:rsid w:val="005555E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1A6"/>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10D"/>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86C"/>
    <w:rsid w:val="005809E4"/>
    <w:rsid w:val="00580A79"/>
    <w:rsid w:val="00580E59"/>
    <w:rsid w:val="005812BE"/>
    <w:rsid w:val="0058138A"/>
    <w:rsid w:val="005814BF"/>
    <w:rsid w:val="00581724"/>
    <w:rsid w:val="00581847"/>
    <w:rsid w:val="00581C3A"/>
    <w:rsid w:val="00582005"/>
    <w:rsid w:val="00582296"/>
    <w:rsid w:val="005822E0"/>
    <w:rsid w:val="00582403"/>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9F"/>
    <w:rsid w:val="005868E6"/>
    <w:rsid w:val="00586B6B"/>
    <w:rsid w:val="00586BB2"/>
    <w:rsid w:val="00586EB1"/>
    <w:rsid w:val="005873F7"/>
    <w:rsid w:val="005875FC"/>
    <w:rsid w:val="00587FDC"/>
    <w:rsid w:val="00590967"/>
    <w:rsid w:val="005909AF"/>
    <w:rsid w:val="00591283"/>
    <w:rsid w:val="00591534"/>
    <w:rsid w:val="0059174A"/>
    <w:rsid w:val="00591BB8"/>
    <w:rsid w:val="00591E71"/>
    <w:rsid w:val="005920B9"/>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37C"/>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002"/>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B05"/>
    <w:rsid w:val="00626C1D"/>
    <w:rsid w:val="00627037"/>
    <w:rsid w:val="00627144"/>
    <w:rsid w:val="00627385"/>
    <w:rsid w:val="0062738A"/>
    <w:rsid w:val="00627A79"/>
    <w:rsid w:val="00627CCC"/>
    <w:rsid w:val="00627EC6"/>
    <w:rsid w:val="0063007D"/>
    <w:rsid w:val="00630297"/>
    <w:rsid w:val="006303C8"/>
    <w:rsid w:val="00630616"/>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5C9"/>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4B6"/>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53"/>
    <w:rsid w:val="0066426C"/>
    <w:rsid w:val="00664845"/>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64D"/>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48"/>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186"/>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C7B92"/>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90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327"/>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6B4"/>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4FE8"/>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58"/>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6DA6"/>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11C"/>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46C"/>
    <w:rsid w:val="007500E0"/>
    <w:rsid w:val="007500E1"/>
    <w:rsid w:val="0075048D"/>
    <w:rsid w:val="00750703"/>
    <w:rsid w:val="00750A29"/>
    <w:rsid w:val="007514E4"/>
    <w:rsid w:val="00751AEF"/>
    <w:rsid w:val="00751D95"/>
    <w:rsid w:val="00752006"/>
    <w:rsid w:val="00752835"/>
    <w:rsid w:val="00752DE4"/>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2E9"/>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566"/>
    <w:rsid w:val="0076768C"/>
    <w:rsid w:val="007678B1"/>
    <w:rsid w:val="00767C92"/>
    <w:rsid w:val="007701BE"/>
    <w:rsid w:val="00770A67"/>
    <w:rsid w:val="00770B60"/>
    <w:rsid w:val="0077112E"/>
    <w:rsid w:val="0077128C"/>
    <w:rsid w:val="00771800"/>
    <w:rsid w:val="0077185F"/>
    <w:rsid w:val="00771AC8"/>
    <w:rsid w:val="00771F5C"/>
    <w:rsid w:val="00772127"/>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87B15"/>
    <w:rsid w:val="00790056"/>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53"/>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5D90"/>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31"/>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7DD"/>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C18"/>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5B6"/>
    <w:rsid w:val="00803684"/>
    <w:rsid w:val="008038B9"/>
    <w:rsid w:val="00803C46"/>
    <w:rsid w:val="00804582"/>
    <w:rsid w:val="00804A92"/>
    <w:rsid w:val="00805139"/>
    <w:rsid w:val="008055B8"/>
    <w:rsid w:val="00805884"/>
    <w:rsid w:val="00805BF6"/>
    <w:rsid w:val="00805E11"/>
    <w:rsid w:val="00806074"/>
    <w:rsid w:val="008063F0"/>
    <w:rsid w:val="0080659D"/>
    <w:rsid w:val="008065B7"/>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511"/>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798"/>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BE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B9C"/>
    <w:rsid w:val="00874E79"/>
    <w:rsid w:val="0087504B"/>
    <w:rsid w:val="008750B0"/>
    <w:rsid w:val="008751A3"/>
    <w:rsid w:val="00875278"/>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CD1"/>
    <w:rsid w:val="00881DD4"/>
    <w:rsid w:val="00881FF2"/>
    <w:rsid w:val="008821FB"/>
    <w:rsid w:val="00882241"/>
    <w:rsid w:val="00882419"/>
    <w:rsid w:val="008827B4"/>
    <w:rsid w:val="008828BB"/>
    <w:rsid w:val="00882C5B"/>
    <w:rsid w:val="00882F4D"/>
    <w:rsid w:val="008832DD"/>
    <w:rsid w:val="0088354A"/>
    <w:rsid w:val="008836F1"/>
    <w:rsid w:val="0088388E"/>
    <w:rsid w:val="00883D9C"/>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3D91"/>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7B6"/>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ACA"/>
    <w:rsid w:val="008A7BD5"/>
    <w:rsid w:val="008A7EEE"/>
    <w:rsid w:val="008B0087"/>
    <w:rsid w:val="008B018C"/>
    <w:rsid w:val="008B0286"/>
    <w:rsid w:val="008B0291"/>
    <w:rsid w:val="008B0347"/>
    <w:rsid w:val="008B03AF"/>
    <w:rsid w:val="008B0468"/>
    <w:rsid w:val="008B0541"/>
    <w:rsid w:val="008B0EBC"/>
    <w:rsid w:val="008B0F4B"/>
    <w:rsid w:val="008B120D"/>
    <w:rsid w:val="008B13E9"/>
    <w:rsid w:val="008B1CCF"/>
    <w:rsid w:val="008B1D2F"/>
    <w:rsid w:val="008B1D80"/>
    <w:rsid w:val="008B1DFD"/>
    <w:rsid w:val="008B21EF"/>
    <w:rsid w:val="008B25C9"/>
    <w:rsid w:val="008B26C3"/>
    <w:rsid w:val="008B2879"/>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81"/>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96D"/>
    <w:rsid w:val="008C4CE2"/>
    <w:rsid w:val="008C4D8E"/>
    <w:rsid w:val="008C529A"/>
    <w:rsid w:val="008C531F"/>
    <w:rsid w:val="008C5526"/>
    <w:rsid w:val="008C5559"/>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A91"/>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232"/>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30"/>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38"/>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357"/>
    <w:rsid w:val="00946777"/>
    <w:rsid w:val="00946AE9"/>
    <w:rsid w:val="00946D37"/>
    <w:rsid w:val="009471A3"/>
    <w:rsid w:val="009479F6"/>
    <w:rsid w:val="00947A21"/>
    <w:rsid w:val="00947AC1"/>
    <w:rsid w:val="00947F2C"/>
    <w:rsid w:val="009504F9"/>
    <w:rsid w:val="00950546"/>
    <w:rsid w:val="009506E1"/>
    <w:rsid w:val="00950AA3"/>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2D2"/>
    <w:rsid w:val="00970466"/>
    <w:rsid w:val="009705D0"/>
    <w:rsid w:val="00970908"/>
    <w:rsid w:val="00970C7E"/>
    <w:rsid w:val="00970D6C"/>
    <w:rsid w:val="00970DF7"/>
    <w:rsid w:val="00970E2D"/>
    <w:rsid w:val="00970F58"/>
    <w:rsid w:val="00971436"/>
    <w:rsid w:val="0097151C"/>
    <w:rsid w:val="00971656"/>
    <w:rsid w:val="009721F2"/>
    <w:rsid w:val="009729A3"/>
    <w:rsid w:val="00972B6A"/>
    <w:rsid w:val="00972D78"/>
    <w:rsid w:val="009730F4"/>
    <w:rsid w:val="009731D4"/>
    <w:rsid w:val="009733F5"/>
    <w:rsid w:val="00973446"/>
    <w:rsid w:val="009737ED"/>
    <w:rsid w:val="00973B19"/>
    <w:rsid w:val="00973F86"/>
    <w:rsid w:val="0097413F"/>
    <w:rsid w:val="009742ED"/>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2FB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123"/>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590"/>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0A7"/>
    <w:rsid w:val="009D32C6"/>
    <w:rsid w:val="009D32CD"/>
    <w:rsid w:val="009D35E5"/>
    <w:rsid w:val="009D374B"/>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5A42"/>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C5"/>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5B8"/>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E4D"/>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3FCD"/>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D19"/>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20B"/>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C7D"/>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49D"/>
    <w:rsid w:val="00AB69E9"/>
    <w:rsid w:val="00AB6FFD"/>
    <w:rsid w:val="00AB782B"/>
    <w:rsid w:val="00AB790F"/>
    <w:rsid w:val="00AB7E5A"/>
    <w:rsid w:val="00AB7F94"/>
    <w:rsid w:val="00AC0B26"/>
    <w:rsid w:val="00AC10BC"/>
    <w:rsid w:val="00AC1EE3"/>
    <w:rsid w:val="00AC247B"/>
    <w:rsid w:val="00AC269D"/>
    <w:rsid w:val="00AC2742"/>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48"/>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9BB"/>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804"/>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6EBE"/>
    <w:rsid w:val="00B27006"/>
    <w:rsid w:val="00B275D0"/>
    <w:rsid w:val="00B278A0"/>
    <w:rsid w:val="00B27902"/>
    <w:rsid w:val="00B27A32"/>
    <w:rsid w:val="00B30432"/>
    <w:rsid w:val="00B30935"/>
    <w:rsid w:val="00B30BCC"/>
    <w:rsid w:val="00B30FE5"/>
    <w:rsid w:val="00B3125B"/>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2B2"/>
    <w:rsid w:val="00B72453"/>
    <w:rsid w:val="00B72683"/>
    <w:rsid w:val="00B726EE"/>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3D4"/>
    <w:rsid w:val="00B86575"/>
    <w:rsid w:val="00B869CB"/>
    <w:rsid w:val="00B86B55"/>
    <w:rsid w:val="00B86D08"/>
    <w:rsid w:val="00B86DD6"/>
    <w:rsid w:val="00B86DE1"/>
    <w:rsid w:val="00B86E5A"/>
    <w:rsid w:val="00B87362"/>
    <w:rsid w:val="00B873FC"/>
    <w:rsid w:val="00B87547"/>
    <w:rsid w:val="00B87746"/>
    <w:rsid w:val="00B879A8"/>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203"/>
    <w:rsid w:val="00BA13D3"/>
    <w:rsid w:val="00BA18C4"/>
    <w:rsid w:val="00BA1AB9"/>
    <w:rsid w:val="00BA1D56"/>
    <w:rsid w:val="00BA21D0"/>
    <w:rsid w:val="00BA2703"/>
    <w:rsid w:val="00BA2722"/>
    <w:rsid w:val="00BA27FE"/>
    <w:rsid w:val="00BA2A3A"/>
    <w:rsid w:val="00BA2BFE"/>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70B"/>
    <w:rsid w:val="00BC09A7"/>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334"/>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97"/>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23B"/>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4E70"/>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3FAC"/>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5"/>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B7C85"/>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D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2A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26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3C3"/>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08D"/>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F1"/>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DC2"/>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CD5"/>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0A5"/>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7D8"/>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0EC"/>
    <w:rsid w:val="00E57675"/>
    <w:rsid w:val="00E57AAD"/>
    <w:rsid w:val="00E57B74"/>
    <w:rsid w:val="00E57D6F"/>
    <w:rsid w:val="00E60019"/>
    <w:rsid w:val="00E603F2"/>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487"/>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6FD6"/>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C7"/>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582"/>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36F"/>
    <w:rsid w:val="00F0543B"/>
    <w:rsid w:val="00F054C0"/>
    <w:rsid w:val="00F05599"/>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CFC"/>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41"/>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3F1E"/>
    <w:rsid w:val="00F542AD"/>
    <w:rsid w:val="00F54D25"/>
    <w:rsid w:val="00F54D54"/>
    <w:rsid w:val="00F5523C"/>
    <w:rsid w:val="00F55245"/>
    <w:rsid w:val="00F55420"/>
    <w:rsid w:val="00F55536"/>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B9"/>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CBB"/>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3DE"/>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89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C50"/>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487"/>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qFormat/>
    <w:rsid w:val="00FC4C50"/>
    <w:pPr>
      <w:snapToGrid/>
      <w:spacing w:before="100" w:beforeAutospacing="1"/>
      <w:jc w:val="left"/>
    </w:pPr>
    <w:rPr>
      <w:rFonts w:ascii="Arial" w:eastAsia="SimSun" w:hAnsi="Arial" w:cs="Arial"/>
      <w:color w:val="493118"/>
      <w:sz w:val="18"/>
      <w:szCs w:val="18"/>
      <w:lang w:val="en-US" w:eastAsia="zh-CN"/>
    </w:rPr>
  </w:style>
  <w:style w:type="paragraph" w:customStyle="1" w:styleId="00text">
    <w:name w:val="00_text"/>
    <w:basedOn w:val="a"/>
    <w:link w:val="00textChar"/>
    <w:qFormat/>
    <w:rsid w:val="00586EB1"/>
    <w:pPr>
      <w:snapToGrid/>
      <w:spacing w:before="120" w:line="288" w:lineRule="auto"/>
      <w:ind w:firstLine="360"/>
    </w:pPr>
    <w:rPr>
      <w:rFonts w:eastAsia="Times New Roman"/>
      <w:sz w:val="21"/>
      <w:lang w:val="en-US" w:eastAsia="zh-CN"/>
    </w:rPr>
  </w:style>
  <w:style w:type="character" w:customStyle="1" w:styleId="00textChar">
    <w:name w:val="00_text Char"/>
    <w:basedOn w:val="a0"/>
    <w:link w:val="00text"/>
    <w:rsid w:val="00586EB1"/>
    <w:rPr>
      <w:rFonts w:ascii="Times New Roman" w:eastAsia="Times New Roman" w:hAnsi="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2017569">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789230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492413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153227">
      <w:bodyDiv w:val="1"/>
      <w:marLeft w:val="0"/>
      <w:marRight w:val="0"/>
      <w:marTop w:val="0"/>
      <w:marBottom w:val="0"/>
      <w:divBdr>
        <w:top w:val="none" w:sz="0" w:space="0" w:color="auto"/>
        <w:left w:val="none" w:sz="0" w:space="0" w:color="auto"/>
        <w:bottom w:val="none" w:sz="0" w:space="0" w:color="auto"/>
        <w:right w:val="none" w:sz="0" w:space="0" w:color="auto"/>
      </w:divBdr>
      <w:divsChild>
        <w:div w:id="15038187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3784054">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0454673">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6D416-583D-4340-85F6-B84DC615C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1778</Words>
  <Characters>10135</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森本涼太</cp:lastModifiedBy>
  <cp:revision>2</cp:revision>
  <cp:lastPrinted>2019-03-18T06:48:00Z</cp:lastPrinted>
  <dcterms:created xsi:type="dcterms:W3CDTF">2022-11-07T05:02:00Z</dcterms:created>
  <dcterms:modified xsi:type="dcterms:W3CDTF">2022-11-07T05:02:00Z</dcterms:modified>
</cp:coreProperties>
</file>