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2A32A381"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0F3931">
        <w:rPr>
          <w:rFonts w:cs="Arial"/>
          <w:b/>
          <w:bCs/>
          <w:sz w:val="24"/>
          <w:szCs w:val="18"/>
        </w:rPr>
        <w:t>1</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2B1095" w:rsidRPr="00463D3B">
        <w:rPr>
          <w:rFonts w:cs="Arial"/>
          <w:b/>
          <w:bCs/>
          <w:sz w:val="24"/>
          <w:szCs w:val="18"/>
        </w:rPr>
        <w:t>22</w:t>
      </w:r>
      <w:r w:rsidR="002B1095">
        <w:rPr>
          <w:rFonts w:cs="Arial"/>
          <w:b/>
          <w:bCs/>
          <w:sz w:val="24"/>
          <w:szCs w:val="18"/>
        </w:rPr>
        <w:t>11734</w:t>
      </w:r>
    </w:p>
    <w:p w14:paraId="686D68EE" w14:textId="448DFA25" w:rsidR="00463D3B" w:rsidRPr="00463D3B" w:rsidRDefault="000F3931" w:rsidP="00463D3B">
      <w:pPr>
        <w:tabs>
          <w:tab w:val="center" w:pos="4536"/>
          <w:tab w:val="right" w:pos="9072"/>
        </w:tabs>
        <w:rPr>
          <w:rFonts w:eastAsia="MS Mincho" w:cs="Arial"/>
          <w:b/>
          <w:bCs/>
          <w:sz w:val="24"/>
          <w:szCs w:val="18"/>
          <w:lang w:eastAsia="ja-JP"/>
        </w:rPr>
      </w:pPr>
      <w:r>
        <w:rPr>
          <w:rFonts w:eastAsia="MS Mincho" w:cs="Arial"/>
          <w:b/>
          <w:bCs/>
          <w:sz w:val="24"/>
          <w:szCs w:val="18"/>
          <w:lang w:eastAsia="ja-JP"/>
        </w:rPr>
        <w:t>Toulouse, France, November 14</w:t>
      </w:r>
      <w:r w:rsidRPr="00A5621B">
        <w:rPr>
          <w:rFonts w:eastAsia="MS Mincho" w:cs="Arial"/>
          <w:b/>
          <w:bCs/>
          <w:sz w:val="24"/>
          <w:szCs w:val="18"/>
          <w:vertAlign w:val="superscript"/>
          <w:lang w:eastAsia="ja-JP"/>
        </w:rPr>
        <w:t>th</w:t>
      </w:r>
      <w:r>
        <w:rPr>
          <w:rFonts w:eastAsia="MS Mincho" w:cs="Arial"/>
          <w:b/>
          <w:bCs/>
          <w:sz w:val="24"/>
          <w:szCs w:val="18"/>
          <w:lang w:eastAsia="ja-JP"/>
        </w:rPr>
        <w:t xml:space="preserve"> – 18</w:t>
      </w:r>
      <w:r w:rsidRPr="00A5621B">
        <w:rPr>
          <w:rFonts w:eastAsia="MS Mincho" w:cs="Arial"/>
          <w:b/>
          <w:bCs/>
          <w:sz w:val="24"/>
          <w:szCs w:val="18"/>
          <w:vertAlign w:val="superscript"/>
          <w:lang w:eastAsia="ja-JP"/>
        </w:rPr>
        <w:t>th</w:t>
      </w:r>
      <w:r w:rsidR="00463D3B" w:rsidRPr="00463D3B">
        <w:rPr>
          <w:rFonts w:eastAsia="MS Mincho" w:cs="Arial"/>
          <w:b/>
          <w:bCs/>
          <w:sz w:val="24"/>
          <w:szCs w:val="18"/>
          <w:lang w:eastAsia="ja-JP"/>
        </w:rPr>
        <w:t>, 2022</w:t>
      </w:r>
    </w:p>
    <w:p w14:paraId="0FB970DD" w14:textId="2B5CC303" w:rsidR="00406D72" w:rsidRDefault="00406D72" w:rsidP="00406D72">
      <w:pPr>
        <w:pStyle w:val="3GPPHeader"/>
      </w:pPr>
      <w:r>
        <w:t xml:space="preserve">                                      </w:t>
      </w:r>
    </w:p>
    <w:p w14:paraId="7AD14354" w14:textId="025B1D20"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3A01F2" w:rsidRPr="001A3494">
        <w:rPr>
          <w:sz w:val="22"/>
          <w:szCs w:val="22"/>
          <w:lang w:val="sv-SE"/>
        </w:rPr>
        <w:t>9.1</w:t>
      </w:r>
      <w:r w:rsidR="00463D3B">
        <w:rPr>
          <w:sz w:val="22"/>
          <w:szCs w:val="22"/>
          <w:lang w:val="sv-SE"/>
        </w:rPr>
        <w:t>1</w:t>
      </w:r>
      <w:r w:rsidR="003A01F2" w:rsidRPr="001A3494">
        <w:rPr>
          <w:sz w:val="22"/>
          <w:szCs w:val="22"/>
          <w:lang w:val="sv-SE"/>
        </w:rPr>
        <w:t>.</w:t>
      </w:r>
      <w:r w:rsidR="006B3CFC" w:rsidRPr="00C51D7F">
        <w:rPr>
          <w:sz w:val="22"/>
          <w:szCs w:val="22"/>
          <w:lang w:val="sv-SE"/>
        </w:rPr>
        <w:t>3</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C51D7F">
        <w:rPr>
          <w:sz w:val="22"/>
          <w:szCs w:val="22"/>
          <w:lang w:val="en-US"/>
        </w:rPr>
        <w:t>, Inc.</w:t>
      </w:r>
    </w:p>
    <w:p w14:paraId="28B90663" w14:textId="24A671A9"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8C4B13">
        <w:rPr>
          <w:sz w:val="22"/>
          <w:szCs w:val="22"/>
        </w:rPr>
        <w:t>D</w:t>
      </w:r>
      <w:r w:rsidR="00852EB9">
        <w:rPr>
          <w:sz w:val="22"/>
          <w:szCs w:val="22"/>
        </w:rPr>
        <w:t xml:space="preserve">isabling </w:t>
      </w:r>
      <w:r w:rsidR="008C4B13">
        <w:rPr>
          <w:sz w:val="22"/>
          <w:szCs w:val="22"/>
        </w:rPr>
        <w:t xml:space="preserve">of </w:t>
      </w:r>
      <w:r w:rsidR="00A00DA0">
        <w:rPr>
          <w:sz w:val="22"/>
          <w:szCs w:val="22"/>
        </w:rPr>
        <w:t>HARQ feedback in IoT-NTN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6A540739" w:rsidR="00814D9B" w:rsidRPr="00E227D7" w:rsidRDefault="00E227D7" w:rsidP="00A5621B">
      <w:pPr>
        <w:spacing w:line="276" w:lineRule="auto"/>
        <w:rPr>
          <w:rFonts w:cs="Arial"/>
        </w:rPr>
      </w:pPr>
      <w:r>
        <w:rPr>
          <w:rFonts w:cs="Arial"/>
        </w:rPr>
        <w:t>RAN1 has made</w:t>
      </w:r>
      <w:r w:rsidR="0003535C" w:rsidRPr="00E227D7">
        <w:rPr>
          <w:rFonts w:cs="Arial"/>
        </w:rPr>
        <w:t xml:space="preserve"> the following agreements to narrow down the options for enabling/disabling of HARQ </w:t>
      </w:r>
      <w:r w:rsidRPr="00E227D7">
        <w:rPr>
          <w:rFonts w:cs="Arial"/>
        </w:rPr>
        <w:t>for eMTC and NB-IoT</w:t>
      </w:r>
      <w:r>
        <w:rPr>
          <w:rFonts w:cs="Arial"/>
        </w:rPr>
        <w:t xml:space="preserve"> in RAN1 #110</w:t>
      </w:r>
      <w:r w:rsidR="005D4D43">
        <w:rPr>
          <w:rFonts w:cs="Arial"/>
        </w:rPr>
        <w:t>[2]</w:t>
      </w:r>
      <w:r>
        <w:rPr>
          <w:rFonts w:cs="Arial"/>
        </w:rPr>
        <w:t>:</w:t>
      </w:r>
    </w:p>
    <w:p w14:paraId="14EE9029" w14:textId="77777777" w:rsidR="00814D9B" w:rsidRPr="006F6D4F" w:rsidRDefault="00814D9B" w:rsidP="00A5621B">
      <w:pPr>
        <w:spacing w:after="0" w:line="276" w:lineRule="auto"/>
        <w:rPr>
          <w:b/>
          <w:bCs/>
          <w:i/>
          <w:lang w:val="en-US" w:eastAsia="x-none"/>
        </w:rPr>
      </w:pPr>
      <w:r w:rsidRPr="006F6D4F">
        <w:rPr>
          <w:b/>
          <w:bCs/>
          <w:i/>
          <w:highlight w:val="green"/>
          <w:lang w:val="en-US" w:eastAsia="x-none"/>
        </w:rPr>
        <w:t>Agreement</w:t>
      </w:r>
    </w:p>
    <w:p w14:paraId="1F1D4020" w14:textId="77777777" w:rsidR="00814D9B" w:rsidRPr="006F6D4F" w:rsidRDefault="00814D9B" w:rsidP="00A5621B">
      <w:pPr>
        <w:spacing w:after="0" w:line="276" w:lineRule="auto"/>
        <w:rPr>
          <w:i/>
          <w:lang w:val="en-US" w:eastAsia="x-none"/>
        </w:rPr>
      </w:pPr>
      <w:r w:rsidRPr="006F6D4F">
        <w:rPr>
          <w:i/>
          <w:lang w:val="en-US" w:eastAsia="x-none"/>
        </w:rPr>
        <w:t>For eMTC NTN, to configure/indicate enabling/disabling of HARQ feedback for downlink transmission, down select one or more from the following options:</w:t>
      </w:r>
    </w:p>
    <w:p w14:paraId="4031CD30"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1: per HARQ process via UE specific RRC signaling.</w:t>
      </w:r>
    </w:p>
    <w:p w14:paraId="519981CE"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3: explicitly indicated by DCI (e.g., new field or reusing existing field).</w:t>
      </w:r>
    </w:p>
    <w:p w14:paraId="09158DBC"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4: implicitly indicated by existing configured/indicated/combined parameter(s) in the DCI (e.g., repetition number, TBS)</w:t>
      </w:r>
    </w:p>
    <w:p w14:paraId="1AEB2D3B"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6: combinations of some options above.</w:t>
      </w:r>
    </w:p>
    <w:p w14:paraId="4B32F24C" w14:textId="77777777" w:rsidR="00814D9B" w:rsidRPr="006F6D4F" w:rsidRDefault="00814D9B" w:rsidP="00A5621B">
      <w:pPr>
        <w:spacing w:after="0" w:line="276" w:lineRule="auto"/>
        <w:rPr>
          <w:i/>
          <w:lang w:eastAsia="x-none"/>
        </w:rPr>
      </w:pPr>
    </w:p>
    <w:p w14:paraId="7C861A7C" w14:textId="77777777" w:rsidR="00814D9B" w:rsidRPr="006F6D4F" w:rsidRDefault="00814D9B" w:rsidP="00A5621B">
      <w:pPr>
        <w:spacing w:after="0" w:line="276" w:lineRule="auto"/>
        <w:rPr>
          <w:b/>
          <w:bCs/>
          <w:i/>
          <w:lang w:val="en-US" w:eastAsia="x-none"/>
        </w:rPr>
      </w:pPr>
      <w:r w:rsidRPr="006F6D4F">
        <w:rPr>
          <w:b/>
          <w:bCs/>
          <w:i/>
          <w:highlight w:val="green"/>
          <w:lang w:val="en-US" w:eastAsia="x-none"/>
        </w:rPr>
        <w:t>Agreement</w:t>
      </w:r>
    </w:p>
    <w:p w14:paraId="3FB2EED3" w14:textId="77777777" w:rsidR="00814D9B" w:rsidRPr="006F6D4F" w:rsidRDefault="00814D9B" w:rsidP="00A5621B">
      <w:pPr>
        <w:spacing w:after="0" w:line="276" w:lineRule="auto"/>
        <w:rPr>
          <w:i/>
          <w:lang w:val="en-US" w:eastAsia="x-none"/>
        </w:rPr>
      </w:pPr>
      <w:r w:rsidRPr="006F6D4F">
        <w:rPr>
          <w:i/>
          <w:lang w:val="en-US" w:eastAsia="x-none"/>
        </w:rPr>
        <w:t>For NB-IoT NTN, to configure/indicate enabling/disabling of HARQ feedback for downlink transmission, down select one or more from the following options:</w:t>
      </w:r>
    </w:p>
    <w:p w14:paraId="4E80DE28"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1: per HARQ process via UE specific RRC signaling</w:t>
      </w:r>
    </w:p>
    <w:p w14:paraId="40D785A3"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3: explicitly indicated by DCI (e.g., new field or reusing existing field)</w:t>
      </w:r>
    </w:p>
    <w:p w14:paraId="272EA7A4"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4: implicitly indicated by existing configured/indicated/combined parameter(s) in the DCI (e.g., repetition number, TBS)</w:t>
      </w:r>
    </w:p>
    <w:p w14:paraId="43E207DC" w14:textId="77777777" w:rsidR="00814D9B" w:rsidRPr="006F6D4F" w:rsidRDefault="00814D9B" w:rsidP="00A5621B">
      <w:pPr>
        <w:numPr>
          <w:ilvl w:val="0"/>
          <w:numId w:val="23"/>
        </w:numPr>
        <w:spacing w:after="0" w:line="276" w:lineRule="auto"/>
        <w:rPr>
          <w:i/>
          <w:lang w:val="en-US" w:eastAsia="x-none"/>
        </w:rPr>
      </w:pPr>
      <w:r w:rsidRPr="006F6D4F">
        <w:rPr>
          <w:i/>
          <w:lang w:val="en-US" w:eastAsia="x-none"/>
        </w:rPr>
        <w:t>Option 6: combinations of some options above</w:t>
      </w:r>
    </w:p>
    <w:p w14:paraId="1B69A6AC" w14:textId="556A1D5A" w:rsidR="00E227D7" w:rsidRDefault="00E227D7" w:rsidP="00A5621B">
      <w:pPr>
        <w:spacing w:after="0" w:line="276" w:lineRule="auto"/>
        <w:rPr>
          <w:i/>
          <w:lang w:val="en-US" w:eastAsia="x-none"/>
        </w:rPr>
      </w:pPr>
    </w:p>
    <w:p w14:paraId="62F4F6D6" w14:textId="155F6EBA" w:rsidR="00E227D7" w:rsidRDefault="00E227D7" w:rsidP="00A5621B">
      <w:pPr>
        <w:spacing w:line="276" w:lineRule="auto"/>
        <w:rPr>
          <w:iCs/>
          <w:lang w:val="en-US" w:eastAsia="x-none"/>
        </w:rPr>
      </w:pPr>
      <w:r>
        <w:rPr>
          <w:iCs/>
          <w:lang w:val="en-US" w:eastAsia="x-none"/>
        </w:rPr>
        <w:t>After extensive discussions in RAN1 #110b-e, the following agreement has been made for NB-IoT NTN as a progress while no progress has been made for eMTC NTN</w:t>
      </w:r>
      <w:r w:rsidR="005D4D43">
        <w:rPr>
          <w:iCs/>
          <w:lang w:val="en-US" w:eastAsia="x-none"/>
        </w:rPr>
        <w:t xml:space="preserve"> [3]</w:t>
      </w:r>
      <w:r>
        <w:rPr>
          <w:iCs/>
          <w:lang w:val="en-US" w:eastAsia="x-none"/>
        </w:rPr>
        <w:t>:</w:t>
      </w:r>
    </w:p>
    <w:p w14:paraId="6D98E6CE" w14:textId="77777777" w:rsidR="00E227D7" w:rsidRPr="00A5621B" w:rsidRDefault="00E227D7" w:rsidP="00E227D7">
      <w:pPr>
        <w:rPr>
          <w:b/>
          <w:i/>
          <w:iCs/>
          <w:u w:val="single"/>
          <w:lang w:eastAsia="x-none"/>
        </w:rPr>
      </w:pPr>
      <w:r w:rsidRPr="00A5621B">
        <w:rPr>
          <w:b/>
          <w:i/>
          <w:iCs/>
          <w:highlight w:val="green"/>
          <w:u w:val="single"/>
          <w:lang w:eastAsia="x-none"/>
        </w:rPr>
        <w:t>Agreement</w:t>
      </w:r>
    </w:p>
    <w:p w14:paraId="1DDB713D" w14:textId="77777777" w:rsidR="00E227D7" w:rsidRPr="00A5621B" w:rsidRDefault="00E227D7" w:rsidP="00E227D7">
      <w:pPr>
        <w:pStyle w:val="xmsonormal"/>
        <w:rPr>
          <w:rFonts w:ascii="Arial" w:hAnsi="Arial" w:cs="Arial"/>
          <w:i/>
          <w:iCs/>
          <w:sz w:val="20"/>
          <w:szCs w:val="20"/>
        </w:rPr>
      </w:pPr>
      <w:r w:rsidRPr="00A5621B">
        <w:rPr>
          <w:rFonts w:ascii="Arial" w:hAnsi="Arial" w:cs="Arial"/>
          <w:i/>
          <w:iCs/>
          <w:sz w:val="20"/>
          <w:szCs w:val="20"/>
        </w:rPr>
        <w:t xml:space="preserve">For NB-IoT NTN, to configure/indicate enabling/disabling of HARQ feedback for downlink transmission, down select </w:t>
      </w:r>
      <w:r w:rsidRPr="00A5621B">
        <w:rPr>
          <w:rFonts w:ascii="Arial" w:hAnsi="Arial" w:cs="Arial"/>
          <w:b/>
          <w:bCs/>
          <w:i/>
          <w:iCs/>
          <w:sz w:val="20"/>
          <w:szCs w:val="20"/>
        </w:rPr>
        <w:t>ONE</w:t>
      </w:r>
      <w:r w:rsidRPr="00A5621B">
        <w:rPr>
          <w:rFonts w:ascii="Arial" w:hAnsi="Arial" w:cs="Arial"/>
          <w:i/>
          <w:iCs/>
          <w:sz w:val="20"/>
          <w:szCs w:val="20"/>
        </w:rPr>
        <w:t xml:space="preserve"> from the following options at RAN1#111:</w:t>
      </w:r>
    </w:p>
    <w:p w14:paraId="0693E324" w14:textId="77777777" w:rsidR="00E227D7" w:rsidRPr="00A5621B" w:rsidRDefault="00E227D7" w:rsidP="00E227D7">
      <w:pPr>
        <w:numPr>
          <w:ilvl w:val="0"/>
          <w:numId w:val="25"/>
        </w:numPr>
        <w:overflowPunct/>
        <w:autoSpaceDE/>
        <w:autoSpaceDN/>
        <w:adjustRightInd/>
        <w:snapToGrid w:val="0"/>
        <w:spacing w:after="0"/>
        <w:ind w:left="720"/>
        <w:jc w:val="left"/>
        <w:textAlignment w:val="auto"/>
        <w:rPr>
          <w:i/>
          <w:iCs/>
          <w:szCs w:val="18"/>
          <w:lang w:val="en-US"/>
        </w:rPr>
      </w:pPr>
      <w:r w:rsidRPr="00A5621B">
        <w:rPr>
          <w:i/>
          <w:iCs/>
          <w:szCs w:val="18"/>
          <w:lang w:val="en-US"/>
        </w:rPr>
        <w:t>Option 6a-1: Support RRC signaling configured between Option 1 and Option 3</w:t>
      </w:r>
    </w:p>
    <w:p w14:paraId="727D9578" w14:textId="77777777" w:rsidR="00E227D7" w:rsidRPr="00A5621B" w:rsidRDefault="00E227D7" w:rsidP="00E227D7">
      <w:pPr>
        <w:numPr>
          <w:ilvl w:val="0"/>
          <w:numId w:val="25"/>
        </w:numPr>
        <w:overflowPunct/>
        <w:autoSpaceDE/>
        <w:autoSpaceDN/>
        <w:adjustRightInd/>
        <w:snapToGrid w:val="0"/>
        <w:spacing w:after="0"/>
        <w:ind w:left="720"/>
        <w:jc w:val="left"/>
        <w:textAlignment w:val="auto"/>
        <w:rPr>
          <w:i/>
          <w:iCs/>
          <w:szCs w:val="18"/>
          <w:lang w:val="en-US"/>
        </w:rPr>
      </w:pPr>
      <w:r w:rsidRPr="00A5621B">
        <w:rPr>
          <w:i/>
          <w:iCs/>
          <w:szCs w:val="18"/>
          <w:lang w:val="en-US"/>
        </w:rPr>
        <w:t>Option 6a-4: Support Option 1 by default, and support Option 3 to override default configuration for corresponding transmission</w:t>
      </w:r>
    </w:p>
    <w:p w14:paraId="56DC220A" w14:textId="77777777" w:rsidR="00E227D7" w:rsidRPr="00F25FA8" w:rsidRDefault="00E227D7" w:rsidP="00E227D7">
      <w:pPr>
        <w:rPr>
          <w:lang w:eastAsia="x-none"/>
        </w:rPr>
      </w:pPr>
    </w:p>
    <w:p w14:paraId="5BBC67AE" w14:textId="308668A9" w:rsidR="00E227D7" w:rsidRPr="00A5621B" w:rsidRDefault="00E227D7" w:rsidP="00A5621B">
      <w:pPr>
        <w:spacing w:line="276" w:lineRule="auto"/>
        <w:rPr>
          <w:iCs/>
          <w:lang w:val="en-US" w:eastAsia="x-none"/>
        </w:rPr>
      </w:pPr>
      <w:r>
        <w:rPr>
          <w:iCs/>
          <w:lang w:val="en-US" w:eastAsia="x-none"/>
        </w:rPr>
        <w:t>In this contribution, we further discuss on the remaining options listed above for enabling/disabling DL HARQ feedback for NB-IoT NTN as well as for eMTC NTN.</w:t>
      </w:r>
    </w:p>
    <w:p w14:paraId="197E28B8" w14:textId="39492A67" w:rsidR="005605E9" w:rsidRDefault="00277FF0" w:rsidP="005605E9">
      <w:pPr>
        <w:pStyle w:val="Heading1"/>
      </w:pPr>
      <w:r>
        <w:lastRenderedPageBreak/>
        <w:t>Discussion</w:t>
      </w:r>
    </w:p>
    <w:p w14:paraId="3CF46C80" w14:textId="612C5B87" w:rsidR="00BB581B" w:rsidRPr="00D91571" w:rsidRDefault="00BB581B" w:rsidP="00BB581B">
      <w:pPr>
        <w:pStyle w:val="Heading2"/>
      </w:pPr>
      <w:r>
        <w:t>Disabling HARQ feedback for NB-IoT NTN</w:t>
      </w:r>
    </w:p>
    <w:p w14:paraId="677B6D56" w14:textId="2080194B" w:rsidR="00223747" w:rsidRDefault="00223747" w:rsidP="00A5621B">
      <w:pPr>
        <w:spacing w:line="276" w:lineRule="auto"/>
      </w:pPr>
      <w:r>
        <w:t>RAN1 has further narrowed down the options for disabling HARQ for downlink transmission for NB-IoT as following and agreed to down-select one option in RAN1 #111:</w:t>
      </w:r>
    </w:p>
    <w:p w14:paraId="24C6E638" w14:textId="77777777" w:rsidR="00223747" w:rsidRPr="00A5621B" w:rsidRDefault="00223747" w:rsidP="00A5621B">
      <w:pPr>
        <w:numPr>
          <w:ilvl w:val="0"/>
          <w:numId w:val="26"/>
        </w:numPr>
        <w:overflowPunct/>
        <w:autoSpaceDE/>
        <w:autoSpaceDN/>
        <w:adjustRightInd/>
        <w:snapToGrid w:val="0"/>
        <w:spacing w:line="276" w:lineRule="auto"/>
        <w:jc w:val="left"/>
        <w:textAlignment w:val="auto"/>
        <w:rPr>
          <w:szCs w:val="18"/>
          <w:lang w:val="en-US"/>
        </w:rPr>
      </w:pPr>
      <w:r w:rsidRPr="00A5621B">
        <w:rPr>
          <w:szCs w:val="18"/>
          <w:lang w:val="en-US"/>
        </w:rPr>
        <w:t>Option 6a-1: Support RRC signaling configured between Option 1 and Option 3</w:t>
      </w:r>
    </w:p>
    <w:p w14:paraId="7D7ABC85" w14:textId="77777777" w:rsidR="00223747" w:rsidRPr="00A5621B" w:rsidRDefault="00223747" w:rsidP="00A5621B">
      <w:pPr>
        <w:numPr>
          <w:ilvl w:val="0"/>
          <w:numId w:val="26"/>
        </w:numPr>
        <w:overflowPunct/>
        <w:autoSpaceDE/>
        <w:autoSpaceDN/>
        <w:adjustRightInd/>
        <w:snapToGrid w:val="0"/>
        <w:spacing w:line="276" w:lineRule="auto"/>
        <w:jc w:val="left"/>
        <w:textAlignment w:val="auto"/>
        <w:rPr>
          <w:szCs w:val="18"/>
          <w:lang w:val="en-US"/>
        </w:rPr>
      </w:pPr>
      <w:r w:rsidRPr="00A5621B">
        <w:rPr>
          <w:szCs w:val="18"/>
          <w:lang w:val="en-US"/>
        </w:rPr>
        <w:t>Option 6a-4: Support Option 1 by default, and support Option 3 to override default configuration for corresponding transmission</w:t>
      </w:r>
    </w:p>
    <w:p w14:paraId="448AFFF8" w14:textId="00F3B303" w:rsidR="00223747" w:rsidRDefault="00DC72F0" w:rsidP="000E18D0">
      <w:pPr>
        <w:spacing w:line="276" w:lineRule="auto"/>
      </w:pPr>
      <w:r>
        <w:t xml:space="preserve">The combination of Option 1 and Option 3 (i.e., Option 6) </w:t>
      </w:r>
      <w:r w:rsidR="00E07F1A">
        <w:t xml:space="preserve">has been agreed for NB-IoT </w:t>
      </w:r>
      <w:r w:rsidR="00E3238A">
        <w:t>to address MAC-CE activation issue for the NB-IoT UEs with a single HARQ process when Option 1 is</w:t>
      </w:r>
      <w:r>
        <w:t xml:space="preserve"> solely</w:t>
      </w:r>
      <w:r w:rsidR="00E3238A">
        <w:t xml:space="preserve"> used</w:t>
      </w:r>
      <w:r w:rsidR="00514CAE">
        <w:t>; flexibility from dynamic indication of enabling/disabling of DL HARQ feedback is an additional benefit of supporting Option 3. A couple of sub-options for the combination of Option 1 and Option 3 were discussed in RAN1 #110b-e and two sub-options such as Option 6a-1 and 6a-4 are left on the table for the final down-selection.</w:t>
      </w:r>
    </w:p>
    <w:p w14:paraId="5FA2621C" w14:textId="2DA48013" w:rsidR="00005423" w:rsidRDefault="00514CAE" w:rsidP="000E18D0">
      <w:pPr>
        <w:spacing w:line="276" w:lineRule="auto"/>
      </w:pPr>
      <w:r>
        <w:t xml:space="preserve">Option 6a-1 is </w:t>
      </w:r>
      <w:r w:rsidR="00901FB9">
        <w:t xml:space="preserve">an approach to support both options by RRC configuration so that </w:t>
      </w:r>
      <w:proofErr w:type="spellStart"/>
      <w:r w:rsidR="00901FB9">
        <w:t>eNB</w:t>
      </w:r>
      <w:proofErr w:type="spellEnd"/>
      <w:r w:rsidR="00901FB9">
        <w:t xml:space="preserve"> scheduler may adapt options semi-statically</w:t>
      </w:r>
      <w:r w:rsidR="00005423">
        <w:t xml:space="preserve"> if RRC reconfiguration is applicable</w:t>
      </w:r>
      <w:r w:rsidR="00901FB9">
        <w:t xml:space="preserve"> based on several considerations (e.g., UE capability, channel environment, uplink capacity, necessity of MAC-CE transmission, and so forth). The main benefit of this option is that the DCI-based enabling/disabling HARQ feedback can be </w:t>
      </w:r>
      <w:r w:rsidR="00534F5F">
        <w:t>turned off when it is not needed so that it can avoid</w:t>
      </w:r>
      <w:r w:rsidR="00901FB9">
        <w:t xml:space="preserve"> </w:t>
      </w:r>
      <w:r w:rsidR="00534F5F">
        <w:t>un</w:t>
      </w:r>
      <w:r w:rsidR="00901FB9">
        <w:t>necessary signalling overhead in DCI</w:t>
      </w:r>
      <w:r w:rsidR="00534F5F">
        <w:t xml:space="preserve"> (e.g., explicit indication in DCI field for enabling/disabling HARQ feedback) and switch back to Option 3 when dynamic indication is needed</w:t>
      </w:r>
      <w:r w:rsidR="00005423">
        <w:t xml:space="preserve"> (e.g., for MAC-CE activation)</w:t>
      </w:r>
      <w:r w:rsidR="00534F5F">
        <w:t xml:space="preserve"> via RRC reconfiguration. However, </w:t>
      </w:r>
      <w:r w:rsidR="00005423">
        <w:t xml:space="preserve">it is well known that the vast majority of NB-IoT UEs commercialized are based on CP solution only and RRC reconfiguration is NOT applicable for those UEs, which means that the HARQ feedback enabling/disabling option needs to be decided at the initial RRC connection setup only and not adaptable over time for the most of NB-IoT UEs. Therefore, Option 6a-1 is not suitable for </w:t>
      </w:r>
      <w:r w:rsidR="00770CC3">
        <w:t>NB-IoT NTN</w:t>
      </w:r>
      <w:r w:rsidR="00005423">
        <w:t>.</w:t>
      </w:r>
    </w:p>
    <w:p w14:paraId="47CC655A" w14:textId="2E53565E" w:rsidR="00534F5F" w:rsidRPr="00B864A3" w:rsidRDefault="00534F5F" w:rsidP="00534F5F">
      <w:pPr>
        <w:spacing w:line="276" w:lineRule="auto"/>
        <w:rPr>
          <w:i/>
          <w:iCs/>
        </w:rPr>
      </w:pPr>
      <w:r w:rsidRPr="00B864A3">
        <w:rPr>
          <w:b/>
          <w:bCs/>
          <w:i/>
          <w:iCs/>
        </w:rPr>
        <w:t>Observation-1:</w:t>
      </w:r>
      <w:r w:rsidRPr="00B864A3">
        <w:rPr>
          <w:i/>
          <w:iCs/>
        </w:rPr>
        <w:t xml:space="preserve"> </w:t>
      </w:r>
      <w:r>
        <w:rPr>
          <w:i/>
          <w:iCs/>
        </w:rPr>
        <w:t>In Option 6a-1, adaptation between Option 1 and Option 3 is not supported for</w:t>
      </w:r>
      <w:r w:rsidR="00005423">
        <w:rPr>
          <w:i/>
          <w:iCs/>
        </w:rPr>
        <w:t xml:space="preserve"> the vast majority of</w:t>
      </w:r>
      <w:r>
        <w:rPr>
          <w:i/>
          <w:iCs/>
        </w:rPr>
        <w:t xml:space="preserve"> NB-IoT UEs</w:t>
      </w:r>
      <w:r w:rsidR="00005423">
        <w:rPr>
          <w:i/>
          <w:iCs/>
        </w:rPr>
        <w:t xml:space="preserve"> </w:t>
      </w:r>
      <w:r>
        <w:rPr>
          <w:i/>
          <w:iCs/>
        </w:rPr>
        <w:t xml:space="preserve">(e.g., UEs supporting CP-Mode only) since RRC </w:t>
      </w:r>
      <w:r w:rsidRPr="00B864A3">
        <w:rPr>
          <w:i/>
          <w:iCs/>
        </w:rPr>
        <w:t xml:space="preserve">reconfiguration is not applicable to </w:t>
      </w:r>
      <w:r>
        <w:rPr>
          <w:i/>
          <w:iCs/>
        </w:rPr>
        <w:t>those UEs.</w:t>
      </w:r>
      <w:r w:rsidR="00005423">
        <w:rPr>
          <w:i/>
          <w:iCs/>
        </w:rPr>
        <w:t xml:space="preserve"> Therefore</w:t>
      </w:r>
      <w:r w:rsidR="00770CC3">
        <w:rPr>
          <w:i/>
          <w:iCs/>
        </w:rPr>
        <w:t>,</w:t>
      </w:r>
      <w:r w:rsidR="00005423">
        <w:rPr>
          <w:i/>
          <w:iCs/>
        </w:rPr>
        <w:t xml:space="preserve"> Option 6a-1 is not suitable option for NB-IoT NTN.</w:t>
      </w:r>
    </w:p>
    <w:p w14:paraId="60E74B46" w14:textId="0D502A5F" w:rsidR="005B4237" w:rsidRDefault="005B4237" w:rsidP="000E18D0">
      <w:pPr>
        <w:spacing w:line="276" w:lineRule="auto"/>
      </w:pPr>
      <w:r>
        <w:t>Option 6a-4 is an approach to support a hybrid of Option 1 and Option 3, therefore dynamic indication of HARQ enabling/disabling for each downlink transmission is supported always with the cost of potential signalling overhead in DCI to explicitly indicate HARQ enabling/disabling in the case that explicit bit field is added for this purpose. If existing DCI fields are reused, then no additional signalling overhead is expected. In addition, RRC signalling overhead due to reconfiguration is not needed to adapt between options, which also means that a single UE behaviour will be considered when Rel-18 HARQ feedback mode is enabled.</w:t>
      </w:r>
    </w:p>
    <w:p w14:paraId="0FD2DC98" w14:textId="25D668BA" w:rsidR="005B4237" w:rsidRPr="00B864A3" w:rsidRDefault="005B4237" w:rsidP="005B4237">
      <w:pPr>
        <w:spacing w:line="276" w:lineRule="auto"/>
        <w:rPr>
          <w:i/>
          <w:iCs/>
        </w:rPr>
      </w:pPr>
      <w:r w:rsidRPr="00B864A3">
        <w:rPr>
          <w:b/>
          <w:bCs/>
          <w:i/>
          <w:iCs/>
        </w:rPr>
        <w:t>Observation-</w:t>
      </w:r>
      <w:r>
        <w:rPr>
          <w:b/>
          <w:bCs/>
          <w:i/>
          <w:iCs/>
        </w:rPr>
        <w:t>2</w:t>
      </w:r>
      <w:r w:rsidRPr="00B864A3">
        <w:rPr>
          <w:b/>
          <w:bCs/>
          <w:i/>
          <w:iCs/>
        </w:rPr>
        <w:t>:</w:t>
      </w:r>
      <w:r w:rsidRPr="00B864A3">
        <w:rPr>
          <w:i/>
          <w:iCs/>
        </w:rPr>
        <w:t xml:space="preserve"> </w:t>
      </w:r>
      <w:r>
        <w:rPr>
          <w:i/>
          <w:iCs/>
        </w:rPr>
        <w:t xml:space="preserve">Option 6a-4 is simpler and more flexible to adapt HARQ feedback based on situations from </w:t>
      </w:r>
      <w:proofErr w:type="spellStart"/>
      <w:r>
        <w:rPr>
          <w:i/>
          <w:iCs/>
        </w:rPr>
        <w:t>eNB</w:t>
      </w:r>
      <w:proofErr w:type="spellEnd"/>
      <w:r>
        <w:rPr>
          <w:i/>
          <w:iCs/>
        </w:rPr>
        <w:t xml:space="preserve"> scheduler perspective.</w:t>
      </w:r>
    </w:p>
    <w:p w14:paraId="69AC8E92" w14:textId="667D0DD2" w:rsidR="00E07F1A" w:rsidRPr="00A5621B" w:rsidRDefault="005B4237" w:rsidP="00223747">
      <w:pPr>
        <w:rPr>
          <w:i/>
          <w:iCs/>
        </w:rPr>
      </w:pPr>
      <w:r>
        <w:t>Based on the discussions above, it is observed that Option 6a-1 has limited flexibility</w:t>
      </w:r>
      <w:r w:rsidR="00893693">
        <w:t>, larger standards impact, and higher signalling overhead to adapt between options. Therefore, Option 6a-4 seems to be a better choice for support HARQ enabling/disabling for NB-IoT NTN.</w:t>
      </w:r>
    </w:p>
    <w:p w14:paraId="66B16434" w14:textId="0DEE5908" w:rsidR="00E21949" w:rsidRPr="00A5621B" w:rsidRDefault="00E21949" w:rsidP="00223747">
      <w:pPr>
        <w:rPr>
          <w:i/>
          <w:iCs/>
        </w:rPr>
      </w:pPr>
      <w:r w:rsidRPr="00A5621B">
        <w:rPr>
          <w:b/>
          <w:bCs/>
          <w:i/>
          <w:iCs/>
        </w:rPr>
        <w:t>Proposal 1:</w:t>
      </w:r>
      <w:r w:rsidRPr="00A5621B">
        <w:rPr>
          <w:i/>
          <w:iCs/>
        </w:rPr>
        <w:t xml:space="preserve"> Option 6a-4 is adopted for enabling/disabling HARQ feedback for NB-IoT NTN</w:t>
      </w:r>
      <w:r w:rsidR="009D1286">
        <w:rPr>
          <w:i/>
          <w:iCs/>
        </w:rPr>
        <w:t>.</w:t>
      </w:r>
    </w:p>
    <w:p w14:paraId="1389412B" w14:textId="6ED51DDE" w:rsidR="00E07F1A" w:rsidRDefault="00893693" w:rsidP="00223747">
      <w:r>
        <w:t xml:space="preserve">For Option 6a-4, a new DCI field to explicitly indicate HARQ enabling/disabling to override RRC configured status is preferred as it is a simple solution and lower standards efforts. In addition, the explicit bit should be able to enable/disable HARQ feedback of disabled/enabled DL HARQ feedback for a given HARQ process from RRC configuration. </w:t>
      </w:r>
    </w:p>
    <w:p w14:paraId="5C46749D" w14:textId="3FAF548E" w:rsidR="00893693" w:rsidRPr="00A5621B" w:rsidRDefault="00893693" w:rsidP="00A5621B">
      <w:pPr>
        <w:rPr>
          <w:i/>
          <w:iCs/>
        </w:rPr>
      </w:pPr>
      <w:r w:rsidRPr="00A5621B">
        <w:rPr>
          <w:b/>
          <w:bCs/>
          <w:i/>
          <w:iCs/>
        </w:rPr>
        <w:t>Proposal 2:</w:t>
      </w:r>
      <w:r w:rsidRPr="00A5621B">
        <w:rPr>
          <w:i/>
          <w:iCs/>
        </w:rPr>
        <w:t xml:space="preserve"> a new DCI field is introduced to override enabled or disabled HARQ feedback from RRC configuration for Option 6a-4.</w:t>
      </w:r>
    </w:p>
    <w:p w14:paraId="665AAD3D" w14:textId="01204E95" w:rsidR="00164E12" w:rsidRPr="00D91571" w:rsidRDefault="00FC49FA" w:rsidP="00FC49FA">
      <w:pPr>
        <w:pStyle w:val="Heading2"/>
      </w:pPr>
      <w:r>
        <w:lastRenderedPageBreak/>
        <w:t xml:space="preserve">Disabling HARQ feedback </w:t>
      </w:r>
      <w:r w:rsidR="00BB581B">
        <w:t>for eMTC</w:t>
      </w:r>
      <w:r w:rsidR="002529F4">
        <w:t xml:space="preserve"> NT</w:t>
      </w:r>
      <w:r w:rsidR="00BB581B">
        <w:t>N</w:t>
      </w:r>
    </w:p>
    <w:p w14:paraId="4333847E" w14:textId="470AD50A" w:rsidR="0064406B" w:rsidRPr="005D4D43" w:rsidRDefault="005D4D43" w:rsidP="00473EB3">
      <w:pPr>
        <w:rPr>
          <w:lang w:val="en-US" w:eastAsia="ko-KR"/>
        </w:rPr>
      </w:pPr>
      <w:r>
        <w:rPr>
          <w:lang w:val="en-US" w:eastAsia="ko-KR"/>
        </w:rPr>
        <w:t>The following</w:t>
      </w:r>
      <w:r w:rsidR="00893693">
        <w:rPr>
          <w:lang w:val="en-US" w:eastAsia="ko-KR"/>
        </w:rPr>
        <w:t xml:space="preserve"> Proposal 1-1a</w:t>
      </w:r>
      <w:r>
        <w:rPr>
          <w:lang w:val="en-US" w:eastAsia="ko-KR"/>
        </w:rPr>
        <w:t xml:space="preserve"> ha</w:t>
      </w:r>
      <w:r w:rsidR="00893693">
        <w:rPr>
          <w:lang w:val="en-US" w:eastAsia="ko-KR"/>
        </w:rPr>
        <w:t>s</w:t>
      </w:r>
      <w:r>
        <w:rPr>
          <w:lang w:val="en-US" w:eastAsia="ko-KR"/>
        </w:rPr>
        <w:t xml:space="preserve"> been proposed by FL </w:t>
      </w:r>
      <w:r w:rsidR="00893693">
        <w:rPr>
          <w:lang w:val="en-US" w:eastAsia="ko-KR"/>
        </w:rPr>
        <w:t xml:space="preserve">and discussed in online/offline during </w:t>
      </w:r>
      <w:r>
        <w:rPr>
          <w:lang w:val="en-US" w:eastAsia="ko-KR"/>
        </w:rPr>
        <w:t xml:space="preserve">RAN1 </w:t>
      </w:r>
      <w:r w:rsidR="00893693">
        <w:rPr>
          <w:lang w:val="en-US" w:eastAsia="ko-KR"/>
        </w:rPr>
        <w:t xml:space="preserve">#110b-e but the group couldn’t reach a consensus </w:t>
      </w:r>
      <w:r>
        <w:rPr>
          <w:lang w:val="en-US" w:eastAsia="ko-KR"/>
        </w:rPr>
        <w:t>[4]:</w:t>
      </w:r>
    </w:p>
    <w:tbl>
      <w:tblPr>
        <w:tblStyle w:val="TableGrid"/>
        <w:tblW w:w="0" w:type="auto"/>
        <w:tblLook w:val="04A0" w:firstRow="1" w:lastRow="0" w:firstColumn="1" w:lastColumn="0" w:noHBand="0" w:noVBand="1"/>
      </w:tblPr>
      <w:tblGrid>
        <w:gridCol w:w="9629"/>
      </w:tblGrid>
      <w:tr w:rsidR="005D4D43" w14:paraId="5B9A6640" w14:textId="77777777" w:rsidTr="005D4D43">
        <w:tc>
          <w:tcPr>
            <w:tcW w:w="9629" w:type="dxa"/>
          </w:tcPr>
          <w:p w14:paraId="617A44A8" w14:textId="77777777" w:rsidR="005D4D43" w:rsidRPr="005A1CA2" w:rsidRDefault="005D4D43" w:rsidP="005D4D43">
            <w:pPr>
              <w:spacing w:beforeLines="50" w:before="120" w:afterLines="50"/>
              <w:rPr>
                <w:rFonts w:cs="Arial"/>
                <w:b/>
                <w:bCs/>
                <w:iCs/>
              </w:rPr>
            </w:pPr>
            <w:r w:rsidRPr="00A5621B">
              <w:rPr>
                <w:rFonts w:cs="Arial"/>
                <w:b/>
                <w:bCs/>
                <w:iCs/>
              </w:rPr>
              <w:t>[Proposal 1-1a]</w:t>
            </w:r>
            <w:r w:rsidRPr="005A1CA2">
              <w:rPr>
                <w:rFonts w:cs="Arial"/>
                <w:b/>
                <w:bCs/>
                <w:iCs/>
              </w:rPr>
              <w:t>:</w:t>
            </w:r>
          </w:p>
          <w:p w14:paraId="2AA8D7FB" w14:textId="77777777" w:rsidR="005D4D43" w:rsidRPr="00A5621B" w:rsidRDefault="005D4D43" w:rsidP="005D4D43">
            <w:pPr>
              <w:rPr>
                <w:rFonts w:cs="Arial"/>
              </w:rPr>
            </w:pPr>
            <w:r w:rsidRPr="00A5621B">
              <w:rPr>
                <w:rFonts w:cs="Arial"/>
              </w:rPr>
              <w:t>For eMTC NTN, to configure/indicate enabling/disabling of HARQ feedback for downlink transmission, at least Option 1 (e.g., per HARQ process via UE specific RRC signaling) is supported.</w:t>
            </w:r>
          </w:p>
          <w:p w14:paraId="2A728C68" w14:textId="77777777" w:rsidR="005D4D43" w:rsidRPr="00A5621B" w:rsidRDefault="005D4D43" w:rsidP="005D4D43">
            <w:pPr>
              <w:pStyle w:val="ListParagraph"/>
              <w:numPr>
                <w:ilvl w:val="0"/>
                <w:numId w:val="23"/>
              </w:numPr>
              <w:snapToGrid w:val="0"/>
              <w:spacing w:beforeLines="50" w:before="120" w:afterLines="50" w:after="120" w:line="240" w:lineRule="auto"/>
              <w:ind w:left="420"/>
              <w:contextualSpacing w:val="0"/>
              <w:rPr>
                <w:rFonts w:ascii="Arial" w:hAnsi="Arial" w:cs="Arial"/>
                <w:sz w:val="20"/>
                <w:szCs w:val="20"/>
                <w:lang w:eastAsia="zh-CN"/>
              </w:rPr>
            </w:pPr>
            <w:r w:rsidRPr="00A5621B">
              <w:rPr>
                <w:rFonts w:ascii="Arial" w:hAnsi="Arial" w:cs="Arial"/>
                <w:sz w:val="20"/>
                <w:szCs w:val="20"/>
                <w:lang w:eastAsia="zh-CN"/>
              </w:rPr>
              <w:t xml:space="preserve">FFS: Option 3 (e.g., </w:t>
            </w:r>
            <w:r w:rsidRPr="00A5621B">
              <w:rPr>
                <w:rFonts w:ascii="Arial" w:eastAsia="MS PGothic" w:hAnsi="Arial" w:cs="Arial"/>
                <w:sz w:val="20"/>
                <w:szCs w:val="16"/>
                <w:lang w:eastAsia="ja-JP"/>
              </w:rPr>
              <w:t>explicitly indicated by DCI</w:t>
            </w:r>
            <w:r w:rsidRPr="00A5621B">
              <w:rPr>
                <w:rFonts w:ascii="Arial" w:hAnsi="Arial" w:cs="Arial"/>
                <w:sz w:val="20"/>
                <w:szCs w:val="20"/>
                <w:lang w:eastAsia="zh-CN"/>
              </w:rPr>
              <w:t>).</w:t>
            </w:r>
          </w:p>
          <w:p w14:paraId="38CE40D8" w14:textId="06977561" w:rsidR="005D4D43" w:rsidRPr="00A5621B" w:rsidRDefault="005D4D43" w:rsidP="00A5621B">
            <w:pPr>
              <w:pStyle w:val="ListParagraph"/>
              <w:numPr>
                <w:ilvl w:val="0"/>
                <w:numId w:val="23"/>
              </w:numPr>
              <w:snapToGrid w:val="0"/>
              <w:spacing w:beforeLines="50" w:before="120" w:afterLines="50" w:after="120" w:line="240" w:lineRule="auto"/>
              <w:ind w:left="420"/>
              <w:contextualSpacing w:val="0"/>
              <w:rPr>
                <w:rFonts w:ascii="Times New Roman" w:hAnsi="Times New Roman"/>
              </w:rPr>
            </w:pPr>
            <w:r w:rsidRPr="00A5621B">
              <w:rPr>
                <w:rFonts w:ascii="Arial" w:hAnsi="Arial" w:cs="Arial"/>
                <w:sz w:val="20"/>
                <w:szCs w:val="20"/>
                <w:lang w:eastAsia="zh-CN"/>
              </w:rPr>
              <w:t>FFS: Criteria on switching of different options</w:t>
            </w:r>
          </w:p>
        </w:tc>
      </w:tr>
    </w:tbl>
    <w:p w14:paraId="5E366BF4" w14:textId="23F47CB2" w:rsidR="005D4D43" w:rsidRDefault="005D4D43" w:rsidP="00473EB3">
      <w:pPr>
        <w:rPr>
          <w:lang w:val="en-US"/>
        </w:rPr>
      </w:pPr>
    </w:p>
    <w:p w14:paraId="6C461EAF" w14:textId="183B0310" w:rsidR="008264D5" w:rsidRDefault="008264D5" w:rsidP="00A5621B">
      <w:pPr>
        <w:spacing w:line="276" w:lineRule="auto"/>
        <w:rPr>
          <w:lang w:val="en-US"/>
        </w:rPr>
      </w:pPr>
      <w:r>
        <w:rPr>
          <w:lang w:val="en-US"/>
        </w:rPr>
        <w:t>Unlike NB-IoT UE, eMTC UE doesn’t have MAC-CE activation issue</w:t>
      </w:r>
      <w:r w:rsidR="00893693">
        <w:rPr>
          <w:lang w:val="en-US"/>
        </w:rPr>
        <w:t xml:space="preserve"> with Option 1</w:t>
      </w:r>
      <w:r>
        <w:rPr>
          <w:lang w:val="en-US"/>
        </w:rPr>
        <w:t xml:space="preserve"> s</w:t>
      </w:r>
      <w:r w:rsidR="005D4D43">
        <w:rPr>
          <w:lang w:val="en-US"/>
        </w:rPr>
        <w:t xml:space="preserve">ince eMTC UE </w:t>
      </w:r>
      <w:r>
        <w:rPr>
          <w:lang w:val="en-US"/>
        </w:rPr>
        <w:t xml:space="preserve">has multiple HARQ processes always. Similar to </w:t>
      </w:r>
      <w:r w:rsidR="00445D3F">
        <w:rPr>
          <w:lang w:val="en-US"/>
        </w:rPr>
        <w:t xml:space="preserve">Rel-17 </w:t>
      </w:r>
      <w:r>
        <w:rPr>
          <w:lang w:val="en-US"/>
        </w:rPr>
        <w:t>NR-NTN UE</w:t>
      </w:r>
      <w:r w:rsidR="00893693">
        <w:rPr>
          <w:lang w:val="en-US"/>
        </w:rPr>
        <w:t>s</w:t>
      </w:r>
      <w:r>
        <w:rPr>
          <w:lang w:val="en-US"/>
        </w:rPr>
        <w:t>, at least one HARQ process can be enabled for a DL HARQ feedback</w:t>
      </w:r>
      <w:r w:rsidR="00893693">
        <w:rPr>
          <w:lang w:val="en-US"/>
        </w:rPr>
        <w:t>;</w:t>
      </w:r>
      <w:r>
        <w:rPr>
          <w:lang w:val="en-US"/>
        </w:rPr>
        <w:t xml:space="preserve"> and the HARQ process can be used for MAC-CE transmission</w:t>
      </w:r>
      <w:r w:rsidR="00893693">
        <w:rPr>
          <w:lang w:val="en-US"/>
        </w:rPr>
        <w:t xml:space="preserve"> as an example</w:t>
      </w:r>
      <w:r w:rsidR="0071419C">
        <w:rPr>
          <w:lang w:val="en-US"/>
        </w:rPr>
        <w:t>.</w:t>
      </w:r>
      <w:r>
        <w:rPr>
          <w:lang w:val="en-US"/>
        </w:rPr>
        <w:t xml:space="preserve"> Th</w:t>
      </w:r>
      <w:r w:rsidR="0071419C">
        <w:rPr>
          <w:lang w:val="en-US"/>
        </w:rPr>
        <w:t>us</w:t>
      </w:r>
      <w:r>
        <w:rPr>
          <w:lang w:val="en-US"/>
        </w:rPr>
        <w:t xml:space="preserve">, </w:t>
      </w:r>
      <w:r w:rsidR="0071419C">
        <w:rPr>
          <w:lang w:val="en-US"/>
        </w:rPr>
        <w:t xml:space="preserve">additional support of </w:t>
      </w:r>
      <w:r>
        <w:rPr>
          <w:lang w:val="en-US"/>
        </w:rPr>
        <w:t>Option 3 doesn’t seem to be necessary for eMTC NTN case.</w:t>
      </w:r>
    </w:p>
    <w:p w14:paraId="1290A9A7" w14:textId="38436F41" w:rsidR="008264D5" w:rsidRDefault="0071419C" w:rsidP="00A5621B">
      <w:pPr>
        <w:spacing w:line="276" w:lineRule="auto"/>
        <w:rPr>
          <w:lang w:val="en-US"/>
        </w:rPr>
      </w:pPr>
      <w:r>
        <w:rPr>
          <w:lang w:val="en-US"/>
        </w:rPr>
        <w:t>Furthermore</w:t>
      </w:r>
      <w:r w:rsidR="008264D5">
        <w:rPr>
          <w:lang w:val="en-US"/>
        </w:rPr>
        <w:t xml:space="preserve">, RAN2 has made an agreement already in RAN2-119 that Option 1 is at least supported for eMTC UE to enable/disable DL HARQ feedback which is </w:t>
      </w:r>
      <w:r>
        <w:rPr>
          <w:lang w:val="en-US"/>
        </w:rPr>
        <w:t xml:space="preserve">also </w:t>
      </w:r>
      <w:r w:rsidR="008264D5">
        <w:rPr>
          <w:lang w:val="en-US"/>
        </w:rPr>
        <w:t xml:space="preserve">aligned with the </w:t>
      </w:r>
      <w:r>
        <w:rPr>
          <w:lang w:val="en-US"/>
        </w:rPr>
        <w:t xml:space="preserve">RAN </w:t>
      </w:r>
      <w:r w:rsidR="008264D5">
        <w:rPr>
          <w:lang w:val="en-US"/>
        </w:rPr>
        <w:t>guidance</w:t>
      </w:r>
      <w:r>
        <w:rPr>
          <w:lang w:val="en-US"/>
        </w:rPr>
        <w:t xml:space="preserve"> captured</w:t>
      </w:r>
      <w:r w:rsidR="008264D5">
        <w:rPr>
          <w:lang w:val="en-US"/>
        </w:rPr>
        <w:t xml:space="preserve"> in the WID </w:t>
      </w:r>
      <w:r>
        <w:rPr>
          <w:lang w:val="en-US"/>
        </w:rPr>
        <w:t>to</w:t>
      </w:r>
      <w:r w:rsidR="008264D5">
        <w:rPr>
          <w:lang w:val="en-US"/>
        </w:rPr>
        <w:t xml:space="preserve"> reuse NR-NTN </w:t>
      </w:r>
      <w:r>
        <w:rPr>
          <w:lang w:val="en-US"/>
        </w:rPr>
        <w:t>solutions as much as possible unless critical issue is found</w:t>
      </w:r>
      <w:r w:rsidR="008264D5">
        <w:rPr>
          <w:lang w:val="en-US"/>
        </w:rPr>
        <w:t>.</w:t>
      </w:r>
    </w:p>
    <w:p w14:paraId="7560805E" w14:textId="54C722B3" w:rsidR="005D4D43" w:rsidRDefault="0071419C" w:rsidP="00A5621B">
      <w:pPr>
        <w:spacing w:line="276" w:lineRule="auto"/>
        <w:rPr>
          <w:lang w:val="en-US"/>
        </w:rPr>
      </w:pPr>
      <w:r>
        <w:rPr>
          <w:lang w:val="en-US"/>
        </w:rPr>
        <w:t>The proposal 1-1a was supported by majority number of companies in the previous meeting and a single company raised a concern to have the same solution for both eMTC and NB-IoT which doesn’t seem to be necessary</w:t>
      </w:r>
      <w:r w:rsidR="009D1286">
        <w:rPr>
          <w:lang w:val="en-US"/>
        </w:rPr>
        <w:t xml:space="preserve"> as it doesn’t reduce any implementation complexity considering that the Option 1 is already supported for Rel-17 NR-NTN. </w:t>
      </w:r>
    </w:p>
    <w:p w14:paraId="3C3BAADF" w14:textId="14D30538" w:rsidR="005D4D43" w:rsidRPr="00A5621B" w:rsidRDefault="009D1286" w:rsidP="00A5621B">
      <w:pPr>
        <w:spacing w:line="276" w:lineRule="auto"/>
        <w:rPr>
          <w:i/>
          <w:iCs/>
          <w:lang w:val="en-US"/>
        </w:rPr>
      </w:pPr>
      <w:r w:rsidRPr="00A5621B">
        <w:rPr>
          <w:b/>
          <w:bCs/>
          <w:i/>
          <w:iCs/>
          <w:lang w:val="en-US"/>
        </w:rPr>
        <w:t>Proposal 3:</w:t>
      </w:r>
      <w:r w:rsidRPr="00A5621B">
        <w:rPr>
          <w:i/>
          <w:iCs/>
          <w:lang w:val="en-US"/>
        </w:rPr>
        <w:t xml:space="preserve"> At least Option 1 is supported for enabling/disabling HARQ feedback for DL transmission for eMTC NTN.</w:t>
      </w:r>
    </w:p>
    <w:p w14:paraId="0B6D7D6F" w14:textId="77777777" w:rsidR="00214E6A" w:rsidRPr="004A1A95" w:rsidRDefault="00214E6A" w:rsidP="00214E6A">
      <w:pPr>
        <w:pStyle w:val="Heading1"/>
      </w:pPr>
      <w:r w:rsidRPr="004A1A95">
        <w:t>Conclusion</w:t>
      </w:r>
    </w:p>
    <w:p w14:paraId="66F0DF76" w14:textId="31365E0D" w:rsidR="00E013C6" w:rsidRDefault="00214E6A" w:rsidP="00C6277A">
      <w:pPr>
        <w:tabs>
          <w:tab w:val="left" w:pos="0"/>
        </w:tabs>
        <w:rPr>
          <w:iCs/>
          <w:lang w:val="en-US"/>
        </w:rPr>
      </w:pPr>
      <w:r>
        <w:t xml:space="preserve">In this contribution the following </w:t>
      </w:r>
      <w:r w:rsidR="00E80B0C">
        <w:t>observation</w:t>
      </w:r>
      <w:r w:rsidR="00801767">
        <w:t>s</w:t>
      </w:r>
      <w:r w:rsidR="00E80B0C">
        <w:t xml:space="preserve"> and </w:t>
      </w:r>
      <w:r w:rsidR="00EB3A60">
        <w:t>proposal</w:t>
      </w:r>
      <w:r w:rsidR="005C347F">
        <w:t>s</w:t>
      </w:r>
      <w:r>
        <w:t xml:space="preserve"> were made concerning</w:t>
      </w:r>
      <w:r w:rsidR="00EC74D4">
        <w:t xml:space="preserve"> enabling/disabling DL HARQ feedback in IoT NTN</w:t>
      </w:r>
      <w:r w:rsidR="00537AF3">
        <w:t>:</w:t>
      </w:r>
    </w:p>
    <w:p w14:paraId="60204C6E" w14:textId="77777777" w:rsidR="00770CC3" w:rsidRPr="00B864A3" w:rsidRDefault="00770CC3" w:rsidP="00770CC3">
      <w:pPr>
        <w:spacing w:line="276" w:lineRule="auto"/>
        <w:rPr>
          <w:i/>
          <w:iCs/>
        </w:rPr>
      </w:pPr>
      <w:r w:rsidRPr="00B864A3">
        <w:rPr>
          <w:b/>
          <w:bCs/>
          <w:i/>
          <w:iCs/>
        </w:rPr>
        <w:t>Observation-1:</w:t>
      </w:r>
      <w:r w:rsidRPr="00B864A3">
        <w:rPr>
          <w:i/>
          <w:iCs/>
        </w:rPr>
        <w:t xml:space="preserve"> </w:t>
      </w:r>
      <w:r>
        <w:rPr>
          <w:i/>
          <w:iCs/>
        </w:rPr>
        <w:t xml:space="preserve">In Option 6a-1, adaptation between Option 1 and Option 3 is not supported for the vast majority of NB-IoT UEs (e.g., UEs supporting CP-Mode only) since RRC </w:t>
      </w:r>
      <w:r w:rsidRPr="00B864A3">
        <w:rPr>
          <w:i/>
          <w:iCs/>
        </w:rPr>
        <w:t xml:space="preserve">reconfiguration is not applicable to </w:t>
      </w:r>
      <w:r>
        <w:rPr>
          <w:i/>
          <w:iCs/>
        </w:rPr>
        <w:t>those UEs. Therefore, Option 6a-1 is not suitable option for NB-IoT NTN.</w:t>
      </w:r>
    </w:p>
    <w:p w14:paraId="5F8661B6" w14:textId="77777777" w:rsidR="009D1286" w:rsidRPr="00B864A3" w:rsidRDefault="009D1286" w:rsidP="009D1286">
      <w:pPr>
        <w:spacing w:line="276" w:lineRule="auto"/>
        <w:rPr>
          <w:i/>
          <w:iCs/>
        </w:rPr>
      </w:pPr>
      <w:r w:rsidRPr="00B864A3">
        <w:rPr>
          <w:b/>
          <w:bCs/>
          <w:i/>
          <w:iCs/>
        </w:rPr>
        <w:t>Observation-</w:t>
      </w:r>
      <w:r>
        <w:rPr>
          <w:b/>
          <w:bCs/>
          <w:i/>
          <w:iCs/>
        </w:rPr>
        <w:t>2</w:t>
      </w:r>
      <w:r w:rsidRPr="00B864A3">
        <w:rPr>
          <w:b/>
          <w:bCs/>
          <w:i/>
          <w:iCs/>
        </w:rPr>
        <w:t>:</w:t>
      </w:r>
      <w:r w:rsidRPr="00B864A3">
        <w:rPr>
          <w:i/>
          <w:iCs/>
        </w:rPr>
        <w:t xml:space="preserve"> </w:t>
      </w:r>
      <w:r>
        <w:rPr>
          <w:i/>
          <w:iCs/>
        </w:rPr>
        <w:t>Option 6a-4 is simpler and more flexible to adapt HARQ feedback based on situations from eNB scheduler perspective.</w:t>
      </w:r>
    </w:p>
    <w:p w14:paraId="50D5F9F2" w14:textId="77777777" w:rsidR="00FE5DCA" w:rsidRDefault="00FE5DCA" w:rsidP="00CB3910">
      <w:pPr>
        <w:ind w:left="1440" w:hanging="1440"/>
        <w:rPr>
          <w:i/>
          <w:iCs/>
          <w:lang w:val="en-US"/>
        </w:rPr>
      </w:pPr>
    </w:p>
    <w:p w14:paraId="4FF08B43" w14:textId="5DB0C078" w:rsidR="009D1286" w:rsidRDefault="009D1286" w:rsidP="009D1286">
      <w:pPr>
        <w:rPr>
          <w:i/>
          <w:iCs/>
        </w:rPr>
      </w:pPr>
      <w:r w:rsidRPr="00B864A3">
        <w:rPr>
          <w:b/>
          <w:bCs/>
          <w:i/>
          <w:iCs/>
        </w:rPr>
        <w:t>Proposal 1:</w:t>
      </w:r>
      <w:r w:rsidRPr="00B864A3">
        <w:rPr>
          <w:i/>
          <w:iCs/>
        </w:rPr>
        <w:t xml:space="preserve"> Option 6a-4 is adopted for enabling/disabling HARQ feedback for NB-IoT NTN</w:t>
      </w:r>
      <w:r>
        <w:rPr>
          <w:i/>
          <w:iCs/>
        </w:rPr>
        <w:t>.</w:t>
      </w:r>
    </w:p>
    <w:p w14:paraId="28568314" w14:textId="77777777" w:rsidR="009D1286" w:rsidRPr="00B864A3" w:rsidRDefault="009D1286" w:rsidP="009D1286">
      <w:pPr>
        <w:rPr>
          <w:i/>
          <w:iCs/>
        </w:rPr>
      </w:pPr>
      <w:r w:rsidRPr="00B864A3">
        <w:rPr>
          <w:b/>
          <w:bCs/>
          <w:i/>
          <w:iCs/>
        </w:rPr>
        <w:t>Proposal 2:</w:t>
      </w:r>
      <w:r w:rsidRPr="00B864A3">
        <w:rPr>
          <w:i/>
          <w:iCs/>
        </w:rPr>
        <w:t xml:space="preserve"> a new DCI field is introduced to override enabled or disabled HARQ feedback from RRC configuration for Option 6a-4.</w:t>
      </w:r>
    </w:p>
    <w:p w14:paraId="60D4B2A7" w14:textId="51A34473" w:rsidR="009D1286" w:rsidRPr="00A5621B" w:rsidRDefault="009D1286" w:rsidP="009D1286">
      <w:pPr>
        <w:rPr>
          <w:i/>
          <w:iCs/>
          <w:lang w:val="en-US"/>
        </w:rPr>
      </w:pPr>
      <w:r w:rsidRPr="00B864A3">
        <w:rPr>
          <w:b/>
          <w:bCs/>
          <w:i/>
          <w:iCs/>
          <w:lang w:val="en-US"/>
        </w:rPr>
        <w:t>Proposal 3:</w:t>
      </w:r>
      <w:r w:rsidRPr="00B864A3">
        <w:rPr>
          <w:i/>
          <w:iCs/>
          <w:lang w:val="en-US"/>
        </w:rPr>
        <w:t xml:space="preserve"> At least Option 1 is supported for enabling/disabling HARQ feedback for DL transmission for eMTC NTN.</w:t>
      </w:r>
    </w:p>
    <w:p w14:paraId="377E0382" w14:textId="105450B8" w:rsidR="00214E6A" w:rsidRPr="00D90A41" w:rsidRDefault="00214E6A" w:rsidP="00214E6A">
      <w:pPr>
        <w:pStyle w:val="Heading1"/>
      </w:pPr>
      <w:r w:rsidRPr="00D90A41">
        <w:t>References</w:t>
      </w:r>
    </w:p>
    <w:p w14:paraId="4760006B" w14:textId="330480E2" w:rsidR="00672EEA" w:rsidRDefault="0050426B" w:rsidP="002A34C6">
      <w:pPr>
        <w:pStyle w:val="Reference"/>
      </w:pPr>
      <w:r>
        <w:t xml:space="preserve">RP-221806 </w:t>
      </w:r>
      <w:r w:rsidR="00874191">
        <w:t>–</w:t>
      </w:r>
      <w:r>
        <w:t xml:space="preserve"> </w:t>
      </w:r>
      <w:r w:rsidR="00874191">
        <w:t>WID on IoT NTN enhancements</w:t>
      </w:r>
    </w:p>
    <w:p w14:paraId="4ED11B3E" w14:textId="0F1B4AF9" w:rsidR="00874191" w:rsidRDefault="00FE5DCA" w:rsidP="002A34C6">
      <w:pPr>
        <w:pStyle w:val="Reference"/>
      </w:pPr>
      <w:r>
        <w:t>RAN1 #110 Chairman’s note</w:t>
      </w:r>
    </w:p>
    <w:p w14:paraId="2517DA3F" w14:textId="2483DA19" w:rsidR="005D4D43" w:rsidRDefault="005D4D43" w:rsidP="002A34C6">
      <w:pPr>
        <w:pStyle w:val="Reference"/>
      </w:pPr>
      <w:r>
        <w:t>RAN1 #110b-e Chairman’s note</w:t>
      </w:r>
    </w:p>
    <w:p w14:paraId="7152B244" w14:textId="5642EE15" w:rsidR="005D4D43" w:rsidRDefault="005D4D43" w:rsidP="002A34C6">
      <w:pPr>
        <w:pStyle w:val="Reference"/>
      </w:pPr>
      <w:r>
        <w:t>R1-2210330, FLS#2 on disabling of HARQ feedback for IoT NTN, Moderator (Lenovo)</w:t>
      </w:r>
    </w:p>
    <w:p w14:paraId="5133BAF9" w14:textId="1E9D02F1" w:rsidR="006E4AA2" w:rsidRPr="00D90A41" w:rsidRDefault="006E4AA2" w:rsidP="00126705">
      <w:pPr>
        <w:pStyle w:val="Reference"/>
      </w:pPr>
      <w:r>
        <w:lastRenderedPageBreak/>
        <w:t xml:space="preserve">3GPP TS 38.331 - </w:t>
      </w:r>
      <w:r w:rsidR="00126705" w:rsidRPr="000B4E95">
        <w:t>3GPP TS 38.331: Radio Resource Control (RRC) protocol specification v17.</w:t>
      </w:r>
      <w:r w:rsidR="00126705">
        <w:t>1</w:t>
      </w:r>
      <w:r w:rsidR="00126705" w:rsidRPr="000B4E95">
        <w:t>.0</w:t>
      </w:r>
    </w:p>
    <w:sectPr w:rsidR="006E4AA2" w:rsidRPr="00D90A41">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749E" w14:textId="77777777" w:rsidR="00775841" w:rsidRDefault="00775841">
      <w:pPr>
        <w:spacing w:after="0"/>
      </w:pPr>
      <w:r>
        <w:separator/>
      </w:r>
    </w:p>
  </w:endnote>
  <w:endnote w:type="continuationSeparator" w:id="0">
    <w:p w14:paraId="053FBB94" w14:textId="77777777" w:rsidR="00775841" w:rsidRDefault="00775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4493" w14:textId="77777777" w:rsidR="00775841" w:rsidRDefault="00775841">
      <w:pPr>
        <w:spacing w:after="0"/>
      </w:pPr>
      <w:r>
        <w:separator/>
      </w:r>
    </w:p>
  </w:footnote>
  <w:footnote w:type="continuationSeparator" w:id="0">
    <w:p w14:paraId="313F13C1" w14:textId="77777777" w:rsidR="00775841" w:rsidRDefault="007758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8E6722"/>
    <w:multiLevelType w:val="hybridMultilevel"/>
    <w:tmpl w:val="B3FC5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EA2053"/>
    <w:multiLevelType w:val="hybridMultilevel"/>
    <w:tmpl w:val="704C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B20A66"/>
    <w:multiLevelType w:val="hybridMultilevel"/>
    <w:tmpl w:val="4078B0A0"/>
    <w:lvl w:ilvl="0" w:tplc="1BB67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20E5EEB"/>
    <w:multiLevelType w:val="hybridMultilevel"/>
    <w:tmpl w:val="7308802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BE0627"/>
    <w:multiLevelType w:val="hybridMultilevel"/>
    <w:tmpl w:val="918E91BC"/>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8C6B9B"/>
    <w:multiLevelType w:val="hybridMultilevel"/>
    <w:tmpl w:val="D0E44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17"/>
  </w:num>
  <w:num w:numId="3" w16cid:durableId="1637418349">
    <w:abstractNumId w:val="19"/>
  </w:num>
  <w:num w:numId="4" w16cid:durableId="1058475319">
    <w:abstractNumId w:val="5"/>
  </w:num>
  <w:num w:numId="5" w16cid:durableId="1771269068">
    <w:abstractNumId w:val="12"/>
  </w:num>
  <w:num w:numId="6" w16cid:durableId="803544036">
    <w:abstractNumId w:val="0"/>
  </w:num>
  <w:num w:numId="7" w16cid:durableId="1986810630">
    <w:abstractNumId w:val="23"/>
  </w:num>
  <w:num w:numId="8" w16cid:durableId="187917565">
    <w:abstractNumId w:val="24"/>
  </w:num>
  <w:num w:numId="9" w16cid:durableId="649755183">
    <w:abstractNumId w:val="6"/>
  </w:num>
  <w:num w:numId="10" w16cid:durableId="768279806">
    <w:abstractNumId w:val="13"/>
  </w:num>
  <w:num w:numId="11" w16cid:durableId="172113544">
    <w:abstractNumId w:val="9"/>
  </w:num>
  <w:num w:numId="12" w16cid:durableId="1320814565">
    <w:abstractNumId w:val="2"/>
  </w:num>
  <w:num w:numId="13" w16cid:durableId="1849832343">
    <w:abstractNumId w:val="21"/>
  </w:num>
  <w:num w:numId="14" w16cid:durableId="1230384389">
    <w:abstractNumId w:val="16"/>
  </w:num>
  <w:num w:numId="15" w16cid:durableId="714236520">
    <w:abstractNumId w:val="10"/>
  </w:num>
  <w:num w:numId="16" w16cid:durableId="1930849695">
    <w:abstractNumId w:val="15"/>
  </w:num>
  <w:num w:numId="17" w16cid:durableId="1845510200">
    <w:abstractNumId w:val="25"/>
  </w:num>
  <w:num w:numId="18" w16cid:durableId="2013796275">
    <w:abstractNumId w:val="11"/>
  </w:num>
  <w:num w:numId="19" w16cid:durableId="1656379426">
    <w:abstractNumId w:val="14"/>
  </w:num>
  <w:num w:numId="20" w16cid:durableId="692069987">
    <w:abstractNumId w:val="3"/>
  </w:num>
  <w:num w:numId="21" w16cid:durableId="1466124247">
    <w:abstractNumId w:val="20"/>
  </w:num>
  <w:num w:numId="22" w16cid:durableId="1582641372">
    <w:abstractNumId w:val="18"/>
  </w:num>
  <w:num w:numId="23" w16cid:durableId="1511525226">
    <w:abstractNumId w:val="8"/>
  </w:num>
  <w:num w:numId="24" w16cid:durableId="135342397">
    <w:abstractNumId w:val="22"/>
  </w:num>
  <w:num w:numId="25" w16cid:durableId="644549311">
    <w:abstractNumId w:val="4"/>
  </w:num>
  <w:num w:numId="26" w16cid:durableId="13201123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CEC"/>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1165"/>
    <w:rsid w:val="005513CD"/>
    <w:rsid w:val="00551DBC"/>
    <w:rsid w:val="00552C2E"/>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841"/>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6FED"/>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4E80"/>
    <w:rsid w:val="00A558B2"/>
    <w:rsid w:val="00A5600E"/>
    <w:rsid w:val="00A5621B"/>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1BC"/>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5F7"/>
    <w:rsid w:val="00E87B5F"/>
    <w:rsid w:val="00E900A1"/>
    <w:rsid w:val="00E91D7B"/>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F74"/>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Moon-il Lee</cp:lastModifiedBy>
  <cp:revision>2</cp:revision>
  <dcterms:created xsi:type="dcterms:W3CDTF">2022-11-07T01:53:00Z</dcterms:created>
  <dcterms:modified xsi:type="dcterms:W3CDTF">2022-11-07T01:53:00Z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