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7E2E83" w14:textId="409FC6F5" w:rsidR="007A7FD1" w:rsidRDefault="00000000">
      <w:pPr>
        <w:tabs>
          <w:tab w:val="right" w:pos="9216"/>
        </w:tabs>
        <w:spacing w:after="0"/>
        <w:jc w:val="left"/>
      </w:pPr>
      <w:r>
        <w:rPr>
          <w:b/>
          <w:bCs/>
          <w:kern w:val="2"/>
        </w:rPr>
        <w:t>3GPP TSG RAN WG1 Meeting #110bis-e</w:t>
      </w:r>
      <w:r>
        <w:rPr>
          <w:b/>
          <w:kern w:val="2"/>
        </w:rPr>
        <w:tab/>
      </w:r>
      <w:r>
        <w:rPr>
          <w:b/>
          <w:bCs/>
          <w:kern w:val="2"/>
        </w:rPr>
        <w:t>R1-</w:t>
      </w:r>
      <w:r w:rsidR="008B215D">
        <w:rPr>
          <w:b/>
          <w:bCs/>
          <w:kern w:val="2"/>
        </w:rPr>
        <w:t>2210109</w:t>
      </w:r>
    </w:p>
    <w:p w14:paraId="6CCB4AC1" w14:textId="77777777" w:rsidR="007A7FD1" w:rsidRDefault="00000000">
      <w:pPr>
        <w:tabs>
          <w:tab w:val="center" w:pos="4536"/>
          <w:tab w:val="right" w:pos="9072"/>
        </w:tabs>
        <w:jc w:val="left"/>
        <w:rPr>
          <w:b/>
          <w:bCs/>
          <w:kern w:val="2"/>
        </w:rPr>
      </w:pPr>
      <w:r>
        <w:rPr>
          <w:b/>
          <w:bCs/>
          <w:kern w:val="2"/>
        </w:rPr>
        <w:t>e-Meeting, October 10</w:t>
      </w:r>
      <w:r>
        <w:rPr>
          <w:b/>
          <w:bCs/>
          <w:kern w:val="2"/>
          <w:vertAlign w:val="superscript"/>
        </w:rPr>
        <w:t>th</w:t>
      </w:r>
      <w:r>
        <w:rPr>
          <w:b/>
          <w:bCs/>
          <w:kern w:val="2"/>
        </w:rPr>
        <w:t xml:space="preserve"> – 19</w:t>
      </w:r>
      <w:r>
        <w:rPr>
          <w:b/>
          <w:bCs/>
          <w:kern w:val="2"/>
          <w:vertAlign w:val="superscript"/>
        </w:rPr>
        <w:t>th</w:t>
      </w:r>
      <w:r>
        <w:rPr>
          <w:b/>
          <w:bCs/>
          <w:kern w:val="2"/>
        </w:rPr>
        <w:t>, 2022</w:t>
      </w:r>
    </w:p>
    <w:p w14:paraId="4DFFAEFF" w14:textId="77777777" w:rsidR="007A7FD1" w:rsidRDefault="007A7FD1">
      <w:pPr>
        <w:pBdr>
          <w:top w:val="single" w:sz="4" w:space="1" w:color="000000"/>
        </w:pBdr>
        <w:spacing w:after="0"/>
        <w:jc w:val="left"/>
        <w:rPr>
          <w:b/>
          <w:kern w:val="2"/>
          <w:sz w:val="16"/>
          <w:szCs w:val="16"/>
        </w:rPr>
      </w:pPr>
    </w:p>
    <w:p w14:paraId="64E9413B" w14:textId="77777777" w:rsidR="007A7FD1" w:rsidRDefault="00000000">
      <w:pPr>
        <w:spacing w:after="60"/>
        <w:ind w:left="1555" w:hanging="1555"/>
        <w:jc w:val="left"/>
      </w:pPr>
      <w:r>
        <w:rPr>
          <w:b/>
          <w:kern w:val="2"/>
        </w:rPr>
        <w:t>Agenda Item:</w:t>
      </w:r>
      <w:r>
        <w:rPr>
          <w:b/>
          <w:kern w:val="2"/>
        </w:rPr>
        <w:tab/>
        <w:t>9.3.3</w:t>
      </w:r>
    </w:p>
    <w:p w14:paraId="6378510B" w14:textId="77777777" w:rsidR="007A7FD1" w:rsidRDefault="00000000">
      <w:pPr>
        <w:spacing w:after="60"/>
        <w:ind w:left="1555" w:hanging="1555"/>
        <w:jc w:val="left"/>
      </w:pPr>
      <w:r>
        <w:rPr>
          <w:b/>
          <w:kern w:val="2"/>
        </w:rPr>
        <w:t>Source:</w:t>
      </w:r>
      <w:r>
        <w:rPr>
          <w:b/>
          <w:kern w:val="2"/>
        </w:rPr>
        <w:tab/>
        <w:t>CEWiT</w:t>
      </w:r>
    </w:p>
    <w:p w14:paraId="19CA0052" w14:textId="77777777" w:rsidR="007A7FD1"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757AFDC9" w14:textId="77777777" w:rsidR="007A7FD1" w:rsidRDefault="00000000">
      <w:pPr>
        <w:spacing w:after="60"/>
        <w:ind w:left="1555" w:hanging="1555"/>
        <w:jc w:val="left"/>
      </w:pPr>
      <w:r>
        <w:rPr>
          <w:b/>
          <w:kern w:val="2"/>
        </w:rPr>
        <w:t>Document for:</w:t>
      </w:r>
      <w:r>
        <w:rPr>
          <w:b/>
          <w:kern w:val="2"/>
        </w:rPr>
        <w:tab/>
        <w:t xml:space="preserve">Discussion </w:t>
      </w:r>
    </w:p>
    <w:p w14:paraId="0A670A79" w14:textId="77777777" w:rsidR="007A7FD1" w:rsidRDefault="007A7FD1">
      <w:pPr>
        <w:pBdr>
          <w:bottom w:val="single" w:sz="4" w:space="1" w:color="000000"/>
        </w:pBdr>
        <w:spacing w:after="0"/>
        <w:jc w:val="left"/>
        <w:rPr>
          <w:b/>
          <w:kern w:val="2"/>
          <w:sz w:val="16"/>
          <w:szCs w:val="16"/>
        </w:rPr>
      </w:pPr>
    </w:p>
    <w:p w14:paraId="2E098093" w14:textId="77777777" w:rsidR="007A7FD1" w:rsidRDefault="00000000">
      <w:pPr>
        <w:pStyle w:val="Heading1"/>
        <w:numPr>
          <w:ilvl w:val="0"/>
          <w:numId w:val="2"/>
        </w:numPr>
      </w:pPr>
      <w:bookmarkStart w:id="0" w:name="_Ref129681862"/>
      <w:bookmarkStart w:id="1" w:name="_Ref124589705"/>
      <w:r>
        <w:t>Introduction</w:t>
      </w:r>
      <w:bookmarkEnd w:id="0"/>
      <w:bookmarkEnd w:id="1"/>
    </w:p>
    <w:p w14:paraId="4CCFBCB0" w14:textId="218E912E" w:rsidR="007A7FD1" w:rsidRDefault="00000000" w:rsidP="000374E6">
      <w:pPr>
        <w:rPr>
          <w:color w:val="000000" w:themeColor="text1"/>
        </w:rPr>
      </w:pPr>
      <w:r>
        <w:t xml:space="preserve">A new study item (SI) on “Study on evolution of NR duplex operation” was approved in RAN#94-e [1]. According to the objectives of this SI, enhancements on </w:t>
      </w:r>
      <w:r>
        <w:rPr>
          <w:rFonts w:eastAsia="Malgun Gothic"/>
          <w:kern w:val="2"/>
          <w:lang w:eastAsia="ko-KR"/>
        </w:rPr>
        <w:t xml:space="preserve">dynamic/flexible TDD is to be studied. The discussions started in RAN1#109-e. This agenda item will basically focus on UE-to-UE and gNB-to-gNB CLI. </w:t>
      </w:r>
      <w:r w:rsidR="000374E6">
        <w:rPr>
          <w:rFonts w:eastAsia="Malgun Gothic"/>
          <w:kern w:val="2"/>
          <w:lang w:eastAsia="ko-KR"/>
        </w:rPr>
        <w:t>Also</w:t>
      </w:r>
      <w:r>
        <w:rPr>
          <w:color w:val="000000" w:themeColor="text1"/>
          <w:lang w:eastAsia="ko-KR"/>
        </w:rPr>
        <w:t xml:space="preserve"> discusses the potential areas of enhancements to the CLI management procedure based on the agreements made in RAN1 #110 meeting. </w:t>
      </w:r>
    </w:p>
    <w:p w14:paraId="58868181" w14:textId="77777777" w:rsidR="007A7FD1" w:rsidRDefault="00000000">
      <w:pPr>
        <w:pStyle w:val="Heading1"/>
        <w:numPr>
          <w:ilvl w:val="0"/>
          <w:numId w:val="2"/>
        </w:numPr>
      </w:pPr>
      <w:r>
        <w:t xml:space="preserve">Potential areas of enhancements in flexible TDD </w:t>
      </w:r>
    </w:p>
    <w:p w14:paraId="3B231C56" w14:textId="77777777" w:rsidR="007A7FD1" w:rsidRDefault="00000000">
      <w:pPr>
        <w:numPr>
          <w:ilvl w:val="1"/>
          <w:numId w:val="2"/>
        </w:numPr>
        <w:rPr>
          <w:b/>
          <w:bCs/>
          <w:sz w:val="24"/>
          <w:szCs w:val="24"/>
        </w:rPr>
      </w:pPr>
      <w:r>
        <w:rPr>
          <w:b/>
          <w:bCs/>
          <w:sz w:val="24"/>
          <w:szCs w:val="24"/>
        </w:rPr>
        <w:t xml:space="preserve">Enhancements related to </w:t>
      </w:r>
      <w:r>
        <w:rPr>
          <w:rFonts w:eastAsia="Malgun Gothic"/>
          <w:b/>
          <w:bCs/>
          <w:color w:val="000000"/>
          <w:sz w:val="24"/>
          <w:szCs w:val="24"/>
          <w:lang w:eastAsia="ko-KR"/>
        </w:rPr>
        <w:t xml:space="preserve">UE-to-UE CLI </w:t>
      </w:r>
      <w:r>
        <w:rPr>
          <w:b/>
          <w:bCs/>
          <w:sz w:val="24"/>
          <w:szCs w:val="24"/>
        </w:rPr>
        <w:t>measurement and reporting</w:t>
      </w:r>
    </w:p>
    <w:p w14:paraId="4D02ED5A" w14:textId="0CAF955E" w:rsidR="007A7FD1" w:rsidRDefault="00000000">
      <w:pPr>
        <w:rPr>
          <w:color w:val="000000" w:themeColor="text1"/>
          <w:lang w:eastAsia="ko-KR"/>
        </w:rPr>
      </w:pPr>
      <w:r>
        <w:rPr>
          <w:color w:val="000000" w:themeColor="text1"/>
          <w:lang w:eastAsia="ko-KR"/>
        </w:rPr>
        <w:t xml:space="preserve">The following agreement was made for </w:t>
      </w:r>
      <w:r>
        <w:rPr>
          <w:rFonts w:eastAsia="Malgun Gothic"/>
          <w:color w:val="000000" w:themeColor="text1"/>
          <w:sz w:val="20"/>
          <w:szCs w:val="20"/>
          <w:lang w:eastAsia="ko-KR"/>
        </w:rPr>
        <w:t>UE-to-UE co-channel CLI measurement and reporting</w:t>
      </w:r>
      <w:r>
        <w:rPr>
          <w:color w:val="000000" w:themeColor="text1"/>
          <w:lang w:eastAsia="ko-KR"/>
        </w:rPr>
        <w:t xml:space="preserve"> in RAN1 #110 meeting [</w:t>
      </w:r>
      <w:r w:rsidR="000374E6">
        <w:rPr>
          <w:color w:val="000000" w:themeColor="text1"/>
          <w:lang w:eastAsia="ko-KR"/>
        </w:rPr>
        <w:t>2</w:t>
      </w:r>
      <w:r>
        <w:rPr>
          <w:color w:val="000000" w:themeColor="text1"/>
          <w:lang w:eastAsia="ko-KR"/>
        </w:rPr>
        <w:t xml:space="preserve">]. </w:t>
      </w:r>
    </w:p>
    <w:p w14:paraId="045874EF" w14:textId="77777777" w:rsidR="007A7FD1" w:rsidRDefault="00000000">
      <w:pPr>
        <w:rPr>
          <w:i/>
          <w:iCs/>
          <w:sz w:val="20"/>
          <w:szCs w:val="20"/>
        </w:rPr>
      </w:pPr>
      <w:r>
        <w:rPr>
          <w:rFonts w:eastAsia="Malgun Gothic" w:cs="Calibri"/>
          <w:b/>
          <w:bCs/>
          <w:i/>
          <w:iCs/>
          <w:color w:val="000000"/>
          <w:sz w:val="20"/>
          <w:szCs w:val="20"/>
          <w:highlight w:val="green"/>
          <w:lang w:eastAsia="ko-KR"/>
        </w:rPr>
        <w:t>Agreement</w:t>
      </w:r>
      <w:r>
        <w:rPr>
          <w:rFonts w:eastAsia="Calibri" w:cs="Calibri"/>
          <w:i/>
          <w:iCs/>
          <w:color w:val="000000" w:themeColor="text1"/>
          <w:sz w:val="20"/>
          <w:szCs w:val="20"/>
        </w:rPr>
        <w:tab/>
      </w:r>
    </w:p>
    <w:p w14:paraId="508AA321" w14:textId="77777777" w:rsidR="007A7FD1" w:rsidRDefault="00000000">
      <w:pPr>
        <w:pStyle w:val="a8"/>
        <w:ind w:left="0"/>
        <w:textAlignment w:val="baseline"/>
        <w:rPr>
          <w:i/>
          <w:iCs/>
          <w:sz w:val="20"/>
          <w:szCs w:val="20"/>
        </w:rPr>
      </w:pPr>
      <w:r>
        <w:rPr>
          <w:rFonts w:eastAsia="Malgun Gothic"/>
          <w:i/>
          <w:iCs/>
          <w:sz w:val="20"/>
          <w:szCs w:val="20"/>
          <w:lang w:eastAsia="ko-KR"/>
        </w:rPr>
        <w:t xml:space="preserve">Study the feasibility and potential benefit of UE-to-UE co-channel CLI measurement and reporting, which can be specific for dynamic/flexible TDD and/or common for both SBFD and dynamic/flexible TDD, </w:t>
      </w:r>
      <w:r>
        <w:rPr>
          <w:rFonts w:eastAsia="SimSun;宋体"/>
          <w:i/>
          <w:iCs/>
          <w:sz w:val="20"/>
          <w:szCs w:val="20"/>
        </w:rPr>
        <w:t>at least includes:</w:t>
      </w:r>
    </w:p>
    <w:p w14:paraId="71A10C91" w14:textId="77777777" w:rsidR="007A7FD1" w:rsidRDefault="00000000">
      <w:pPr>
        <w:pStyle w:val="a8"/>
        <w:ind w:left="1560"/>
        <w:textAlignment w:val="baseline"/>
        <w:rPr>
          <w:rFonts w:eastAsia="Malgun Gothic"/>
          <w:i/>
          <w:iCs/>
          <w:sz w:val="20"/>
          <w:szCs w:val="20"/>
          <w:lang w:eastAsia="ko-KR"/>
        </w:rPr>
      </w:pPr>
      <w:r>
        <w:rPr>
          <w:rFonts w:eastAsia="Malgun Gothic"/>
          <w:i/>
          <w:iCs/>
          <w:sz w:val="20"/>
          <w:szCs w:val="20"/>
          <w:lang w:eastAsia="ko-KR"/>
        </w:rPr>
        <w:t>- Measurement resource/reporting configuration</w:t>
      </w:r>
    </w:p>
    <w:p w14:paraId="4A6BFFE0" w14:textId="77777777" w:rsidR="007A7FD1" w:rsidRDefault="00000000">
      <w:pPr>
        <w:pStyle w:val="a8"/>
        <w:ind w:left="1560"/>
        <w:textAlignment w:val="baseline"/>
        <w:rPr>
          <w:rFonts w:eastAsia="Malgun Gothic"/>
          <w:i/>
          <w:iCs/>
          <w:sz w:val="20"/>
          <w:szCs w:val="20"/>
          <w:lang w:eastAsia="ko-KR"/>
        </w:rPr>
      </w:pPr>
      <w:r>
        <w:rPr>
          <w:rFonts w:eastAsia="Malgun Gothic"/>
          <w:i/>
          <w:iCs/>
          <w:sz w:val="20"/>
          <w:szCs w:val="20"/>
          <w:lang w:eastAsia="ko-KR"/>
        </w:rPr>
        <w:t>- Measurement/reporting details (including UE processing delay)</w:t>
      </w:r>
    </w:p>
    <w:p w14:paraId="2C440F1D" w14:textId="77777777" w:rsidR="007A7FD1" w:rsidRDefault="00000000">
      <w:pPr>
        <w:pStyle w:val="a8"/>
        <w:ind w:left="1080"/>
        <w:textAlignment w:val="baseline"/>
        <w:rPr>
          <w:i/>
          <w:iCs/>
          <w:sz w:val="20"/>
          <w:szCs w:val="20"/>
        </w:rPr>
      </w:pPr>
      <w:r>
        <w:rPr>
          <w:rFonts w:eastAsia="Malgun Gothic"/>
          <w:i/>
          <w:iCs/>
          <w:sz w:val="20"/>
          <w:szCs w:val="20"/>
          <w:lang w:eastAsia="ko-KR"/>
        </w:rPr>
        <w:tab/>
        <w:t xml:space="preserve">     - Relevant information exchange (between </w:t>
      </w:r>
      <w:proofErr w:type="spellStart"/>
      <w:r>
        <w:rPr>
          <w:rFonts w:eastAsia="Malgun Gothic"/>
          <w:i/>
          <w:iCs/>
          <w:sz w:val="20"/>
          <w:szCs w:val="20"/>
          <w:lang w:eastAsia="ko-KR"/>
        </w:rPr>
        <w:t>gNBs</w:t>
      </w:r>
      <w:proofErr w:type="spellEnd"/>
      <w:r>
        <w:rPr>
          <w:rFonts w:eastAsia="Malgun Gothic"/>
          <w:i/>
          <w:iCs/>
          <w:sz w:val="20"/>
          <w:szCs w:val="20"/>
          <w:lang w:eastAsia="ko-KR"/>
        </w:rPr>
        <w:t>) if needed</w:t>
      </w:r>
    </w:p>
    <w:p w14:paraId="4A04A41A" w14:textId="77777777" w:rsidR="007A7FD1" w:rsidRDefault="00000000">
      <w:pPr>
        <w:pStyle w:val="a8"/>
        <w:ind w:left="1560"/>
        <w:textAlignment w:val="baseline"/>
        <w:rPr>
          <w:rFonts w:eastAsia="Malgun Gothic"/>
          <w:i/>
          <w:iCs/>
          <w:sz w:val="20"/>
          <w:szCs w:val="20"/>
          <w:lang w:eastAsia="ko-KR"/>
        </w:rPr>
      </w:pPr>
      <w:r>
        <w:rPr>
          <w:rFonts w:eastAsia="Calibri" w:cs="Calibri"/>
          <w:i/>
          <w:iCs/>
          <w:color w:val="000000" w:themeColor="text1"/>
          <w:sz w:val="20"/>
          <w:szCs w:val="20"/>
          <w:lang w:eastAsia="ko-KR"/>
        </w:rPr>
        <w:t>- Usage of measurement at gNB</w:t>
      </w:r>
    </w:p>
    <w:p w14:paraId="2F1847BF" w14:textId="77777777" w:rsidR="007A7FD1" w:rsidRDefault="00000000">
      <w:r>
        <w:rPr>
          <w:rFonts w:eastAsia="Calibri" w:cs="Calibri"/>
          <w:color w:val="000000" w:themeColor="text1"/>
        </w:rPr>
        <w:t xml:space="preserve">The following sub-sections discuss the potential enhancements for </w:t>
      </w:r>
      <w:r>
        <w:rPr>
          <w:rFonts w:eastAsia="Malgun Gothic"/>
          <w:color w:val="000000"/>
          <w:sz w:val="20"/>
          <w:szCs w:val="20"/>
          <w:lang w:eastAsia="ko-KR"/>
        </w:rPr>
        <w:t xml:space="preserve">UE-to-UE CLI </w:t>
      </w:r>
      <w:proofErr w:type="spellStart"/>
      <w:r>
        <w:rPr>
          <w:rFonts w:eastAsia="Malgun Gothic"/>
          <w:color w:val="000000"/>
          <w:sz w:val="20"/>
          <w:szCs w:val="20"/>
          <w:lang w:eastAsia="ko-KR"/>
        </w:rPr>
        <w:t>wrt</w:t>
      </w:r>
      <w:proofErr w:type="spellEnd"/>
      <w:r>
        <w:rPr>
          <w:rFonts w:eastAsia="Malgun Gothic"/>
          <w:color w:val="000000"/>
          <w:sz w:val="20"/>
          <w:szCs w:val="20"/>
          <w:lang w:eastAsia="ko-KR"/>
        </w:rPr>
        <w:t xml:space="preserve"> the given agreement.</w:t>
      </w:r>
    </w:p>
    <w:p w14:paraId="51853D1B" w14:textId="77777777" w:rsidR="007A7FD1" w:rsidRDefault="00000000">
      <w:pPr>
        <w:pStyle w:val="Heading2"/>
        <w:numPr>
          <w:ilvl w:val="2"/>
          <w:numId w:val="2"/>
        </w:numPr>
      </w:pPr>
      <w:r>
        <w:t>Measurement resource enhancement</w:t>
      </w:r>
    </w:p>
    <w:p w14:paraId="57FAA4CC" w14:textId="40B4FA6C" w:rsidR="007A7FD1" w:rsidRDefault="00000000">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w:t>
      </w:r>
      <w:r w:rsidR="000374E6">
        <w:rPr>
          <w:rFonts w:eastAsia="Calibri" w:cs="Calibri"/>
          <w:color w:val="000000" w:themeColor="text1"/>
        </w:rPr>
        <w:t>3</w:t>
      </w:r>
      <w:r>
        <w:rPr>
          <w:rFonts w:eastAsia="Calibri" w:cs="Calibri"/>
          <w:color w:val="000000" w:themeColor="text1"/>
        </w:rPr>
        <w:t>],</w:t>
      </w:r>
      <w:r w:rsidR="00C34821">
        <w:rPr>
          <w:rFonts w:eastAsia="Calibri" w:cs="Calibri"/>
          <w:color w:val="000000" w:themeColor="text1"/>
        </w:rPr>
        <w:t xml:space="preserve"> </w:t>
      </w:r>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45911D9F" w14:textId="77777777" w:rsidR="007A7FD1"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6B2A2BBC" w14:textId="77777777" w:rsidR="007A7FD1"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4BDCB65E" w14:textId="77777777" w:rsidR="007A7FD1" w:rsidRDefault="00000000">
      <w:pPr>
        <w:pStyle w:val="B2"/>
      </w:pPr>
      <w:r>
        <w:t>-</w:t>
      </w:r>
      <w:r>
        <w:tab/>
      </w:r>
      <w:proofErr w:type="spellStart"/>
      <w:r>
        <w:t>N</w:t>
      </w:r>
      <w:r>
        <w:rPr>
          <w:vertAlign w:val="subscript"/>
        </w:rPr>
        <w:t>TA_offset</w:t>
      </w:r>
      <w:proofErr w:type="spellEnd"/>
      <w:r>
        <w:t xml:space="preserve"> is defined in Table 7.1.2-2</w:t>
      </w:r>
    </w:p>
    <w:p w14:paraId="6D4D23B7" w14:textId="77777777" w:rsidR="007A7FD1"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43600F14" w14:textId="77777777" w:rsidR="007A7FD1" w:rsidRDefault="00000000">
      <w:r>
        <w:rPr>
          <w:rStyle w:val="CommentReference"/>
          <w:rFonts w:eastAsia="Calibri" w:cs="Calibri"/>
          <w:color w:val="000000" w:themeColor="text1"/>
          <w:sz w:val="22"/>
          <w:szCs w:val="22"/>
        </w:rPr>
        <w:t xml:space="preserve">As illustrated in Fig 1A, the SRS symbol is transmitted from UE 2 (aggressor UE) with some timing advance (TA). UE2 is served by gNB 2. The transmission boundary of gNB 2 is also shown in figure. In Fig. 1B, the SRS is received at UE 1 (victim UE), which is served by gNB 1, after a propagation delay of ‘t’ in case of an ideal scenario. Here, UE 1 has adjusted its reception boundaries to match with the transmission boundaries of its serving gNB (gNB 1). This adjustment is possible since UE 1 knows its own TA 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gNB 1 and gNB 2 are perfectly synchronized and hence the transmission boundary of gNB1 and gNB2 are same. In this case, the full SRS sequence can be received by UE 1 since the misalignment in reception is within the CP duration as shown in Fig. 1B. </w:t>
      </w:r>
      <w:r>
        <w:rPr>
          <w:rStyle w:val="CommentReference"/>
          <w:rFonts w:eastAsia="Calibri" w:cs="Calibri"/>
          <w:color w:val="000000" w:themeColor="text1"/>
          <w:sz w:val="22"/>
          <w:szCs w:val="22"/>
        </w:rPr>
        <w:lastRenderedPageBreak/>
        <w:t xml:space="preserve">However, in practical scenarios, there is a synchronization error (max 4.67us for FR1 and 3.67us for FR2) between gNB 1 and gNB 2 which is unknown at UE 1.  This is illustrated in Fig 1C. Hence, the 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572F45CF" w14:textId="77777777" w:rsidR="007A7FD1" w:rsidRDefault="007A7FD1">
      <w:pPr>
        <w:rPr>
          <w:rStyle w:val="CommentReference"/>
          <w:rFonts w:eastAsia="Calibri" w:cs="Calibri"/>
          <w:color w:val="000000" w:themeColor="text1"/>
          <w:sz w:val="22"/>
          <w:szCs w:val="22"/>
        </w:rPr>
      </w:pPr>
    </w:p>
    <w:p w14:paraId="4B960458" w14:textId="77777777" w:rsidR="007A7FD1" w:rsidRDefault="00000000">
      <w:pPr>
        <w:pStyle w:val="ListParagraph"/>
        <w:rPr>
          <w:rFonts w:eastAsia="Calibri" w:cs="Calibri"/>
          <w:color w:val="000000"/>
        </w:rPr>
      </w:pPr>
      <w:r>
        <w:rPr>
          <w:rFonts w:eastAsia="Calibri" w:cs="Calibri"/>
          <w:noProof/>
          <w:color w:val="000000"/>
        </w:rPr>
        <w:drawing>
          <wp:anchor distT="0" distB="0" distL="0" distR="0" simplePos="0" relativeHeight="2" behindDoc="0" locked="0" layoutInCell="1" allowOverlap="1" wp14:anchorId="0BB6795E" wp14:editId="725ABFD2">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91180" cy="2411730"/>
                    </a:xfrm>
                    <a:prstGeom prst="rect">
                      <a:avLst/>
                    </a:prstGeom>
                  </pic:spPr>
                </pic:pic>
              </a:graphicData>
            </a:graphic>
          </wp:anchor>
        </w:drawing>
      </w:r>
    </w:p>
    <w:p w14:paraId="55317E42" w14:textId="77777777" w:rsidR="007A7FD1" w:rsidRDefault="00000000">
      <w:pPr>
        <w:pStyle w:val="ListParagraph"/>
        <w:jc w:val="center"/>
        <w:rPr>
          <w:rFonts w:eastAsia="Calibri" w:cs="Calibri"/>
          <w:color w:val="000000"/>
        </w:rPr>
      </w:pPr>
      <w:r>
        <w:rPr>
          <w:rStyle w:val="CommentReference"/>
          <w:rFonts w:eastAsia="Calibri" w:cs="Calibri"/>
          <w:color w:val="000000"/>
          <w:sz w:val="22"/>
          <w:szCs w:val="22"/>
        </w:rPr>
        <w:t>Fig. 1 Transmission and reception boundaries of SRS at aggressor and victim UEs with and without gNB synchronization error</w:t>
      </w:r>
    </w:p>
    <w:p w14:paraId="66C57F18" w14:textId="77777777" w:rsidR="007A7FD1" w:rsidRDefault="00000000">
      <w:r>
        <w:rPr>
          <w:rStyle w:val="CommentReference"/>
          <w:rFonts w:eastAsia="Calibri" w:cs="Calibri"/>
          <w:b/>
          <w:bCs/>
          <w:color w:val="000000" w:themeColor="text1"/>
          <w:sz w:val="22"/>
          <w:szCs w:val="22"/>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41A9A2BF" w14:textId="77777777" w:rsidR="007A7FD1"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way of SRS transmission as illustrated in Fig. 2. Here, S1 and S2 are two SRS sequences (same sequence) in frequency domain. S2 is phase rotated by a certain factor  such that after taking IFFT and adding CP, time domain continuity is maintained over the 2 symbols. This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gNB.  </w:t>
      </w:r>
    </w:p>
    <w:p w14:paraId="23D549DD" w14:textId="77777777" w:rsidR="007A7FD1" w:rsidRDefault="007A7FD1">
      <w:pPr>
        <w:rPr>
          <w:rStyle w:val="CommentReference"/>
          <w:sz w:val="22"/>
          <w:szCs w:val="22"/>
        </w:rPr>
      </w:pPr>
    </w:p>
    <w:p w14:paraId="487F59E8" w14:textId="77777777" w:rsidR="007A7FD1" w:rsidRDefault="00000000">
      <w:pPr>
        <w:rPr>
          <w:rStyle w:val="CommentReference"/>
          <w:sz w:val="22"/>
          <w:szCs w:val="22"/>
        </w:rPr>
      </w:pPr>
      <w:r>
        <w:rPr>
          <w:noProof/>
        </w:rPr>
        <w:drawing>
          <wp:anchor distT="0" distB="0" distL="0" distR="0" simplePos="0" relativeHeight="3" behindDoc="0" locked="0" layoutInCell="1" allowOverlap="1" wp14:anchorId="1E7DCFBB" wp14:editId="5B96F6E6">
            <wp:simplePos x="0" y="0"/>
            <wp:positionH relativeFrom="column">
              <wp:align>center</wp:align>
            </wp:positionH>
            <wp:positionV relativeFrom="paragraph">
              <wp:posOffset>635</wp:posOffset>
            </wp:positionV>
            <wp:extent cx="2618105" cy="1542415"/>
            <wp:effectExtent l="0" t="0" r="0" b="0"/>
            <wp:wrapTopAndBottom/>
            <wp:docPr id="2"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58A90314" w14:textId="77777777" w:rsidR="007A7FD1" w:rsidRDefault="00000000">
      <w:pPr>
        <w:pStyle w:val="ListParagraph"/>
        <w:jc w:val="center"/>
        <w:rPr>
          <w:rFonts w:eastAsia="Calibri" w:cs="Calibri"/>
          <w:color w:val="000000"/>
        </w:rPr>
      </w:pPr>
      <w:r>
        <w:rPr>
          <w:rStyle w:val="CommentReference"/>
          <w:rFonts w:eastAsia="Calibri" w:cs="Calibri"/>
          <w:color w:val="000000"/>
          <w:sz w:val="22"/>
          <w:szCs w:val="22"/>
        </w:rPr>
        <w:t>Fig. 2 Phase rotated SRS transmission</w:t>
      </w:r>
    </w:p>
    <w:p w14:paraId="66E80263" w14:textId="77777777" w:rsidR="007A7FD1" w:rsidRDefault="00000000">
      <w:r>
        <w:rPr>
          <w:rFonts w:eastAsia="Calibri" w:cs="Calibri"/>
          <w:color w:val="000000" w:themeColor="text1"/>
        </w:rPr>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3. The simulation assumes FR2 and corresponding synchronization error (3.67 us) between gNB. The measured RSRP is compared with the RSRP of a sequence without noise to calculate the error. The CP duration decreases as the numerology is </w:t>
      </w:r>
      <w:r>
        <w:rPr>
          <w:rFonts w:eastAsia="Calibri" w:cs="Calibri"/>
          <w:color w:val="000000" w:themeColor="text1"/>
        </w:rPr>
        <w:lastRenderedPageBreak/>
        <w:t xml:space="preserve">increased. As a result, for constant synchronization error, more amount of SRS information is lost in Rel. 16 transmission scheme as numerology increases which degrades the RSRP. However, in case of the proposed method, the error in RSRP is independent of the numerology.  </w:t>
      </w:r>
    </w:p>
    <w:p w14:paraId="6DB06DEC" w14:textId="77777777" w:rsidR="007A7FD1" w:rsidRDefault="00000000">
      <w:r>
        <w:rPr>
          <w:noProof/>
        </w:rPr>
        <w:drawing>
          <wp:anchor distT="0" distB="0" distL="0" distR="0" simplePos="0" relativeHeight="4" behindDoc="0" locked="0" layoutInCell="1" allowOverlap="1" wp14:anchorId="498AB7B6" wp14:editId="69B69901">
            <wp:simplePos x="0" y="0"/>
            <wp:positionH relativeFrom="column">
              <wp:align>center</wp:align>
            </wp:positionH>
            <wp:positionV relativeFrom="paragraph">
              <wp:posOffset>635</wp:posOffset>
            </wp:positionV>
            <wp:extent cx="3719195" cy="210629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719195" cy="2106295"/>
                    </a:xfrm>
                    <a:prstGeom prst="rect">
                      <a:avLst/>
                    </a:prstGeom>
                  </pic:spPr>
                </pic:pic>
              </a:graphicData>
            </a:graphic>
          </wp:anchor>
        </w:drawing>
      </w:r>
    </w:p>
    <w:p w14:paraId="2475EE66" w14:textId="77777777" w:rsidR="007A7FD1" w:rsidRDefault="007A7FD1">
      <w:pPr>
        <w:pStyle w:val="ListParagraph"/>
        <w:rPr>
          <w:rFonts w:eastAsia="Calibri" w:cs="Calibri"/>
          <w:color w:val="000000"/>
        </w:rPr>
      </w:pPr>
    </w:p>
    <w:p w14:paraId="5B4775AD" w14:textId="77777777" w:rsidR="007A7FD1" w:rsidRDefault="00000000">
      <w:pPr>
        <w:pStyle w:val="ListParagraph"/>
        <w:jc w:val="center"/>
        <w:rPr>
          <w:rFonts w:eastAsia="Calibri" w:cs="Calibri"/>
          <w:color w:val="000000"/>
        </w:rPr>
      </w:pPr>
      <w:r>
        <w:rPr>
          <w:rStyle w:val="CommentReference"/>
          <w:rFonts w:eastAsia="Calibri" w:cs="Calibri"/>
          <w:color w:val="000000"/>
          <w:sz w:val="22"/>
          <w:szCs w:val="22"/>
        </w:rPr>
        <w:t>Fig. 3 Comparison of error in SRS RSRP measurement for Rel. 16 SRS transmission and the proposed method</w:t>
      </w:r>
    </w:p>
    <w:p w14:paraId="5F7A57A5" w14:textId="77777777" w:rsidR="007A7FD1" w:rsidRDefault="00000000">
      <w:r>
        <w:rPr>
          <w:rStyle w:val="CommentReference"/>
          <w:rFonts w:eastAsia="Calibri" w:cs="Calibri"/>
          <w:b/>
          <w:bCs/>
          <w:color w:val="000000" w:themeColor="text1"/>
          <w:sz w:val="22"/>
          <w:szCs w:val="22"/>
        </w:rPr>
        <w:t>Observation 2: CLI RSRP accuracy improves when measured on phase rotated SRS symbols repeated in time domain.</w:t>
      </w:r>
    </w:p>
    <w:p w14:paraId="7381410F" w14:textId="77777777" w:rsidR="007A7FD1" w:rsidRDefault="00000000">
      <w:r>
        <w:rPr>
          <w:rStyle w:val="CommentReference"/>
          <w:rFonts w:eastAsia="Calibri" w:cs="Calibri"/>
          <w:color w:val="000000" w:themeColor="text1"/>
          <w:sz w:val="22"/>
          <w:szCs w:val="22"/>
        </w:rPr>
        <w:t>Based on the observations, the following proposal is made.</w:t>
      </w:r>
    </w:p>
    <w:p w14:paraId="40A9E0C6" w14:textId="77777777" w:rsidR="007A7FD1" w:rsidRDefault="00000000">
      <w:r>
        <w:rPr>
          <w:rStyle w:val="CommentReference"/>
          <w:rFonts w:eastAsia="Calibri" w:cs="Calibri"/>
          <w:b/>
          <w:bCs/>
          <w:color w:val="000000" w:themeColor="text1"/>
          <w:sz w:val="22"/>
          <w:szCs w:val="22"/>
        </w:rPr>
        <w:t>Proposal 1: Measurement resource enhancement for UE-to-UE CLI measurement is supported.</w:t>
      </w:r>
    </w:p>
    <w:p w14:paraId="5020DD60" w14:textId="77777777" w:rsidR="007A7FD1" w:rsidRDefault="007A7FD1">
      <w:pPr>
        <w:rPr>
          <w:rFonts w:eastAsia="Calibri" w:cs="Calibri"/>
          <w:b/>
          <w:bCs/>
          <w:color w:val="000000" w:themeColor="text1"/>
        </w:rPr>
      </w:pPr>
    </w:p>
    <w:p w14:paraId="17D996BA" w14:textId="77777777" w:rsidR="007A7FD1" w:rsidRDefault="00000000">
      <w:pPr>
        <w:pStyle w:val="Heading2"/>
        <w:numPr>
          <w:ilvl w:val="2"/>
          <w:numId w:val="2"/>
        </w:numPr>
        <w:jc w:val="left"/>
      </w:pPr>
      <w:r>
        <w:t>Reporting of UE-to-UE CLI</w:t>
      </w:r>
      <w:r>
        <w:br/>
      </w:r>
    </w:p>
    <w:p w14:paraId="117811CC" w14:textId="55CA0EF3" w:rsidR="007A7FD1" w:rsidRDefault="00000000">
      <w:pPr>
        <w:pStyle w:val="ListParagraph"/>
        <w:ind w:left="0"/>
      </w:pPr>
      <w:r>
        <w:rPr>
          <w:rFonts w:eastAsia="Calibri" w:cs="Calibri"/>
          <w:color w:val="000000" w:themeColor="text1"/>
        </w:rPr>
        <w:t>In Rel. 16 CLI management, the receiving victim UE is semi-statically configured by the gNB to perform L3 reporting of SRS-RSRP when the measured RSRP goes beyond a particular threshold. The agreement in RAN1 Meeting Ad-Hoc Meeting 1901 [</w:t>
      </w:r>
      <w:r w:rsidR="00C34821">
        <w:rPr>
          <w:rFonts w:eastAsia="Calibri" w:cs="Calibri"/>
          <w:color w:val="000000" w:themeColor="text1"/>
        </w:rPr>
        <w:t>4</w:t>
      </w:r>
      <w:r>
        <w:rPr>
          <w:rFonts w:eastAsia="Calibri" w:cs="Calibri"/>
          <w:color w:val="000000" w:themeColor="text1"/>
        </w:rPr>
        <w:t>] was as follows:</w:t>
      </w:r>
    </w:p>
    <w:p w14:paraId="464F89BD" w14:textId="77777777" w:rsidR="007A7FD1" w:rsidRDefault="00000000">
      <w:pPr>
        <w:rPr>
          <w:sz w:val="20"/>
          <w:szCs w:val="20"/>
        </w:rPr>
      </w:pPr>
      <w:r>
        <w:rPr>
          <w:rFonts w:eastAsia="Malgun Gothic"/>
          <w:i/>
          <w:iCs/>
          <w:sz w:val="20"/>
          <w:szCs w:val="20"/>
          <w:highlight w:val="green"/>
          <w:lang w:eastAsia="ko-KR"/>
        </w:rPr>
        <w:t>Agreement</w:t>
      </w:r>
    </w:p>
    <w:p w14:paraId="7463EE33" w14:textId="77777777" w:rsidR="007A7FD1" w:rsidRDefault="00000000">
      <w:pPr>
        <w:rPr>
          <w:sz w:val="20"/>
          <w:szCs w:val="20"/>
        </w:rPr>
      </w:pPr>
      <w:r>
        <w:rPr>
          <w:rFonts w:eastAsia="Malgun Gothic" w:cs="Calibri"/>
          <w:i/>
          <w:iCs/>
          <w:color w:val="000000" w:themeColor="text1"/>
          <w:sz w:val="20"/>
          <w:szCs w:val="20"/>
          <w:lang w:eastAsia="ko-KR"/>
        </w:rPr>
        <w:t>For SRS-RSRP measurement report,</w:t>
      </w:r>
      <w:r>
        <w:rPr>
          <w:rFonts w:eastAsia="Malgun Gothic"/>
          <w:i/>
          <w:iCs/>
          <w:color w:val="000000" w:themeColor="text1"/>
          <w:sz w:val="20"/>
          <w:szCs w:val="20"/>
        </w:rPr>
        <w:t xml:space="preserve"> L3 measurement reporting is applied.</w:t>
      </w:r>
    </w:p>
    <w:p w14:paraId="38B612DD" w14:textId="77777777" w:rsidR="007A7FD1" w:rsidRDefault="00000000">
      <w:pPr>
        <w:pStyle w:val="ListParagraph"/>
        <w:ind w:left="0"/>
      </w:pPr>
      <w:r>
        <w:rPr>
          <w:rFonts w:eastAsia="Calibri" w:cs="Calibri"/>
          <w:color w:val="000000" w:themeColor="text1"/>
        </w:rPr>
        <w:t>Dynamic reporting and handling of CLI is not possible with L3 reporting. Moreover, L3 report provides the time averaged CLI reflecting the long-term fading of the channel. However, CLI varies with dynamic scheduling and hence dynamic reporting should be supported. Therefore, L1 reporting of CLI is supported.</w:t>
      </w:r>
    </w:p>
    <w:p w14:paraId="3BFE7756" w14:textId="77777777" w:rsidR="007A7FD1" w:rsidRDefault="007A7FD1">
      <w:pPr>
        <w:pStyle w:val="ListParagraph"/>
        <w:ind w:left="0"/>
      </w:pPr>
    </w:p>
    <w:p w14:paraId="2C34E9EC" w14:textId="77777777" w:rsidR="007A7FD1" w:rsidRDefault="00000000">
      <w:pPr>
        <w:pStyle w:val="ListParagraph"/>
        <w:ind w:left="0"/>
        <w:rPr>
          <w:rFonts w:eastAsia="Calibri" w:cs="Calibri"/>
          <w:b/>
          <w:bCs/>
          <w:color w:val="000000" w:themeColor="text1"/>
        </w:rPr>
      </w:pPr>
      <w:r>
        <w:rPr>
          <w:rFonts w:eastAsia="Calibri" w:cs="Calibri"/>
          <w:b/>
          <w:bCs/>
          <w:color w:val="000000" w:themeColor="text1"/>
        </w:rPr>
        <w:t>Observation 3:  CLI varies with dynamic scheduling in flexible TDD scenario.</w:t>
      </w:r>
    </w:p>
    <w:p w14:paraId="04FEC7BF" w14:textId="77777777" w:rsidR="007A7FD1" w:rsidRDefault="007A7FD1">
      <w:pPr>
        <w:pStyle w:val="ListParagraph"/>
        <w:ind w:left="0"/>
        <w:rPr>
          <w:b/>
          <w:bCs/>
        </w:rPr>
      </w:pPr>
    </w:p>
    <w:p w14:paraId="3D41A907" w14:textId="77777777" w:rsidR="007A7FD1" w:rsidRDefault="00000000">
      <w:pPr>
        <w:pStyle w:val="ListParagraph"/>
        <w:ind w:left="0"/>
      </w:pPr>
      <w:r>
        <w:rPr>
          <w:rFonts w:eastAsia="Calibri" w:cs="Calibri"/>
          <w:b/>
          <w:bCs/>
          <w:color w:val="000000" w:themeColor="text1"/>
        </w:rPr>
        <w:t>Proposal 2: Mechanism for L1 reporting of CLI for UE-to-UE CLI management is supported.</w:t>
      </w:r>
    </w:p>
    <w:p w14:paraId="1AFE45B1" w14:textId="77777777" w:rsidR="007A7FD1" w:rsidRDefault="007A7FD1">
      <w:pPr>
        <w:pStyle w:val="ListParagraph"/>
        <w:ind w:left="0"/>
        <w:rPr>
          <w:rFonts w:eastAsia="Calibri" w:cs="Calibri"/>
          <w:b/>
          <w:bCs/>
          <w:color w:val="000000" w:themeColor="text1"/>
        </w:rPr>
      </w:pPr>
    </w:p>
    <w:p w14:paraId="27C44A1B" w14:textId="77777777" w:rsidR="007A7FD1" w:rsidRDefault="00000000">
      <w:pPr>
        <w:pStyle w:val="Heading2"/>
        <w:numPr>
          <w:ilvl w:val="2"/>
          <w:numId w:val="2"/>
        </w:numPr>
        <w:jc w:val="left"/>
      </w:pPr>
      <w:r>
        <w:t xml:space="preserve">Relevant information exchange across </w:t>
      </w:r>
      <w:proofErr w:type="spellStart"/>
      <w:r>
        <w:t>gNBs</w:t>
      </w:r>
      <w:proofErr w:type="spellEnd"/>
    </w:p>
    <w:p w14:paraId="305BA721" w14:textId="77777777" w:rsidR="007A7FD1" w:rsidRDefault="00000000">
      <w:r>
        <w:t xml:space="preserve">Rel. 16 CLI management requires the aggressor to transmit SRS and the victim to measure CLI on the transmitted SRS. Hence, the configuration of the SRS transmitted by the aggressor should be known by the serving gNB of the victim UE to ensure proper measurement configuration is given to the victim. This requires the SRS configuration parameters to be shared between the aggressor and victim </w:t>
      </w:r>
      <w:proofErr w:type="spellStart"/>
      <w:r>
        <w:t>gNBs</w:t>
      </w:r>
      <w:proofErr w:type="spellEnd"/>
      <w:r>
        <w:t xml:space="preserve">. However, Rel. 16 does not specify the parameters to be shared. </w:t>
      </w:r>
    </w:p>
    <w:p w14:paraId="4727751B" w14:textId="77777777" w:rsidR="007A7FD1" w:rsidRDefault="00000000">
      <w:pPr>
        <w:jc w:val="left"/>
      </w:pPr>
      <w:r>
        <w:rPr>
          <w:b/>
          <w:bCs/>
        </w:rPr>
        <w:lastRenderedPageBreak/>
        <w:t xml:space="preserve">Observation 4: Rel. 16 CLI management does not specify required SRS configuration parameters for CLI measurement to be shared across </w:t>
      </w:r>
      <w:proofErr w:type="spellStart"/>
      <w:r>
        <w:rPr>
          <w:b/>
          <w:bCs/>
        </w:rPr>
        <w:t>gNBs</w:t>
      </w:r>
      <w:proofErr w:type="spellEnd"/>
      <w:r>
        <w:rPr>
          <w:b/>
          <w:bCs/>
        </w:rPr>
        <w:t>.</w:t>
      </w:r>
    </w:p>
    <w:p w14:paraId="4FC457A9" w14:textId="77777777" w:rsidR="007A7FD1" w:rsidRDefault="00000000">
      <w:pPr>
        <w:jc w:val="left"/>
      </w:pPr>
      <w:r>
        <w:rPr>
          <w:b/>
          <w:bCs/>
        </w:rPr>
        <w:t xml:space="preserve">Proposal 3: Sharing of Rel. 16 CLI management related SRS configuration parameters across </w:t>
      </w:r>
      <w:proofErr w:type="spellStart"/>
      <w:r>
        <w:rPr>
          <w:b/>
          <w:bCs/>
        </w:rPr>
        <w:t>gNBs</w:t>
      </w:r>
      <w:proofErr w:type="spellEnd"/>
      <w:r>
        <w:rPr>
          <w:b/>
          <w:bCs/>
        </w:rPr>
        <w:t xml:space="preserve"> is supported.</w:t>
      </w:r>
    </w:p>
    <w:p w14:paraId="3A63D9D8" w14:textId="77777777" w:rsidR="007A7FD1" w:rsidRDefault="007A7FD1">
      <w:pPr>
        <w:jc w:val="left"/>
        <w:rPr>
          <w:b/>
          <w:bCs/>
        </w:rPr>
      </w:pPr>
    </w:p>
    <w:p w14:paraId="23A8F914" w14:textId="77777777" w:rsidR="007A7FD1" w:rsidRDefault="007A7FD1"/>
    <w:p w14:paraId="2468444B" w14:textId="77777777" w:rsidR="007A7FD1" w:rsidRDefault="007A7FD1">
      <w:pPr>
        <w:rPr>
          <w:rFonts w:eastAsia="Calibri" w:cs="Calibri"/>
          <w:color w:val="000000" w:themeColor="text1"/>
        </w:rPr>
      </w:pPr>
    </w:p>
    <w:p w14:paraId="4F10A46C" w14:textId="77777777" w:rsidR="007A7FD1" w:rsidRDefault="00000000">
      <w:pPr>
        <w:pStyle w:val="ListParagraph"/>
        <w:jc w:val="center"/>
      </w:pPr>
      <w:r>
        <w:rPr>
          <w:noProof/>
        </w:rPr>
        <w:drawing>
          <wp:anchor distT="0" distB="0" distL="0" distR="0" simplePos="0" relativeHeight="9" behindDoc="0" locked="0" layoutInCell="1" allowOverlap="1" wp14:anchorId="1D18BE0A" wp14:editId="593F5714">
            <wp:simplePos x="0" y="0"/>
            <wp:positionH relativeFrom="column">
              <wp:posOffset>822325</wp:posOffset>
            </wp:positionH>
            <wp:positionV relativeFrom="paragraph">
              <wp:posOffset>-53975</wp:posOffset>
            </wp:positionV>
            <wp:extent cx="4375785" cy="246126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rcRect l="-33" t="-59" r="-33" b="-59"/>
                    <a:stretch>
                      <a:fillRect/>
                    </a:stretch>
                  </pic:blipFill>
                  <pic:spPr bwMode="auto">
                    <a:xfrm>
                      <a:off x="0" y="0"/>
                      <a:ext cx="4375785" cy="2461260"/>
                    </a:xfrm>
                    <a:prstGeom prst="rect">
                      <a:avLst/>
                    </a:prstGeom>
                  </pic:spPr>
                </pic:pic>
              </a:graphicData>
            </a:graphic>
          </wp:anchor>
        </w:drawing>
      </w:r>
      <w:r>
        <w:rPr>
          <w:rFonts w:eastAsia="Calibri" w:cs="Calibri"/>
          <w:color w:val="000000" w:themeColor="text1"/>
        </w:rPr>
        <w:t>Fig. 4 Partially overlapping between BWPs of victim and aggressor UEs</w:t>
      </w:r>
    </w:p>
    <w:p w14:paraId="13B37F8F" w14:textId="77777777" w:rsidR="00C34821" w:rsidRDefault="00C34821">
      <w:pPr>
        <w:pStyle w:val="ListParagraph"/>
        <w:ind w:left="0"/>
        <w:rPr>
          <w:rFonts w:eastAsia="Calibri" w:cs="Calibri"/>
          <w:color w:val="000000" w:themeColor="text1"/>
        </w:rPr>
      </w:pPr>
    </w:p>
    <w:p w14:paraId="104DDB43" w14:textId="1130AEED" w:rsidR="007A7FD1" w:rsidRPr="00C34821" w:rsidRDefault="00000000">
      <w:pPr>
        <w:pStyle w:val="ListParagraph"/>
        <w:ind w:left="0"/>
      </w:pPr>
      <w:r>
        <w:rPr>
          <w:rFonts w:eastAsia="Calibri" w:cs="Calibri"/>
          <w:color w:val="000000" w:themeColor="text1"/>
        </w:rPr>
        <w:tab/>
        <w:t xml:space="preserve">Further, consider a scenario where the aggressor UE and the victim UE uses partially overlapping bandwidth parts (BWPs) as shown in Fig. 4. In this case, the aggressor UE will transmit SRS within its own allocated BWP as shown in Fig. 4 while victim UE can measure SRS RSRP only in the 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w:t>
      </w:r>
      <w:proofErr w:type="gramStart"/>
      <w:r>
        <w:rPr>
          <w:rFonts w:eastAsia="Calibri" w:cs="Calibri"/>
          <w:color w:val="000000" w:themeColor="text1"/>
        </w:rPr>
        <w:t>actually transmitted</w:t>
      </w:r>
      <w:proofErr w:type="gramEnd"/>
      <w:r>
        <w:rPr>
          <w:rFonts w:eastAsia="Calibri" w:cs="Calibri"/>
          <w:color w:val="000000" w:themeColor="text1"/>
        </w:rPr>
        <w:t xml:space="preserve"> by the aggressor UE and the sequence assumed by the victim UE. Thus, there will be a mismatch in how the SRS sequence is filled by the aggressor and how SRS sequence is interpreted by the victim. This discrepancy will affect the accuracy of the measured RSRP. E.g., based on simulation analysis, a difference of 1RB between the 2 BWPs will result in an error of around </w:t>
      </w:r>
      <w:r w:rsidRPr="00C34821">
        <w:rPr>
          <w:rFonts w:eastAsia="Calibri" w:cs="Calibri"/>
          <w:color w:val="000000" w:themeColor="text1"/>
        </w:rPr>
        <w:t xml:space="preserve">25 </w:t>
      </w:r>
      <w:proofErr w:type="spellStart"/>
      <w:r w:rsidRPr="00C34821">
        <w:rPr>
          <w:rFonts w:eastAsia="Calibri" w:cs="Calibri"/>
          <w:color w:val="000000" w:themeColor="text1"/>
        </w:rPr>
        <w:t>dB.</w:t>
      </w:r>
      <w:proofErr w:type="spellEnd"/>
    </w:p>
    <w:p w14:paraId="15E144A7" w14:textId="77777777" w:rsidR="007A7FD1" w:rsidRDefault="007A7FD1">
      <w:pPr>
        <w:pStyle w:val="ListParagraph"/>
        <w:ind w:left="0"/>
        <w:rPr>
          <w:b/>
          <w:bCs/>
        </w:rPr>
      </w:pPr>
    </w:p>
    <w:p w14:paraId="7E136DB1" w14:textId="77777777" w:rsidR="007A7FD1" w:rsidRDefault="00000000">
      <w:pPr>
        <w:pStyle w:val="ListParagraph"/>
        <w:ind w:left="0"/>
      </w:pPr>
      <w:r>
        <w:rPr>
          <w:rFonts w:eastAsia="Calibri" w:cs="Calibri"/>
          <w:b/>
          <w:bCs/>
          <w:color w:val="000000" w:themeColor="text1"/>
        </w:rPr>
        <w:t xml:space="preserve">Observation 5:  </w:t>
      </w:r>
      <w:r>
        <w:rPr>
          <w:rFonts w:eastAsia="Calibri" w:cs="Calibri"/>
          <w:b/>
          <w:color w:val="000000" w:themeColor="text1"/>
        </w:rPr>
        <w:t>In case of partial overlap of BWPs, the victim UE r</w:t>
      </w:r>
      <w:r>
        <w:rPr>
          <w:rFonts w:eastAsia="Calibri" w:cs="Calibri"/>
          <w:b/>
          <w:bCs/>
          <w:color w:val="000000" w:themeColor="text1"/>
        </w:rPr>
        <w:t xml:space="preserve">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Fonts w:eastAsia="Calibri" w:cs="Calibri"/>
          <w:b/>
          <w:bCs/>
          <w:color w:val="000000" w:themeColor="text1"/>
        </w:rPr>
        <w:t>dB.</w:t>
      </w:r>
      <w:proofErr w:type="spellEnd"/>
    </w:p>
    <w:p w14:paraId="4A6413E4" w14:textId="77777777" w:rsidR="007A7FD1" w:rsidRDefault="007A7FD1">
      <w:pPr>
        <w:pStyle w:val="ListParagraph"/>
        <w:ind w:left="0"/>
        <w:rPr>
          <w:rFonts w:eastAsia="Calibri" w:cs="Calibri"/>
          <w:color w:val="000000" w:themeColor="text1"/>
        </w:rPr>
      </w:pPr>
    </w:p>
    <w:p w14:paraId="7C5BDD94" w14:textId="77777777" w:rsidR="007A7FD1" w:rsidRDefault="00000000">
      <w:pPr>
        <w:pStyle w:val="ListParagraph"/>
        <w:ind w:left="0"/>
      </w:pPr>
      <w:r>
        <w:rPr>
          <w:rFonts w:eastAsia="Calibri" w:cs="Calibri"/>
          <w:color w:val="000000" w:themeColor="text1"/>
        </w:rPr>
        <w:t xml:space="preserve">A knowledge of a common reference point across the gNB will help to tackle the problem. For example, </w:t>
      </w:r>
      <w:proofErr w:type="spellStart"/>
      <w:r>
        <w:rPr>
          <w:rFonts w:eastAsia="Calibri" w:cs="Calibri"/>
          <w:color w:val="000000" w:themeColor="text1"/>
        </w:rPr>
        <w:t>wrt</w:t>
      </w:r>
      <w:proofErr w:type="spellEnd"/>
      <w:r>
        <w:rPr>
          <w:rFonts w:eastAsia="Calibri" w:cs="Calibri"/>
          <w:color w:val="000000" w:themeColor="text1"/>
        </w:rPr>
        <w:t xml:space="preserve"> Fig. 4, point P1 is the common reference point that can be shared across the </w:t>
      </w:r>
      <w:proofErr w:type="spellStart"/>
      <w:r>
        <w:rPr>
          <w:rFonts w:eastAsia="Calibri" w:cs="Calibri"/>
          <w:color w:val="000000" w:themeColor="text1"/>
        </w:rPr>
        <w:t>gNBs</w:t>
      </w:r>
      <w:proofErr w:type="spellEnd"/>
      <w:r>
        <w:rPr>
          <w:rFonts w:eastAsia="Calibri" w:cs="Calibri"/>
          <w:color w:val="000000" w:themeColor="text1"/>
        </w:rPr>
        <w:t xml:space="preserve">. As a result, the victim UE can generate the SRS sequence from point P1 instead of P2. This will ensure that the interpretation of the filled SRS sequence is same for both victim and aggressor UEs. Based on  simulation analysis, the error value reduces to an average of </w:t>
      </w:r>
      <w:r w:rsidRPr="00C34821">
        <w:rPr>
          <w:rFonts w:eastAsia="Calibri" w:cs="Calibri"/>
          <w:color w:val="000000" w:themeColor="text1"/>
        </w:rPr>
        <w:t>0.2dB</w:t>
      </w:r>
      <w:r>
        <w:rPr>
          <w:rFonts w:eastAsia="Calibri" w:cs="Calibri"/>
          <w:color w:val="000000" w:themeColor="text1"/>
        </w:rPr>
        <w:t xml:space="preserve"> by considering a common reference point. Hence, the following proposal is made,</w:t>
      </w:r>
    </w:p>
    <w:p w14:paraId="474B620D" w14:textId="77777777" w:rsidR="00C34821" w:rsidRDefault="00C34821">
      <w:pPr>
        <w:pStyle w:val="ListParagraph"/>
        <w:ind w:left="0"/>
        <w:rPr>
          <w:rFonts w:eastAsia="Calibri" w:cs="Calibri"/>
          <w:b/>
          <w:bCs/>
          <w:color w:val="000000" w:themeColor="text1"/>
        </w:rPr>
      </w:pPr>
    </w:p>
    <w:p w14:paraId="06DD11D8" w14:textId="68315309" w:rsidR="007A7FD1" w:rsidRDefault="00000000">
      <w:pPr>
        <w:pStyle w:val="ListParagraph"/>
        <w:ind w:left="0"/>
      </w:pPr>
      <w:r>
        <w:rPr>
          <w:rFonts w:eastAsia="Calibri" w:cs="Calibri"/>
          <w:b/>
          <w:bCs/>
          <w:color w:val="000000" w:themeColor="text1"/>
        </w:rPr>
        <w:lastRenderedPageBreak/>
        <w:t xml:space="preserve">Proposal 4: A common reference point for CLI RSRP measurement is exchanged across </w:t>
      </w:r>
      <w:proofErr w:type="spellStart"/>
      <w:r>
        <w:rPr>
          <w:rFonts w:eastAsia="Calibri" w:cs="Calibri"/>
          <w:b/>
          <w:bCs/>
          <w:color w:val="000000" w:themeColor="text1"/>
        </w:rPr>
        <w:t>gNBs</w:t>
      </w:r>
      <w:proofErr w:type="spellEnd"/>
      <w:r>
        <w:rPr>
          <w:rFonts w:eastAsia="Calibri" w:cs="Calibri"/>
          <w:b/>
          <w:bCs/>
          <w:color w:val="000000" w:themeColor="text1"/>
        </w:rPr>
        <w:t>.</w:t>
      </w:r>
    </w:p>
    <w:p w14:paraId="6A0247A2" w14:textId="6190D144" w:rsidR="007A7FD1" w:rsidRDefault="00000000">
      <w:r>
        <w:rPr>
          <w:rFonts w:eastAsia="Calibri" w:cs="Calibri"/>
          <w:color w:val="000000" w:themeColor="text1"/>
        </w:rPr>
        <w:t>Further, different UEs across cells in a network might be operating at different numerologies. The following agreement made with respect to SRS RSRP in RAN1 Ad-Hoc Meeting 1901 [</w:t>
      </w:r>
      <w:r w:rsidR="00C34821">
        <w:rPr>
          <w:rFonts w:eastAsia="Calibri" w:cs="Calibri"/>
          <w:color w:val="000000" w:themeColor="text1"/>
        </w:rPr>
        <w:t>4</w:t>
      </w:r>
      <w:r>
        <w:rPr>
          <w:rFonts w:eastAsia="Calibri" w:cs="Calibri"/>
          <w:color w:val="000000" w:themeColor="text1"/>
        </w:rPr>
        <w:t>],</w:t>
      </w:r>
    </w:p>
    <w:p w14:paraId="74830C95" w14:textId="77777777" w:rsidR="007A7FD1" w:rsidRDefault="00000000">
      <w:pPr>
        <w:rPr>
          <w:sz w:val="20"/>
          <w:szCs w:val="20"/>
        </w:rPr>
      </w:pPr>
      <w:r>
        <w:rPr>
          <w:rFonts w:eastAsia="Calibri" w:cs="Calibri"/>
          <w:b/>
          <w:i/>
          <w:iCs/>
          <w:color w:val="000000" w:themeColor="text1"/>
          <w:sz w:val="20"/>
          <w:szCs w:val="20"/>
          <w:highlight w:val="green"/>
        </w:rPr>
        <w:t>Agreement</w:t>
      </w:r>
    </w:p>
    <w:p w14:paraId="62869E32" w14:textId="77777777" w:rsidR="007A7FD1" w:rsidRDefault="00000000">
      <w:pPr>
        <w:rPr>
          <w:sz w:val="20"/>
          <w:szCs w:val="20"/>
        </w:rPr>
      </w:pPr>
      <w:r>
        <w:rPr>
          <w:rFonts w:eastAsia="Calibri" w:cs="Calibri"/>
          <w:i/>
          <w:iCs/>
          <w:color w:val="000000" w:themeColor="text1"/>
          <w:sz w:val="20"/>
          <w:szCs w:val="20"/>
        </w:rPr>
        <w:t>UE is not required to measure SRS using different SCS compared to the downlink active BWP SCS of the same carrier.</w:t>
      </w:r>
    </w:p>
    <w:p w14:paraId="616FDDEC" w14:textId="77777777" w:rsidR="007A7FD1" w:rsidRDefault="00000000">
      <w:r>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The SRS for CLI measurement will be transmitted at 30 kHz by UE 2. However, UE 1  measures the received SRS using 15 kHz numerology. This discrepancy in the transmitted and received SRS numerologies will affect the accuracy of CLI RSRP measurement. </w:t>
      </w:r>
    </w:p>
    <w:p w14:paraId="1BA186F2" w14:textId="77777777" w:rsidR="007A7FD1" w:rsidRDefault="00000000">
      <w:r>
        <w:rPr>
          <w:rFonts w:eastAsia="Calibri" w:cs="Calibri"/>
          <w:b/>
          <w:bCs/>
          <w:color w:val="000000" w:themeColor="text1"/>
        </w:rPr>
        <w:t xml:space="preserve">Observation 6:  When aggressor and victim UE are operating at different numerology, discrepancy arises in the transmitted and received SRS numerologies  that will affect the accuracy of CLI RSRP measurement. </w:t>
      </w:r>
    </w:p>
    <w:p w14:paraId="1EC2AE15" w14:textId="77777777" w:rsidR="007A7FD1" w:rsidRDefault="00000000">
      <w:pPr>
        <w:jc w:val="left"/>
      </w:pPr>
      <w:r>
        <w:rPr>
          <w:rFonts w:eastAsia="Calibri" w:cs="Calibri"/>
          <w:color w:val="000000" w:themeColor="text1"/>
        </w:rPr>
        <w:t xml:space="preserve">The </w:t>
      </w:r>
      <w:proofErr w:type="gramStart"/>
      <w:r>
        <w:rPr>
          <w:rFonts w:eastAsia="Calibri" w:cs="Calibri"/>
          <w:color w:val="000000" w:themeColor="text1"/>
        </w:rPr>
        <w:t>above mentioned</w:t>
      </w:r>
      <w:proofErr w:type="gramEnd"/>
      <w:r>
        <w:rPr>
          <w:rFonts w:eastAsia="Calibri" w:cs="Calibri"/>
          <w:color w:val="000000" w:themeColor="text1"/>
        </w:rPr>
        <w:t xml:space="preserve"> issue can be handled in implementation specific ways if the gNB serving the victim UE is aware of the numerology of SRS transmission by aggressor UE and it informs the victim UE to process SRS using the numerology of the aggressor. Hence, the following proposal is made. </w:t>
      </w:r>
    </w:p>
    <w:p w14:paraId="2D9D3000" w14:textId="77777777" w:rsidR="007A7FD1" w:rsidRDefault="00000000">
      <w:pPr>
        <w:pStyle w:val="ListParagraph"/>
        <w:ind w:left="0"/>
        <w:rPr>
          <w:rFonts w:eastAsia="Calibri" w:cs="Calibri"/>
          <w:color w:val="000000" w:themeColor="text1"/>
        </w:rPr>
      </w:pPr>
      <w:r>
        <w:rPr>
          <w:rFonts w:eastAsia="Calibri" w:cs="Calibri"/>
          <w:b/>
          <w:bCs/>
          <w:color w:val="000000" w:themeColor="text1"/>
        </w:rPr>
        <w:t xml:space="preserve">Proposal 5: Numerology of transmission of SRS is exchanged across </w:t>
      </w:r>
      <w:proofErr w:type="spellStart"/>
      <w:r>
        <w:rPr>
          <w:rFonts w:eastAsia="Calibri" w:cs="Calibri"/>
          <w:b/>
          <w:bCs/>
          <w:color w:val="000000" w:themeColor="text1"/>
        </w:rPr>
        <w:t>gNBs</w:t>
      </w:r>
      <w:proofErr w:type="spellEnd"/>
      <w:r>
        <w:rPr>
          <w:rFonts w:eastAsia="Calibri" w:cs="Calibri"/>
          <w:b/>
          <w:bCs/>
          <w:color w:val="000000" w:themeColor="text1"/>
        </w:rPr>
        <w:t xml:space="preserve"> for CLI measurement.</w:t>
      </w:r>
    </w:p>
    <w:p w14:paraId="024737B6" w14:textId="77777777" w:rsidR="007A7FD1" w:rsidRDefault="00000000">
      <w:pPr>
        <w:pStyle w:val="Heading2"/>
        <w:numPr>
          <w:ilvl w:val="1"/>
          <w:numId w:val="2"/>
        </w:numPr>
        <w:jc w:val="left"/>
      </w:pPr>
      <w:r>
        <w:t>Spatial domain related enhancements</w:t>
      </w:r>
    </w:p>
    <w:p w14:paraId="0130EE14" w14:textId="563350AB" w:rsidR="007A7FD1" w:rsidRDefault="00000000">
      <w:pPr>
        <w:rPr>
          <w:color w:val="000000" w:themeColor="text1"/>
          <w:lang w:eastAsia="ko-KR"/>
        </w:rPr>
      </w:pPr>
      <w:r>
        <w:rPr>
          <w:rFonts w:eastAsia="Malgun Gothic"/>
          <w:color w:val="000000" w:themeColor="text1"/>
          <w:lang w:eastAsia="ko-KR"/>
        </w:rPr>
        <w:t>The following agreement was made in RAN1 #110 meeting [</w:t>
      </w:r>
      <w:r w:rsidR="00C34821">
        <w:rPr>
          <w:rFonts w:eastAsia="Malgun Gothic"/>
          <w:color w:val="000000" w:themeColor="text1"/>
          <w:lang w:eastAsia="ko-KR"/>
        </w:rPr>
        <w:t>2</w:t>
      </w:r>
      <w:r>
        <w:rPr>
          <w:rFonts w:eastAsia="Malgun Gothic"/>
          <w:color w:val="000000" w:themeColor="text1"/>
          <w:lang w:eastAsia="ko-KR"/>
        </w:rPr>
        <w:t xml:space="preserve">]. </w:t>
      </w:r>
    </w:p>
    <w:p w14:paraId="4D2A2825" w14:textId="77777777" w:rsidR="007A7FD1" w:rsidRDefault="00000000">
      <w:pPr>
        <w:rPr>
          <w:rFonts w:cs="Times;Times New Roman"/>
          <w:b/>
          <w:bCs/>
          <w:i/>
          <w:iCs/>
          <w:sz w:val="20"/>
          <w:szCs w:val="20"/>
          <w:highlight w:val="green"/>
          <w:lang w:eastAsia="ko-KR"/>
        </w:rPr>
      </w:pPr>
      <w:r>
        <w:rPr>
          <w:rFonts w:cs="Times;Times New Roman"/>
          <w:b/>
          <w:bCs/>
          <w:i/>
          <w:iCs/>
          <w:sz w:val="20"/>
          <w:szCs w:val="20"/>
          <w:highlight w:val="green"/>
          <w:lang w:eastAsia="ko-KR"/>
        </w:rPr>
        <w:t>Agreement</w:t>
      </w:r>
    </w:p>
    <w:p w14:paraId="6552EABA" w14:textId="77777777" w:rsidR="007A7FD1" w:rsidRDefault="00000000">
      <w:pPr>
        <w:pStyle w:val="a8"/>
        <w:ind w:left="0"/>
        <w:textAlignment w:val="baseline"/>
        <w:rPr>
          <w:i/>
          <w:iCs/>
          <w:sz w:val="20"/>
          <w:szCs w:val="20"/>
        </w:rPr>
      </w:pPr>
      <w:r>
        <w:rPr>
          <w:rFonts w:eastAsia="Malgun Gothic"/>
          <w:i/>
          <w:iCs/>
          <w:sz w:val="20"/>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Pr>
          <w:rFonts w:eastAsia="SimSun;宋体"/>
          <w:i/>
          <w:iCs/>
          <w:sz w:val="20"/>
          <w:szCs w:val="20"/>
        </w:rPr>
        <w:t>at least includes:</w:t>
      </w:r>
    </w:p>
    <w:p w14:paraId="3903BFC2" w14:textId="77777777" w:rsidR="007A7FD1" w:rsidRDefault="00000000">
      <w:pPr>
        <w:pStyle w:val="a8"/>
        <w:ind w:left="1560"/>
        <w:textAlignment w:val="baseline"/>
        <w:rPr>
          <w:rFonts w:eastAsia="Malgun Gothic"/>
          <w:i/>
          <w:iCs/>
          <w:sz w:val="20"/>
          <w:szCs w:val="20"/>
          <w:lang w:eastAsia="ko-KR"/>
        </w:rPr>
      </w:pPr>
      <w:r>
        <w:rPr>
          <w:rFonts w:eastAsia="Malgun Gothic"/>
          <w:i/>
          <w:iCs/>
          <w:sz w:val="20"/>
          <w:szCs w:val="20"/>
          <w:lang w:eastAsia="ko-KR"/>
        </w:rPr>
        <w:t>- Details for spatial domain coordination by gNB</w:t>
      </w:r>
    </w:p>
    <w:p w14:paraId="5FE03550" w14:textId="77777777" w:rsidR="007A7FD1" w:rsidRDefault="00000000">
      <w:pPr>
        <w:pStyle w:val="a8"/>
        <w:ind w:left="1560"/>
        <w:textAlignment w:val="baseline"/>
        <w:rPr>
          <w:rFonts w:eastAsia="Malgun Gothic"/>
          <w:i/>
          <w:iCs/>
          <w:sz w:val="20"/>
          <w:szCs w:val="20"/>
          <w:lang w:eastAsia="ko-KR"/>
        </w:rPr>
      </w:pPr>
      <w:r>
        <w:rPr>
          <w:rFonts w:eastAsia="Malgun Gothic"/>
          <w:i/>
          <w:iCs/>
          <w:sz w:val="20"/>
          <w:szCs w:val="20"/>
          <w:lang w:eastAsia="ko-KR"/>
        </w:rPr>
        <w:t>- Relevant information exchange (if needed)</w:t>
      </w:r>
    </w:p>
    <w:p w14:paraId="376A34F9" w14:textId="77777777" w:rsidR="007A7FD1" w:rsidRDefault="00000000">
      <w:pPr>
        <w:jc w:val="left"/>
        <w:rPr>
          <w:rFonts w:eastAsia="Malgun Gothic"/>
          <w:i/>
          <w:iCs/>
          <w:sz w:val="20"/>
          <w:szCs w:val="20"/>
          <w:lang w:eastAsia="ko-KR"/>
        </w:rPr>
      </w:pPr>
      <w:r>
        <w:rPr>
          <w:rFonts w:eastAsia="Malgun Gothic"/>
          <w:i/>
          <w:iCs/>
          <w:sz w:val="20"/>
          <w:szCs w:val="20"/>
          <w:lang w:eastAsia="ko-KR"/>
        </w:rPr>
        <w:t>Note1: Study can include method for FR1 and FR2</w:t>
      </w:r>
    </w:p>
    <w:p w14:paraId="007F186A" w14:textId="126ACF8E" w:rsidR="007A7FD1" w:rsidRDefault="00C34821">
      <w:r>
        <w:rPr>
          <w:rFonts w:eastAsia="Calibri" w:cs="Calibri"/>
          <w:color w:val="000000" w:themeColor="text1"/>
        </w:rPr>
        <w:t xml:space="preserve">Referring to Fig. 5, if UE 2 can form a null in the direction of UE 1 while performing its UL transmission to gNB 2, the CLI from UE 2 to UE 1 can be minimized. Rel. 16 CLI management does not define any procedure for CLI to be handled at the transmitter side. However, enabling CLI management at the transmitter side will have some advantages, especially in case where the victim UE is a legacy Release 15 UE which is not capable of measurement and reporting of CLI. In such cases, the serving gNB of the aggressor UE can acquire information regarding the location/direction of the victim UE from its serving gNB and configure aggressor UE to null form in the direction of victim UE. Here, the serving gNB of the victim UE can identify a UE as victim UE based on conditions like whether it is a cell edge UE experiencing a high amount of interference. Similar scenario can be considered where the aggressor UE is a legacy Release 15 UE. Its serving gNB can obtain the information about the victim UE and inform an optimum beamforming precoder to the aggressor. Since, the legacy UE is already capable of receiving information on precoders, the optimum beamforming precoder can be informed to it without any new signaling. Apart from the scenarios involving legacy UEs, Rel. 18 and beyond UEs can also benefit from it. Thus, any aggressor UE in the network can be configured to perform an optimum beamforming to minimize CLI.  </w:t>
      </w:r>
    </w:p>
    <w:p w14:paraId="26D859D3" w14:textId="77777777" w:rsidR="007A7FD1" w:rsidRDefault="007A7FD1">
      <w:pPr>
        <w:pStyle w:val="ListParagraph"/>
        <w:ind w:left="0"/>
        <w:rPr>
          <w:rFonts w:eastAsia="Calibri" w:cs="Calibri"/>
          <w:color w:val="000000" w:themeColor="text1"/>
        </w:rPr>
      </w:pPr>
    </w:p>
    <w:p w14:paraId="54FAB9C9" w14:textId="77777777" w:rsidR="007A7FD1" w:rsidRDefault="00000000">
      <w:pPr>
        <w:pStyle w:val="ListParagraph"/>
        <w:ind w:left="0"/>
      </w:pPr>
      <w:r>
        <w:rPr>
          <w:rFonts w:eastAsia="Calibri" w:cs="Calibri"/>
          <w:b/>
          <w:bCs/>
          <w:color w:val="000000" w:themeColor="text1"/>
        </w:rPr>
        <w:t>Observation 7: Transmit beamforming techniques will be helpful to manage CLI in a network.</w:t>
      </w:r>
    </w:p>
    <w:p w14:paraId="31B639F6" w14:textId="77777777" w:rsidR="007A7FD1" w:rsidRDefault="00000000">
      <w:pPr>
        <w:pStyle w:val="ListParagraph"/>
        <w:ind w:left="0"/>
        <w:rPr>
          <w:rFonts w:eastAsia="Calibri" w:cs="Calibri"/>
          <w:b/>
          <w:bCs/>
          <w:color w:val="000000" w:themeColor="text1"/>
        </w:rPr>
      </w:pPr>
      <w:r>
        <w:rPr>
          <w:rFonts w:eastAsia="Calibri" w:cs="Calibri"/>
          <w:b/>
          <w:bCs/>
          <w:noProof/>
          <w:color w:val="000000" w:themeColor="text1"/>
        </w:rPr>
        <w:lastRenderedPageBreak/>
        <w:drawing>
          <wp:anchor distT="0" distB="0" distL="0" distR="0" simplePos="0" relativeHeight="8" behindDoc="0" locked="0" layoutInCell="1" allowOverlap="1" wp14:anchorId="6DFC851C" wp14:editId="0B8B8421">
            <wp:simplePos x="0" y="0"/>
            <wp:positionH relativeFrom="column">
              <wp:align>center</wp:align>
            </wp:positionH>
            <wp:positionV relativeFrom="paragraph">
              <wp:posOffset>635</wp:posOffset>
            </wp:positionV>
            <wp:extent cx="3630930" cy="1715135"/>
            <wp:effectExtent l="0" t="0" r="0" b="0"/>
            <wp:wrapTopAndBottom/>
            <wp:docPr id="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pic:cNvPicPr>
                      <a:picLocks noChangeAspect="1" noChangeArrowheads="1"/>
                    </pic:cNvPicPr>
                  </pic:nvPicPr>
                  <pic:blipFill>
                    <a:blip r:embed="rId9"/>
                    <a:stretch>
                      <a:fillRect/>
                    </a:stretch>
                  </pic:blipFill>
                  <pic:spPr bwMode="auto">
                    <a:xfrm>
                      <a:off x="0" y="0"/>
                      <a:ext cx="3630930" cy="1715135"/>
                    </a:xfrm>
                    <a:prstGeom prst="rect">
                      <a:avLst/>
                    </a:prstGeom>
                  </pic:spPr>
                </pic:pic>
              </a:graphicData>
            </a:graphic>
          </wp:anchor>
        </w:drawing>
      </w:r>
    </w:p>
    <w:p w14:paraId="36DA5DBF" w14:textId="77777777" w:rsidR="007A7FD1" w:rsidRDefault="00000000">
      <w:pPr>
        <w:pStyle w:val="ListParagraph"/>
        <w:ind w:left="0"/>
        <w:jc w:val="center"/>
        <w:rPr>
          <w:rFonts w:eastAsia="Calibri" w:cs="Calibri"/>
          <w:color w:val="000000" w:themeColor="text1"/>
        </w:rPr>
      </w:pPr>
      <w:r>
        <w:rPr>
          <w:rFonts w:eastAsia="Calibri" w:cs="Calibri"/>
          <w:color w:val="000000" w:themeColor="text1"/>
        </w:rPr>
        <w:t>Fig. 5 Transmit side beamforming to suppress CLI</w:t>
      </w:r>
    </w:p>
    <w:p w14:paraId="724B37E2" w14:textId="77777777" w:rsidR="007A7FD1" w:rsidRDefault="007A7FD1">
      <w:pPr>
        <w:pStyle w:val="ListParagraph"/>
        <w:ind w:left="0"/>
        <w:jc w:val="center"/>
        <w:rPr>
          <w:rFonts w:eastAsia="Calibri" w:cs="Calibri"/>
          <w:color w:val="000000" w:themeColor="text1"/>
        </w:rPr>
      </w:pPr>
    </w:p>
    <w:p w14:paraId="4AABCE97" w14:textId="77777777" w:rsidR="007A7FD1" w:rsidRDefault="00000000">
      <w:pPr>
        <w:pStyle w:val="ListParagraph"/>
        <w:ind w:left="0"/>
      </w:pPr>
      <w:r>
        <w:rPr>
          <w:rFonts w:eastAsia="Calibri" w:cs="Calibri"/>
          <w:color w:val="000000" w:themeColor="text1"/>
        </w:rPr>
        <w:t xml:space="preserve">An assistance information can be sent by UE 1 or gNB 1 to gNB 2 which can help the aggressor UE to </w:t>
      </w:r>
      <w:proofErr w:type="spellStart"/>
      <w:r>
        <w:rPr>
          <w:rFonts w:eastAsia="Calibri" w:cs="Calibri"/>
          <w:color w:val="000000" w:themeColor="text1"/>
        </w:rPr>
        <w:t>nullform</w:t>
      </w:r>
      <w:proofErr w:type="spellEnd"/>
      <w:r>
        <w:rPr>
          <w:rFonts w:eastAsia="Calibri" w:cs="Calibri"/>
          <w:color w:val="000000" w:themeColor="text1"/>
        </w:rPr>
        <w:t xml:space="preserve"> in the direction of UE 1. The assistance information can be e.g., direction information, a </w:t>
      </w:r>
      <w:proofErr w:type="spellStart"/>
      <w:r>
        <w:rPr>
          <w:rFonts w:eastAsia="Calibri" w:cs="Calibri"/>
          <w:color w:val="000000" w:themeColor="text1"/>
        </w:rPr>
        <w:t>nullforming</w:t>
      </w:r>
      <w:proofErr w:type="spellEnd"/>
      <w:r>
        <w:rPr>
          <w:rFonts w:eastAsia="Calibri" w:cs="Calibri"/>
          <w:color w:val="000000" w:themeColor="text1"/>
        </w:rPr>
        <w:t xml:space="preserve"> precoder etc. This will ensure a way of optimum beamforming at the aggressor UE to minimize the CLI it causes. </w:t>
      </w:r>
    </w:p>
    <w:p w14:paraId="3C214980" w14:textId="77777777" w:rsidR="007A7FD1" w:rsidRDefault="007A7FD1">
      <w:pPr>
        <w:pStyle w:val="ListParagraph"/>
        <w:ind w:left="0"/>
        <w:rPr>
          <w:rFonts w:eastAsia="Calibri" w:cs="Calibri"/>
          <w:color w:val="000000" w:themeColor="text1"/>
        </w:rPr>
      </w:pPr>
    </w:p>
    <w:p w14:paraId="640D9AC0" w14:textId="77777777" w:rsidR="007A7FD1" w:rsidRDefault="00000000">
      <w:pPr>
        <w:pStyle w:val="ListParagraph"/>
        <w:ind w:left="0"/>
        <w:jc w:val="left"/>
        <w:rPr>
          <w:b/>
          <w:bCs/>
        </w:rPr>
      </w:pPr>
      <w:r>
        <w:rPr>
          <w:rFonts w:eastAsia="Calibri" w:cs="Calibri"/>
          <w:b/>
          <w:bCs/>
          <w:color w:val="000000" w:themeColor="text1"/>
          <w:szCs w:val="20"/>
          <w:lang w:eastAsia="ko-KR"/>
        </w:rPr>
        <w:t>Proposal 6: Assistance information about victim UE is provided by its serving gNB to the serving gNB of the aggressor UE to aid optimum transmit beamforming for CLI management.</w:t>
      </w:r>
    </w:p>
    <w:p w14:paraId="78F69D20" w14:textId="77777777" w:rsidR="007A7FD1" w:rsidRDefault="00000000">
      <w:pPr>
        <w:pStyle w:val="Heading2"/>
        <w:numPr>
          <w:ilvl w:val="1"/>
          <w:numId w:val="2"/>
        </w:numPr>
        <w:jc w:val="left"/>
      </w:pPr>
      <w:r>
        <w:t>Advanced Receiver techniques</w:t>
      </w:r>
    </w:p>
    <w:p w14:paraId="27F6CB9D" w14:textId="77777777" w:rsidR="007A7FD1" w:rsidRDefault="00000000">
      <w:r>
        <w:tab/>
        <w:t>Advanced receivers like linear minimum mean square error- interference rejection combining (LMMSE-IRC</w:t>
      </w:r>
      <w:proofErr w:type="gramStart"/>
      <w:r>
        <w:t>)</w:t>
      </w:r>
      <w:proofErr w:type="gramEnd"/>
      <w:r>
        <w:t xml:space="preserve"> and  E-LMMSE-IRC are capable of suppressing interference. In case of  LMMSE-IRC, the interference covariance matrix is required at the receiver whereas for  E-LMMSE-IRC, interference channel of the dominant interference is required. To measure the interference channel at the UE, certain reference signal (RS) pattern is necessary.  </w:t>
      </w:r>
    </w:p>
    <w:p w14:paraId="41EE0A98" w14:textId="77777777" w:rsidR="007A7FD1" w:rsidRDefault="00000000">
      <w:r>
        <w:tab/>
        <w:t xml:space="preserve">In the first case, a scenario is considered where a UE is configured to measure CLI on some SRS resource. Since, SRS has a comb pattern, the REs where SRS sequence is not filled can be used by the gNB for DL communication to other UEs. To enable this, a rate matching pattern equivalent to the SRS comb structure is required in DL. However, currently in NR, there is no such rate matching pattern available. </w:t>
      </w:r>
    </w:p>
    <w:p w14:paraId="64194AC6" w14:textId="5E3C75E5" w:rsidR="007A7FD1" w:rsidRDefault="00000000">
      <w:pPr>
        <w:jc w:val="left"/>
        <w:rPr>
          <w:b/>
          <w:bCs/>
        </w:rPr>
      </w:pPr>
      <w:r>
        <w:rPr>
          <w:b/>
          <w:bCs/>
        </w:rPr>
        <w:t>Observation 8: Rate matching pattern corresponding to SRS is not available for DL.</w:t>
      </w:r>
    </w:p>
    <w:p w14:paraId="39567ACD" w14:textId="347025A8" w:rsidR="007A7FD1" w:rsidRDefault="00C34821">
      <w:pPr>
        <w:jc w:val="left"/>
      </w:pPr>
      <w:r>
        <w:rPr>
          <w:noProof/>
        </w:rPr>
        <w:drawing>
          <wp:anchor distT="0" distB="0" distL="0" distR="0" simplePos="0" relativeHeight="251658240" behindDoc="0" locked="0" layoutInCell="1" allowOverlap="1" wp14:anchorId="02588A55" wp14:editId="1A93187D">
            <wp:simplePos x="0" y="0"/>
            <wp:positionH relativeFrom="column">
              <wp:posOffset>2675890</wp:posOffset>
            </wp:positionH>
            <wp:positionV relativeFrom="paragraph">
              <wp:posOffset>564515</wp:posOffset>
            </wp:positionV>
            <wp:extent cx="885825" cy="1743075"/>
            <wp:effectExtent l="0" t="0" r="0" b="0"/>
            <wp:wrapTopAndBottom/>
            <wp:docPr id="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
                    <pic:cNvPicPr>
                      <a:picLocks noChangeAspect="1" noChangeArrowheads="1"/>
                    </pic:cNvPicPr>
                  </pic:nvPicPr>
                  <pic:blipFill>
                    <a:blip r:embed="rId10"/>
                    <a:stretch>
                      <a:fillRect/>
                    </a:stretch>
                  </pic:blipFill>
                  <pic:spPr bwMode="auto">
                    <a:xfrm>
                      <a:off x="0" y="0"/>
                      <a:ext cx="885825" cy="1743075"/>
                    </a:xfrm>
                    <a:prstGeom prst="rect">
                      <a:avLst/>
                    </a:prstGeom>
                  </pic:spPr>
                </pic:pic>
              </a:graphicData>
            </a:graphic>
            <wp14:sizeRelH relativeFrom="margin">
              <wp14:pctWidth>0</wp14:pctWidth>
            </wp14:sizeRelH>
            <wp14:sizeRelV relativeFrom="margin">
              <wp14:pctHeight>0</wp14:pctHeight>
            </wp14:sizeRelV>
          </wp:anchor>
        </w:drawing>
      </w:r>
      <w:r>
        <w:t>A rate matching pattern equivalent to the SRS comb structure in DL will ensure that the UE measures a clean channel estimate of the interference channel which can be used in advanced receivers to suppress the interference. Fig. 6 shows the pattern.</w:t>
      </w:r>
    </w:p>
    <w:p w14:paraId="45B1E164" w14:textId="1747B179" w:rsidR="007A7FD1" w:rsidRDefault="007A7FD1">
      <w:pPr>
        <w:jc w:val="left"/>
      </w:pPr>
    </w:p>
    <w:p w14:paraId="542087C7" w14:textId="77777777" w:rsidR="007A7FD1" w:rsidRDefault="00000000">
      <w:pPr>
        <w:jc w:val="center"/>
      </w:pPr>
      <w:r>
        <w:t>Fig. 6  Rate matching pattern for SRS in DL</w:t>
      </w:r>
    </w:p>
    <w:p w14:paraId="7F05BDF2" w14:textId="77777777" w:rsidR="007A7FD1" w:rsidRDefault="00000000">
      <w:r>
        <w:t xml:space="preserve">In the second case, a scenario is considered where UE only needs to measure the interference channel to use in advanced receiver and need not report the CLI to the gNB. In this case, a CSI-IM can be </w:t>
      </w:r>
      <w:r>
        <w:lastRenderedPageBreak/>
        <w:t xml:space="preserve">configured to the victim UE where it can measure the interference. If the CSI-IM pattern corresponds to the transmitted SRS pattern from the aggressor UE, then the victim UE can measure the clean interference channel on the CSI-IM. Fig. 7 shows the CSI-IM pattern. </w:t>
      </w:r>
    </w:p>
    <w:p w14:paraId="1A54F942" w14:textId="77777777" w:rsidR="007A7FD1" w:rsidRDefault="00000000">
      <w:pPr>
        <w:jc w:val="center"/>
      </w:pPr>
      <w:r>
        <w:rPr>
          <w:noProof/>
        </w:rPr>
        <w:drawing>
          <wp:anchor distT="0" distB="0" distL="0" distR="0" simplePos="0" relativeHeight="7" behindDoc="0" locked="0" layoutInCell="1" allowOverlap="1" wp14:anchorId="65EB5865" wp14:editId="10AB00F9">
            <wp:simplePos x="0" y="0"/>
            <wp:positionH relativeFrom="column">
              <wp:align>center</wp:align>
            </wp:positionH>
            <wp:positionV relativeFrom="paragraph">
              <wp:posOffset>635</wp:posOffset>
            </wp:positionV>
            <wp:extent cx="652780" cy="1442720"/>
            <wp:effectExtent l="0" t="0" r="0" b="0"/>
            <wp:wrapTopAndBottom/>
            <wp:docPr id="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pic:cNvPicPr>
                      <a:picLocks noChangeAspect="1" noChangeArrowheads="1"/>
                    </pic:cNvPicPr>
                  </pic:nvPicPr>
                  <pic:blipFill>
                    <a:blip r:embed="rId11"/>
                    <a:stretch>
                      <a:fillRect/>
                    </a:stretch>
                  </pic:blipFill>
                  <pic:spPr bwMode="auto">
                    <a:xfrm>
                      <a:off x="0" y="0"/>
                      <a:ext cx="652780" cy="1442720"/>
                    </a:xfrm>
                    <a:prstGeom prst="rect">
                      <a:avLst/>
                    </a:prstGeom>
                  </pic:spPr>
                </pic:pic>
              </a:graphicData>
            </a:graphic>
          </wp:anchor>
        </w:drawing>
      </w:r>
      <w:r>
        <w:t>Fig. 7  CSI-IM pattern</w:t>
      </w:r>
    </w:p>
    <w:p w14:paraId="48EB14B2" w14:textId="77777777" w:rsidR="007A7FD1" w:rsidRDefault="00000000">
      <w:pPr>
        <w:jc w:val="left"/>
      </w:pPr>
      <w:r>
        <w:rPr>
          <w:b/>
          <w:bCs/>
        </w:rPr>
        <w:t xml:space="preserve">Observation 9: CSI-IM pattern corresponding to SRS comb pattern will help in measuring the interference channel on SRS. </w:t>
      </w:r>
    </w:p>
    <w:p w14:paraId="7D85C195" w14:textId="6AE7DBBA" w:rsidR="007A7FD1" w:rsidRDefault="00000000">
      <w:r>
        <w:tab/>
        <w:t>The authors of [</w:t>
      </w:r>
      <w:r w:rsidR="00C34821">
        <w:t>5</w:t>
      </w:r>
      <w:r>
        <w:t>] provides such RS patterns for different numerologies as well as for interference channel measurement. An example simulation result is shown in Fig. 8. The figure</w:t>
      </w:r>
      <w:r w:rsidR="00C34821">
        <w:t xml:space="preserve"> </w:t>
      </w:r>
      <w:r>
        <w:t>shows the plot of BER vs. SNR in dB for one dominant interferer at SIR 0 dB with a numerology factor (NF) of 2. The interference channel estimated with proposed RS design along with E-LMMSE-IRC improves the BER as compared to LMMSE-IRC and LS algorithms in which case interference channel estimation is not required.  (n x m in figure legend represents n transmit antennas and m receive antennas).</w:t>
      </w:r>
    </w:p>
    <w:p w14:paraId="0F6077EE" w14:textId="77777777" w:rsidR="007A7FD1" w:rsidRDefault="00000000">
      <w:pPr>
        <w:jc w:val="left"/>
      </w:pPr>
      <w:r>
        <w:rPr>
          <w:noProof/>
        </w:rPr>
        <w:drawing>
          <wp:anchor distT="0" distB="0" distL="0" distR="0" simplePos="0" relativeHeight="5" behindDoc="0" locked="0" layoutInCell="1" allowOverlap="1" wp14:anchorId="0B51019D" wp14:editId="3DB79D81">
            <wp:simplePos x="0" y="0"/>
            <wp:positionH relativeFrom="column">
              <wp:align>center</wp:align>
            </wp:positionH>
            <wp:positionV relativeFrom="paragraph">
              <wp:posOffset>635</wp:posOffset>
            </wp:positionV>
            <wp:extent cx="3233420" cy="2468880"/>
            <wp:effectExtent l="0" t="0" r="0" b="0"/>
            <wp:wrapTopAndBottom/>
            <wp:docPr id="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pic:cNvPicPr>
                      <a:picLocks noChangeAspect="1" noChangeArrowheads="1"/>
                    </pic:cNvPicPr>
                  </pic:nvPicPr>
                  <pic:blipFill>
                    <a:blip r:embed="rId12"/>
                    <a:stretch>
                      <a:fillRect/>
                    </a:stretch>
                  </pic:blipFill>
                  <pic:spPr bwMode="auto">
                    <a:xfrm>
                      <a:off x="0" y="0"/>
                      <a:ext cx="3233420" cy="2468880"/>
                    </a:xfrm>
                    <a:prstGeom prst="rect">
                      <a:avLst/>
                    </a:prstGeom>
                  </pic:spPr>
                </pic:pic>
              </a:graphicData>
            </a:graphic>
          </wp:anchor>
        </w:drawing>
      </w:r>
      <w:r>
        <w:rPr>
          <w:rFonts w:eastAsia="Calibri" w:cs="Calibri"/>
          <w:color w:val="000000" w:themeColor="text1"/>
        </w:rPr>
        <w:t xml:space="preserve"> </w:t>
      </w:r>
    </w:p>
    <w:p w14:paraId="02E59040" w14:textId="77777777" w:rsidR="007A7FD1" w:rsidRDefault="00000000">
      <w:pPr>
        <w:jc w:val="center"/>
      </w:pPr>
      <w:r>
        <w:rPr>
          <w:rFonts w:eastAsia="Calibri" w:cs="Calibri"/>
          <w:color w:val="000000" w:themeColor="text1"/>
        </w:rPr>
        <w:t>Fig. 8 Performance comparison of using advanced receivers for interference suppression</w:t>
      </w:r>
    </w:p>
    <w:p w14:paraId="3BDB8FDD" w14:textId="77777777" w:rsidR="007A7FD1" w:rsidRDefault="00000000">
      <w:pPr>
        <w:jc w:val="left"/>
        <w:rPr>
          <w:rFonts w:eastAsia="Calibri" w:cs="Calibri"/>
          <w:b/>
          <w:bCs/>
          <w:color w:val="000000" w:themeColor="text1"/>
        </w:rPr>
      </w:pPr>
      <w:r>
        <w:rPr>
          <w:rFonts w:eastAsia="Calibri" w:cs="Calibri"/>
          <w:b/>
          <w:bCs/>
          <w:color w:val="000000" w:themeColor="text1"/>
        </w:rPr>
        <w:t>Observation 10: Using estimated interference channel in advanced receivers improves interference suppression.</w:t>
      </w:r>
    </w:p>
    <w:p w14:paraId="712AD5FE" w14:textId="77777777" w:rsidR="007A7FD1" w:rsidRDefault="00000000">
      <w:pPr>
        <w:jc w:val="left"/>
        <w:rPr>
          <w:rFonts w:eastAsia="Calibri" w:cs="Calibri"/>
          <w:b/>
          <w:bCs/>
          <w:color w:val="000000" w:themeColor="text1"/>
        </w:rPr>
      </w:pPr>
      <w:r>
        <w:rPr>
          <w:rFonts w:eastAsia="Calibri" w:cs="Calibri"/>
          <w:b/>
          <w:bCs/>
          <w:color w:val="000000" w:themeColor="text1"/>
        </w:rPr>
        <w:t>Proposal 7: Rate matching pattern corresponding to SRS in supported in DL.</w:t>
      </w:r>
    </w:p>
    <w:p w14:paraId="136077C6" w14:textId="77777777" w:rsidR="007A7FD1" w:rsidRDefault="00000000">
      <w:pPr>
        <w:jc w:val="left"/>
        <w:rPr>
          <w:rFonts w:eastAsia="Calibri" w:cs="Calibri"/>
          <w:b/>
          <w:bCs/>
          <w:color w:val="000000" w:themeColor="text1"/>
        </w:rPr>
      </w:pPr>
      <w:r>
        <w:rPr>
          <w:rFonts w:eastAsia="Calibri" w:cs="Calibri"/>
          <w:b/>
          <w:bCs/>
          <w:color w:val="000000" w:themeColor="text1"/>
        </w:rPr>
        <w:t xml:space="preserve">Proposal 8: CSI-IM pattern corresponding to SRS pattern is supported. </w:t>
      </w:r>
    </w:p>
    <w:p w14:paraId="76DF9C33" w14:textId="77777777" w:rsidR="007A7FD1" w:rsidRDefault="007A7FD1">
      <w:pPr>
        <w:ind w:left="576"/>
        <w:jc w:val="left"/>
        <w:rPr>
          <w:b/>
          <w:bCs/>
        </w:rPr>
      </w:pPr>
    </w:p>
    <w:p w14:paraId="7B785659" w14:textId="77777777" w:rsidR="007A7FD1" w:rsidRDefault="00000000">
      <w:pPr>
        <w:pStyle w:val="Heading1"/>
        <w:numPr>
          <w:ilvl w:val="0"/>
          <w:numId w:val="2"/>
        </w:numPr>
      </w:pPr>
      <w:r>
        <w:rPr>
          <w:rFonts w:eastAsia="Wingdings" w:cs="Wingdings"/>
        </w:rPr>
        <w:t>Conclusion</w:t>
      </w:r>
    </w:p>
    <w:p w14:paraId="52957E0E" w14:textId="77777777" w:rsidR="007A7FD1"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4C11C450" w14:textId="77777777" w:rsidR="007A7FD1" w:rsidRDefault="00000000">
      <w:r>
        <w:rPr>
          <w:rStyle w:val="CommentReference"/>
          <w:rFonts w:eastAsia="Calibri" w:cs="Calibri"/>
          <w:b/>
          <w:bCs/>
          <w:color w:val="000000" w:themeColor="text1"/>
          <w:sz w:val="22"/>
          <w:szCs w:val="22"/>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60A51A1C" w14:textId="77777777" w:rsidR="007A7FD1" w:rsidRDefault="007A7FD1">
      <w:pPr>
        <w:rPr>
          <w:rStyle w:val="CommentReference"/>
          <w:rFonts w:eastAsia="Calibri" w:cs="Calibri"/>
          <w:b/>
          <w:bCs/>
          <w:color w:val="000000" w:themeColor="text1"/>
          <w:sz w:val="22"/>
          <w:szCs w:val="22"/>
        </w:rPr>
      </w:pPr>
    </w:p>
    <w:p w14:paraId="38E79756" w14:textId="77777777" w:rsidR="007A7FD1" w:rsidRDefault="00000000">
      <w:r>
        <w:rPr>
          <w:rStyle w:val="CommentReference"/>
          <w:rFonts w:eastAsia="Calibri" w:cs="Calibri"/>
          <w:b/>
          <w:bCs/>
          <w:color w:val="000000" w:themeColor="text1"/>
          <w:sz w:val="22"/>
          <w:szCs w:val="22"/>
        </w:rPr>
        <w:t>Observation 2: CLI RSRP accuracy improves when measured on phase rotated SRS symbols repeated in time domain.</w:t>
      </w:r>
    </w:p>
    <w:p w14:paraId="27A59F0D" w14:textId="77777777" w:rsidR="007A7FD1" w:rsidRDefault="007A7FD1">
      <w:pPr>
        <w:rPr>
          <w:rStyle w:val="CommentReference"/>
          <w:rFonts w:eastAsia="Calibri" w:cs="Calibri"/>
          <w:b/>
          <w:bCs/>
          <w:color w:val="000000" w:themeColor="text1"/>
          <w:sz w:val="22"/>
          <w:szCs w:val="22"/>
        </w:rPr>
      </w:pPr>
    </w:p>
    <w:p w14:paraId="17D38347" w14:textId="77777777" w:rsidR="007A7FD1" w:rsidRDefault="00000000">
      <w:r>
        <w:rPr>
          <w:rStyle w:val="CommentReference"/>
          <w:rFonts w:eastAsia="Calibri" w:cs="Calibri"/>
          <w:b/>
          <w:bCs/>
          <w:color w:val="000000" w:themeColor="text1"/>
          <w:sz w:val="22"/>
          <w:szCs w:val="22"/>
        </w:rPr>
        <w:t>Proposal 1: Measurement resource enhancement for UE-to-UE CLI measurement is supported.</w:t>
      </w:r>
    </w:p>
    <w:p w14:paraId="285FEE32" w14:textId="77777777" w:rsidR="007A7FD1" w:rsidRDefault="007A7FD1">
      <w:pPr>
        <w:rPr>
          <w:rStyle w:val="CommentReference"/>
          <w:rFonts w:eastAsia="Calibri" w:cs="Calibri"/>
          <w:b/>
          <w:bCs/>
          <w:color w:val="000000" w:themeColor="text1"/>
          <w:sz w:val="22"/>
          <w:szCs w:val="22"/>
        </w:rPr>
      </w:pPr>
    </w:p>
    <w:p w14:paraId="0341BEDF" w14:textId="77777777" w:rsidR="007A7FD1" w:rsidRDefault="00000000">
      <w:pPr>
        <w:pStyle w:val="ListParagraph"/>
        <w:ind w:left="0"/>
        <w:rPr>
          <w:rFonts w:eastAsia="Calibri" w:cs="Calibri"/>
          <w:b/>
          <w:bCs/>
          <w:color w:val="000000" w:themeColor="text1"/>
        </w:rPr>
      </w:pPr>
      <w:r>
        <w:rPr>
          <w:rStyle w:val="CommentReference"/>
          <w:rFonts w:eastAsia="Calibri" w:cs="Calibri"/>
          <w:b/>
          <w:bCs/>
          <w:color w:val="000000" w:themeColor="text1"/>
          <w:sz w:val="22"/>
          <w:szCs w:val="22"/>
        </w:rPr>
        <w:t>Observation 3:  CLI varies with dynamic scheduling in flexible TDD scenario.</w:t>
      </w:r>
    </w:p>
    <w:p w14:paraId="0C44282A" w14:textId="77777777" w:rsidR="007A7FD1" w:rsidRDefault="007A7FD1">
      <w:pPr>
        <w:pStyle w:val="ListParagraph"/>
        <w:ind w:left="0"/>
        <w:rPr>
          <w:b/>
          <w:bCs/>
        </w:rPr>
      </w:pPr>
    </w:p>
    <w:p w14:paraId="2DC57AC0" w14:textId="77777777" w:rsidR="007A7FD1" w:rsidRDefault="00000000">
      <w:pPr>
        <w:pStyle w:val="ListParagraph"/>
        <w:ind w:left="0"/>
      </w:pPr>
      <w:r>
        <w:rPr>
          <w:rStyle w:val="CommentReference"/>
          <w:rFonts w:eastAsia="Calibri" w:cs="Calibri"/>
          <w:b/>
          <w:bCs/>
          <w:color w:val="000000" w:themeColor="text1"/>
          <w:sz w:val="22"/>
          <w:szCs w:val="22"/>
        </w:rPr>
        <w:t>Proposal 2: Mechanism for L1 reporting of CLI for UE-to-UE CLI management is supported.</w:t>
      </w:r>
    </w:p>
    <w:p w14:paraId="0C02D7A8" w14:textId="77777777" w:rsidR="007A7FD1" w:rsidRDefault="007A7FD1">
      <w:pPr>
        <w:pStyle w:val="ListParagraph"/>
        <w:ind w:left="0"/>
        <w:rPr>
          <w:rStyle w:val="CommentReference"/>
          <w:rFonts w:eastAsia="Calibri" w:cs="Calibri"/>
          <w:b/>
          <w:bCs/>
          <w:color w:val="000000" w:themeColor="text1"/>
          <w:sz w:val="22"/>
          <w:szCs w:val="22"/>
        </w:rPr>
      </w:pPr>
    </w:p>
    <w:p w14:paraId="6418104C" w14:textId="77777777" w:rsidR="007A7FD1" w:rsidRDefault="00000000">
      <w:pPr>
        <w:jc w:val="left"/>
      </w:pPr>
      <w:r>
        <w:rPr>
          <w:rStyle w:val="CommentReference"/>
          <w:rFonts w:eastAsia="Calibri" w:cs="Calibri"/>
          <w:b/>
          <w:bCs/>
          <w:color w:val="000000" w:themeColor="text1"/>
          <w:sz w:val="22"/>
          <w:szCs w:val="22"/>
        </w:rPr>
        <w:t xml:space="preserve">Observation 4: Rel. 16 CLI management does not specify required SRS configuration parameters for CLI measurement to be shared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0A362804" w14:textId="77777777" w:rsidR="007A7FD1" w:rsidRDefault="007A7FD1">
      <w:pPr>
        <w:jc w:val="left"/>
        <w:rPr>
          <w:rStyle w:val="CommentReference"/>
          <w:rFonts w:eastAsia="Calibri" w:cs="Calibri"/>
          <w:b/>
          <w:bCs/>
          <w:color w:val="000000" w:themeColor="text1"/>
          <w:sz w:val="22"/>
          <w:szCs w:val="22"/>
        </w:rPr>
      </w:pPr>
    </w:p>
    <w:p w14:paraId="5AA9C890" w14:textId="77777777" w:rsidR="007A7FD1" w:rsidRDefault="00000000">
      <w:pPr>
        <w:jc w:val="left"/>
      </w:pPr>
      <w:r>
        <w:rPr>
          <w:rStyle w:val="CommentReference"/>
          <w:rFonts w:eastAsia="Calibri" w:cs="Calibri"/>
          <w:b/>
          <w:bCs/>
          <w:color w:val="000000" w:themeColor="text1"/>
          <w:sz w:val="22"/>
          <w:szCs w:val="22"/>
        </w:rPr>
        <w:t xml:space="preserve">Proposal 3: Sharing of Rel. 16 CLI management related SRS configuration parameters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xml:space="preserve"> is supported.</w:t>
      </w:r>
    </w:p>
    <w:p w14:paraId="3E803579" w14:textId="77777777" w:rsidR="007A7FD1" w:rsidRDefault="007A7FD1">
      <w:pPr>
        <w:jc w:val="left"/>
        <w:rPr>
          <w:rStyle w:val="CommentReference"/>
          <w:rFonts w:eastAsia="Calibri" w:cs="Calibri"/>
          <w:b/>
          <w:bCs/>
          <w:color w:val="000000" w:themeColor="text1"/>
          <w:sz w:val="22"/>
          <w:szCs w:val="22"/>
        </w:rPr>
      </w:pPr>
    </w:p>
    <w:p w14:paraId="579031C8" w14:textId="77777777" w:rsidR="007A7FD1" w:rsidRDefault="00000000">
      <w:pPr>
        <w:pStyle w:val="ListParagraph"/>
        <w:ind w:left="0"/>
        <w:jc w:val="left"/>
      </w:pPr>
      <w:r>
        <w:rPr>
          <w:rStyle w:val="CommentReference"/>
          <w:rFonts w:eastAsia="Calibri" w:cs="Calibri"/>
          <w:b/>
          <w:bCs/>
          <w:color w:val="000000" w:themeColor="text1"/>
          <w:sz w:val="22"/>
          <w:szCs w:val="22"/>
        </w:rPr>
        <w:t xml:space="preserve">Observation 5:  In case of partial overlap of BWPs, the victim UE receives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Style w:val="CommentReference"/>
          <w:rFonts w:eastAsia="Calibri" w:cs="Calibri"/>
          <w:b/>
          <w:bCs/>
          <w:color w:val="000000" w:themeColor="text1"/>
          <w:sz w:val="22"/>
          <w:szCs w:val="22"/>
        </w:rPr>
        <w:t>dB.</w:t>
      </w:r>
      <w:proofErr w:type="spellEnd"/>
    </w:p>
    <w:p w14:paraId="51D2A2CB" w14:textId="77777777" w:rsidR="007A7FD1" w:rsidRDefault="007A7FD1">
      <w:pPr>
        <w:pStyle w:val="ListParagraph"/>
        <w:ind w:left="0"/>
        <w:jc w:val="left"/>
        <w:rPr>
          <w:rStyle w:val="CommentReference"/>
          <w:rFonts w:eastAsia="Calibri" w:cs="Calibri"/>
          <w:b/>
          <w:bCs/>
          <w:color w:val="000000" w:themeColor="text1"/>
          <w:sz w:val="22"/>
          <w:szCs w:val="22"/>
        </w:rPr>
      </w:pPr>
    </w:p>
    <w:p w14:paraId="18BC171F" w14:textId="77777777" w:rsidR="007A7FD1" w:rsidRDefault="00000000">
      <w:pPr>
        <w:pStyle w:val="ListParagraph"/>
        <w:ind w:left="0"/>
        <w:jc w:val="left"/>
      </w:pPr>
      <w:r>
        <w:rPr>
          <w:rStyle w:val="CommentReference"/>
          <w:rFonts w:eastAsia="Calibri" w:cs="Calibri"/>
          <w:b/>
          <w:bCs/>
          <w:color w:val="000000" w:themeColor="text1"/>
          <w:sz w:val="22"/>
          <w:szCs w:val="22"/>
        </w:rPr>
        <w:t xml:space="preserve">Proposal 4: A common reference point for CLI RSRP measurement is exchanged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02CFBDC8" w14:textId="77777777" w:rsidR="007A7FD1" w:rsidRDefault="00000000">
      <w:pPr>
        <w:jc w:val="left"/>
      </w:pPr>
      <w:r>
        <w:rPr>
          <w:rStyle w:val="CommentReference"/>
          <w:rFonts w:eastAsia="Calibri" w:cs="Calibri"/>
          <w:b/>
          <w:bCs/>
          <w:color w:val="000000" w:themeColor="text1"/>
          <w:sz w:val="22"/>
          <w:szCs w:val="22"/>
        </w:rPr>
        <w:t xml:space="preserve">Observation 6:  When aggressor and victim UE are operating at different numerology, discrepancy arises in the transmitted and received SRS numerologies  that will affect the accuracy of CLI RSRP measurement. </w:t>
      </w:r>
    </w:p>
    <w:p w14:paraId="76B05A00" w14:textId="77777777" w:rsidR="007A7FD1" w:rsidRDefault="007A7FD1">
      <w:pPr>
        <w:jc w:val="left"/>
        <w:rPr>
          <w:rStyle w:val="CommentReference"/>
          <w:rFonts w:eastAsia="Calibri" w:cs="Calibri"/>
          <w:b/>
          <w:bCs/>
          <w:color w:val="000000" w:themeColor="text1"/>
          <w:sz w:val="22"/>
          <w:szCs w:val="22"/>
        </w:rPr>
      </w:pPr>
    </w:p>
    <w:p w14:paraId="6679A29E" w14:textId="77777777" w:rsidR="007A7FD1" w:rsidRDefault="00000000">
      <w:pPr>
        <w:pStyle w:val="ListParagraph"/>
        <w:ind w:left="0"/>
        <w:jc w:val="left"/>
        <w:rPr>
          <w:rFonts w:eastAsia="Calibri" w:cs="Calibri"/>
          <w:color w:val="000000" w:themeColor="text1"/>
        </w:rPr>
      </w:pPr>
      <w:r>
        <w:rPr>
          <w:rStyle w:val="CommentReference"/>
          <w:rFonts w:eastAsia="Calibri" w:cs="Calibri"/>
          <w:b/>
          <w:bCs/>
          <w:color w:val="000000" w:themeColor="text1"/>
          <w:sz w:val="22"/>
          <w:szCs w:val="22"/>
        </w:rPr>
        <w:t xml:space="preserve">Proposal 5: Numerology of transmission of SRS is exchanged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xml:space="preserve"> for CLI measurement.</w:t>
      </w:r>
    </w:p>
    <w:p w14:paraId="63607877" w14:textId="77777777" w:rsidR="007A7FD1" w:rsidRDefault="007A7FD1">
      <w:pPr>
        <w:pStyle w:val="ListParagraph"/>
        <w:ind w:left="0"/>
        <w:jc w:val="left"/>
        <w:rPr>
          <w:rFonts w:eastAsia="Calibri" w:cs="Calibri"/>
          <w:color w:val="000000" w:themeColor="text1"/>
        </w:rPr>
      </w:pPr>
    </w:p>
    <w:p w14:paraId="06FA4ABF" w14:textId="77777777" w:rsidR="007A7FD1" w:rsidRDefault="00000000">
      <w:pPr>
        <w:pStyle w:val="ListParagraph"/>
        <w:ind w:left="0"/>
        <w:jc w:val="left"/>
        <w:rPr>
          <w:rFonts w:eastAsia="Calibri" w:cs="Calibri"/>
          <w:color w:val="000000" w:themeColor="text1"/>
        </w:rPr>
      </w:pPr>
      <w:r>
        <w:rPr>
          <w:rStyle w:val="CommentReference"/>
          <w:rFonts w:eastAsia="Calibri" w:cs="Calibri"/>
          <w:b/>
          <w:bCs/>
          <w:color w:val="000000" w:themeColor="text1"/>
          <w:sz w:val="22"/>
          <w:szCs w:val="22"/>
        </w:rPr>
        <w:t>Observation 7: Transmit beamforming techniques will be helpful to manage CLI in a network.</w:t>
      </w:r>
    </w:p>
    <w:p w14:paraId="4B1228E0" w14:textId="77777777" w:rsidR="007A7FD1" w:rsidRDefault="007A7FD1">
      <w:pPr>
        <w:pStyle w:val="ListParagraph"/>
        <w:ind w:left="0"/>
        <w:jc w:val="left"/>
        <w:rPr>
          <w:rFonts w:eastAsia="Calibri" w:cs="Calibri"/>
          <w:color w:val="000000" w:themeColor="text1"/>
        </w:rPr>
      </w:pPr>
    </w:p>
    <w:p w14:paraId="12B6E8A7" w14:textId="77777777" w:rsidR="007A7FD1" w:rsidRDefault="00000000">
      <w:pPr>
        <w:pStyle w:val="ListParagraph"/>
        <w:ind w:left="0"/>
        <w:jc w:val="left"/>
        <w:rPr>
          <w:b/>
          <w:bCs/>
        </w:rPr>
      </w:pPr>
      <w:r>
        <w:rPr>
          <w:rStyle w:val="CommentReference"/>
          <w:rFonts w:eastAsia="Calibri" w:cs="Calibri"/>
          <w:b/>
          <w:bCs/>
          <w:color w:val="000000" w:themeColor="text1"/>
          <w:sz w:val="22"/>
          <w:szCs w:val="22"/>
          <w:lang w:eastAsia="ko-KR"/>
        </w:rPr>
        <w:t>Proposal 6: Assistance information about victim UE is provided by its serving gNB to the serving gNB of the aggressor UE to aid optimum transmit beamforming for CLI management.</w:t>
      </w:r>
    </w:p>
    <w:p w14:paraId="0E0808E4" w14:textId="77777777" w:rsidR="007A7FD1" w:rsidRDefault="00000000">
      <w:pPr>
        <w:jc w:val="left"/>
        <w:rPr>
          <w:b/>
          <w:bCs/>
        </w:rPr>
      </w:pPr>
      <w:r>
        <w:rPr>
          <w:rStyle w:val="CommentReference"/>
          <w:rFonts w:eastAsia="Calibri" w:cs="Calibri"/>
          <w:b/>
          <w:bCs/>
          <w:color w:val="000000" w:themeColor="text1"/>
          <w:sz w:val="22"/>
          <w:szCs w:val="22"/>
          <w:lang w:eastAsia="ko-KR"/>
        </w:rPr>
        <w:t>Observation 8: Rate matching pattern corresponding to SRS is not available for DL.</w:t>
      </w:r>
    </w:p>
    <w:p w14:paraId="6549CB79" w14:textId="77777777" w:rsidR="007A7FD1" w:rsidRDefault="007A7FD1">
      <w:pPr>
        <w:jc w:val="left"/>
        <w:rPr>
          <w:b/>
          <w:bCs/>
        </w:rPr>
      </w:pPr>
    </w:p>
    <w:p w14:paraId="5B0FC715" w14:textId="77777777" w:rsidR="007A7FD1" w:rsidRDefault="00000000">
      <w:pPr>
        <w:jc w:val="left"/>
        <w:rPr>
          <w:b/>
          <w:bCs/>
        </w:rPr>
      </w:pPr>
      <w:r>
        <w:rPr>
          <w:rStyle w:val="CommentReference"/>
          <w:rFonts w:eastAsia="Calibri" w:cs="Calibri"/>
          <w:b/>
          <w:bCs/>
          <w:color w:val="000000" w:themeColor="text1"/>
          <w:sz w:val="22"/>
          <w:szCs w:val="22"/>
          <w:lang w:eastAsia="ko-KR"/>
        </w:rPr>
        <w:t xml:space="preserve">Observation 9: CSI-IM pattern corresponding to SRS comb pattern will help in measuring the interference channel on SRS. </w:t>
      </w:r>
    </w:p>
    <w:p w14:paraId="07556093" w14:textId="77777777" w:rsidR="007A7FD1" w:rsidRDefault="007A7FD1">
      <w:pPr>
        <w:jc w:val="left"/>
        <w:rPr>
          <w:b/>
          <w:bCs/>
        </w:rPr>
      </w:pPr>
    </w:p>
    <w:p w14:paraId="7166A91D" w14:textId="77777777" w:rsidR="007A7FD1"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Observation 10: Using estimated interference channel in advanced receivers improves interference suppression.</w:t>
      </w:r>
    </w:p>
    <w:p w14:paraId="0A72A2D8" w14:textId="77777777" w:rsidR="007A7FD1" w:rsidRDefault="007A7FD1">
      <w:pPr>
        <w:jc w:val="left"/>
        <w:rPr>
          <w:rFonts w:eastAsia="Calibri" w:cs="Calibri"/>
          <w:b/>
          <w:bCs/>
          <w:color w:val="000000" w:themeColor="text1"/>
        </w:rPr>
      </w:pPr>
    </w:p>
    <w:p w14:paraId="6ADDDBC2" w14:textId="77777777" w:rsidR="007A7FD1" w:rsidRDefault="00000000">
      <w:pPr>
        <w:jc w:val="left"/>
        <w:rPr>
          <w:rFonts w:eastAsia="Calibri" w:cs="Calibri"/>
          <w:b/>
          <w:bCs/>
          <w:color w:val="000000" w:themeColor="text1"/>
        </w:rPr>
      </w:pPr>
      <w:r>
        <w:rPr>
          <w:rStyle w:val="CommentReference"/>
          <w:rFonts w:eastAsia="Calibri" w:cs="Calibri"/>
          <w:b/>
          <w:bCs/>
          <w:color w:val="000000" w:themeColor="text1"/>
          <w:sz w:val="22"/>
          <w:szCs w:val="22"/>
        </w:rPr>
        <w:t>Proposal 7: Rate matching pattern corresponding to SRS in supported in DL.</w:t>
      </w:r>
    </w:p>
    <w:p w14:paraId="5C449085" w14:textId="77777777" w:rsidR="007A7FD1" w:rsidRDefault="007A7FD1">
      <w:pPr>
        <w:jc w:val="left"/>
        <w:rPr>
          <w:rFonts w:eastAsia="Calibri" w:cs="Calibri"/>
          <w:b/>
          <w:bCs/>
          <w:color w:val="000000" w:themeColor="text1"/>
        </w:rPr>
      </w:pPr>
    </w:p>
    <w:p w14:paraId="4D691FA6" w14:textId="77777777" w:rsidR="007A7FD1" w:rsidRDefault="00000000">
      <w:pPr>
        <w:jc w:val="left"/>
        <w:rPr>
          <w:rFonts w:eastAsia="Calibri" w:cs="Calibri"/>
          <w:b/>
          <w:bCs/>
          <w:color w:val="000000" w:themeColor="text1"/>
        </w:rPr>
      </w:pPr>
      <w:r>
        <w:rPr>
          <w:rStyle w:val="CommentReference"/>
          <w:rFonts w:eastAsia="Calibri" w:cs="Calibri"/>
          <w:b/>
          <w:bCs/>
          <w:color w:val="000000" w:themeColor="text1"/>
          <w:sz w:val="22"/>
          <w:szCs w:val="22"/>
          <w:lang w:eastAsia="ko-KR"/>
        </w:rPr>
        <w:t xml:space="preserve">Proposal 8: CSI-IM pattern corresponding to SRS pattern is supported. </w:t>
      </w:r>
    </w:p>
    <w:p w14:paraId="54EFFB45" w14:textId="77777777" w:rsidR="007A7FD1" w:rsidRDefault="007A7FD1">
      <w:pPr>
        <w:jc w:val="left"/>
        <w:rPr>
          <w:b/>
          <w:bCs/>
        </w:rPr>
      </w:pPr>
    </w:p>
    <w:p w14:paraId="15876959" w14:textId="77777777" w:rsidR="007A7FD1" w:rsidRDefault="00000000">
      <w:pPr>
        <w:pStyle w:val="Heading1"/>
        <w:ind w:left="432" w:hanging="432"/>
      </w:pPr>
      <w:r>
        <w:rPr>
          <w:rFonts w:eastAsia="Wingdings" w:cs="Wingdings"/>
        </w:rPr>
        <w:t>References</w:t>
      </w:r>
    </w:p>
    <w:p w14:paraId="06E148A9" w14:textId="77777777" w:rsidR="007A7FD1"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1086D4AF" w14:textId="255DF87D" w:rsidR="007A7FD1" w:rsidRPr="000374E6" w:rsidRDefault="00000000">
      <w:pPr>
        <w:pStyle w:val="TdocHeader2"/>
        <w:numPr>
          <w:ilvl w:val="0"/>
          <w:numId w:val="1"/>
        </w:numPr>
      </w:pPr>
      <w:r>
        <w:rPr>
          <w:rFonts w:ascii="Times New Roman" w:hAnsi="Times New Roman" w:cs="Times New Roman"/>
          <w:b w:val="0"/>
          <w:sz w:val="20"/>
          <w:lang w:val="en-GB"/>
        </w:rPr>
        <w:t xml:space="preserve">RAN1 Chairman’s Notes, 3GPP TSG RAN WG1 Meeting #110, </w:t>
      </w:r>
      <w:r w:rsidR="000374E6">
        <w:rPr>
          <w:rFonts w:ascii="Times New Roman" w:hAnsi="Times New Roman" w:cs="Times New Roman"/>
          <w:b w:val="0"/>
          <w:sz w:val="20"/>
          <w:lang w:val="en-GB"/>
        </w:rPr>
        <w:t xml:space="preserve">Toulouse, </w:t>
      </w:r>
      <w:r>
        <w:rPr>
          <w:rFonts w:ascii="Times New Roman" w:hAnsi="Times New Roman" w:cs="Times New Roman"/>
          <w:b w:val="0"/>
          <w:sz w:val="20"/>
          <w:lang w:val="en-GB"/>
        </w:rPr>
        <w:t>August 2022</w:t>
      </w:r>
    </w:p>
    <w:p w14:paraId="6DC4B6B9" w14:textId="77777777" w:rsidR="000374E6" w:rsidRDefault="000374E6" w:rsidP="000374E6">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p w14:paraId="61098A66" w14:textId="51A12D74" w:rsidR="000374E6" w:rsidRDefault="000374E6" w:rsidP="000374E6">
      <w:pPr>
        <w:pStyle w:val="TdocHeader2"/>
        <w:numPr>
          <w:ilvl w:val="0"/>
          <w:numId w:val="1"/>
        </w:numPr>
      </w:pPr>
      <w:r>
        <w:rPr>
          <w:rFonts w:ascii="Times New Roman" w:hAnsi="Times New Roman" w:cs="Times New Roman"/>
          <w:b w:val="0"/>
          <w:sz w:val="20"/>
          <w:lang w:val="en-GB"/>
        </w:rPr>
        <w:t>RAN1 Chairman’s Notes, 3GPP TSG RAN WG1 Meeting Ad-Hoc Meeting 1901, Jan. 2019</w:t>
      </w:r>
    </w:p>
    <w:p w14:paraId="1F99F39A" w14:textId="77777777" w:rsidR="007A7FD1" w:rsidRDefault="00000000">
      <w:pPr>
        <w:pStyle w:val="TdocHeader2"/>
        <w:numPr>
          <w:ilvl w:val="0"/>
          <w:numId w:val="1"/>
        </w:numPr>
      </w:pPr>
      <w:proofErr w:type="spellStart"/>
      <w:proofErr w:type="gramStart"/>
      <w:r>
        <w:rPr>
          <w:rFonts w:ascii="Times New Roman" w:hAnsi="Times New Roman" w:cs="Times New Roman"/>
          <w:b w:val="0"/>
          <w:sz w:val="20"/>
          <w:lang w:val="en-GB"/>
        </w:rPr>
        <w:t>P.Dey</w:t>
      </w:r>
      <w:proofErr w:type="spellEnd"/>
      <w:proofErr w:type="gramEnd"/>
      <w:r>
        <w:rPr>
          <w:rFonts w:ascii="Times New Roman" w:hAnsi="Times New Roman" w:cs="Times New Roman"/>
          <w:b w:val="0"/>
          <w:sz w:val="20"/>
          <w:lang w:val="en-GB"/>
        </w:rPr>
        <w:t xml:space="preserve"> </w:t>
      </w:r>
      <w:r>
        <w:rPr>
          <w:rFonts w:ascii="Times New Roman" w:hAnsi="Times New Roman" w:cs="Times New Roman"/>
          <w:b w:val="0"/>
          <w:i/>
          <w:iCs/>
          <w:sz w:val="20"/>
          <w:lang w:val="en-GB"/>
        </w:rPr>
        <w:t>et.al., “</w:t>
      </w:r>
      <w:r>
        <w:rPr>
          <w:rFonts w:ascii="Times New Roman" w:hAnsi="Times New Roman" w:cs="Times New Roman"/>
          <w:b w:val="0"/>
          <w:sz w:val="20"/>
          <w:lang w:val="en-GB"/>
        </w:rPr>
        <w:t>Reference signal design to mitigate co-channel interference in 5G OFDM systems with multiple numerologies”, Physical communication, 2022.</w:t>
      </w:r>
    </w:p>
    <w:sectPr w:rsidR="007A7FD1">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Arial Unicode MS"/>
    <w:charset w:val="01"/>
    <w:family w:val="roman"/>
    <w:pitch w:val="variable"/>
  </w:font>
  <w:font w:name="Times;Times New Roman">
    <w:panose1 w:val="00000000000000000000"/>
    <w:charset w:val="0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66DFF"/>
    <w:multiLevelType w:val="multilevel"/>
    <w:tmpl w:val="276807C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DC3107E"/>
    <w:multiLevelType w:val="multilevel"/>
    <w:tmpl w:val="B4DCE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5FA5CCC"/>
    <w:multiLevelType w:val="multilevel"/>
    <w:tmpl w:val="90929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36679781">
    <w:abstractNumId w:val="2"/>
  </w:num>
  <w:num w:numId="2" w16cid:durableId="1008680532">
    <w:abstractNumId w:val="0"/>
  </w:num>
  <w:num w:numId="3" w16cid:durableId="149903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1296"/>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7A7FD1"/>
    <w:rsid w:val="000374E6"/>
    <w:rsid w:val="001D02E3"/>
    <w:rsid w:val="007A7FD1"/>
    <w:rsid w:val="008B215D"/>
    <w:rsid w:val="00C3482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450FB"/>
  <w15:docId w15:val="{66617664-F2E4-485B-A96A-1A87081B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numbering" w:customStyle="1" w:styleId="WW8Num27">
    <w:name w:val="WW8Num2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2852</Words>
  <Characters>16259</Characters>
  <Application>Microsoft Office Word</Application>
  <DocSecurity>0</DocSecurity>
  <Lines>135</Lines>
  <Paragraphs>38</Paragraphs>
  <ScaleCrop>false</ScaleCrop>
  <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2022-09-30T09:40:00Z</dcterms:created>
  <dcterms:modified xsi:type="dcterms:W3CDTF">2022-09-30T09:40:00Z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