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47BBD2B1"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w:t>
      </w:r>
      <w:r w:rsidR="00781298">
        <w:rPr>
          <w:rFonts w:ascii="Arial" w:eastAsia="ＭＳ 明朝" w:hAnsi="Arial"/>
          <w:b/>
          <w:noProof/>
          <w:lang w:val="en-US"/>
        </w:rPr>
        <w:t>10bis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781298" w:rsidRPr="00781298">
        <w:rPr>
          <w:rFonts w:ascii="Arial" w:eastAsia="ＭＳ 明朝" w:hAnsi="Arial"/>
          <w:b/>
          <w:noProof/>
          <w:lang w:val="en-US"/>
        </w:rPr>
        <w:t>R1-2209871</w:t>
      </w:r>
    </w:p>
    <w:bookmarkEnd w:id="0"/>
    <w:p w14:paraId="6F2E48AF" w14:textId="5360027C" w:rsidR="00CE4741" w:rsidRPr="00420A1D" w:rsidRDefault="00781298" w:rsidP="00CE4741">
      <w:pPr>
        <w:tabs>
          <w:tab w:val="center" w:pos="4536"/>
          <w:tab w:val="right" w:pos="9072"/>
        </w:tabs>
        <w:rPr>
          <w:rFonts w:ascii="Arial" w:eastAsia="ＭＳ 明朝" w:hAnsi="Arial"/>
          <w:b/>
          <w:noProof/>
        </w:rPr>
      </w:pPr>
      <w:r>
        <w:rPr>
          <w:rFonts w:ascii="Arial" w:eastAsia="ＭＳ 明朝" w:hAnsi="Arial"/>
          <w:b/>
          <w:noProof/>
        </w:rPr>
        <w:t>e-Meeting</w:t>
      </w:r>
      <w:r w:rsidR="00CE4741" w:rsidRPr="00420A1D">
        <w:rPr>
          <w:rFonts w:ascii="Arial" w:eastAsia="ＭＳ 明朝" w:hAnsi="Arial"/>
          <w:b/>
          <w:noProof/>
        </w:rPr>
        <w:t xml:space="preserve">, </w:t>
      </w:r>
      <w:r>
        <w:rPr>
          <w:rFonts w:ascii="Arial" w:eastAsia="ＭＳ 明朝" w:hAnsi="Arial"/>
          <w:b/>
          <w:noProof/>
        </w:rPr>
        <w:t>October</w:t>
      </w:r>
      <w:r w:rsidR="00EE076A">
        <w:rPr>
          <w:rFonts w:ascii="Arial" w:eastAsia="ＭＳ 明朝" w:hAnsi="Arial"/>
          <w:b/>
          <w:noProof/>
        </w:rPr>
        <w:t xml:space="preserve"> </w:t>
      </w:r>
      <w:r>
        <w:rPr>
          <w:rFonts w:ascii="Arial" w:eastAsia="ＭＳ 明朝" w:hAnsi="Arial"/>
          <w:b/>
          <w:noProof/>
        </w:rPr>
        <w:t>10 – 19</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EE076A"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75BE40B"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D142E5">
        <w:rPr>
          <w:sz w:val="24"/>
          <w:lang w:val="en-US"/>
        </w:rPr>
        <w:t>Discussion on r</w:t>
      </w:r>
      <w:r w:rsidR="00EE076A">
        <w:rPr>
          <w:sz w:val="24"/>
          <w:lang w:val="en-US"/>
        </w:rPr>
        <w:t>emaining issues for NR in FR2-2</w:t>
      </w:r>
    </w:p>
    <w:p w14:paraId="327D0F9A" w14:textId="5D6C86D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53EBF" w14:textId="13F804E9" w:rsidR="00496B1E" w:rsidRPr="001D2054" w:rsidRDefault="0067218C" w:rsidP="00C836AF">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8B0EB3">
        <w:rPr>
          <w:rFonts w:eastAsia="ＭＳ 明朝"/>
          <w:sz w:val="22"/>
          <w:szCs w:val="22"/>
          <w:lang w:val="en-US"/>
        </w:rPr>
        <w:t xml:space="preserve"> from RAN1 perspective</w:t>
      </w:r>
      <w:r w:rsidR="001D2054">
        <w:rPr>
          <w:rFonts w:eastAsia="ＭＳ 明朝"/>
          <w:sz w:val="22"/>
          <w:szCs w:val="22"/>
          <w:lang w:val="en-US"/>
        </w:rPr>
        <w:t>.</w:t>
      </w:r>
    </w:p>
    <w:p w14:paraId="5055CBC2" w14:textId="4CA949E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w:t>
      </w:r>
      <w:r w:rsidR="00EE076A">
        <w:rPr>
          <w:rFonts w:eastAsia="ＭＳ 明朝"/>
          <w:sz w:val="22"/>
          <w:szCs w:val="22"/>
          <w:lang w:val="en-US"/>
        </w:rPr>
        <w:t xml:space="preserve">for NR in FR2-2. </w:t>
      </w:r>
    </w:p>
    <w:p w14:paraId="0316F226" w14:textId="77777777" w:rsidR="00F86761" w:rsidRPr="001254B2" w:rsidRDefault="00F86761" w:rsidP="00F26F8D">
      <w:pPr>
        <w:spacing w:afterLines="50" w:after="120"/>
        <w:jc w:val="both"/>
        <w:rPr>
          <w:rFonts w:eastAsia="ＭＳ 明朝"/>
          <w:szCs w:val="22"/>
          <w:lang w:val="en-US"/>
        </w:rPr>
      </w:pPr>
    </w:p>
    <w:p w14:paraId="2BC540AC" w14:textId="5896C0BD" w:rsidR="00D4540C" w:rsidRPr="001E015F" w:rsidRDefault="00EE076A" w:rsidP="00A65306">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96F385" w14:textId="7B70E6A0" w:rsidR="00B15126" w:rsidRPr="00B15126" w:rsidRDefault="00B15126" w:rsidP="00B15126">
      <w:pPr>
        <w:pStyle w:val="2"/>
        <w:numPr>
          <w:ilvl w:val="1"/>
          <w:numId w:val="6"/>
        </w:numPr>
        <w:rPr>
          <w:b/>
          <w:bCs/>
        </w:rPr>
      </w:pPr>
      <w:r w:rsidRPr="00B15126">
        <w:rPr>
          <w:b/>
          <w:bCs/>
        </w:rPr>
        <w:t>Spatial domain filter to be used for sensing prior to PUCCH/SRS</w:t>
      </w:r>
    </w:p>
    <w:p w14:paraId="41E50EA6" w14:textId="77777777" w:rsidR="00B15126" w:rsidRDefault="00B15126" w:rsidP="00B15126">
      <w:pPr>
        <w:jc w:val="both"/>
        <w:rPr>
          <w:sz w:val="21"/>
          <w:szCs w:val="16"/>
        </w:rPr>
      </w:pPr>
      <w:r>
        <w:rPr>
          <w:rFonts w:hint="eastAsia"/>
          <w:sz w:val="21"/>
          <w:szCs w:val="16"/>
        </w:rPr>
        <w:t>R</w:t>
      </w:r>
      <w:r>
        <w:rPr>
          <w:sz w:val="21"/>
          <w:szCs w:val="16"/>
        </w:rPr>
        <w:t>AN1 agreed an agreement below at the RAN1#106bis-e meeting:</w:t>
      </w:r>
    </w:p>
    <w:tbl>
      <w:tblPr>
        <w:tblStyle w:val="afa"/>
        <w:tblW w:w="0" w:type="auto"/>
        <w:tblLook w:val="04A0" w:firstRow="1" w:lastRow="0" w:firstColumn="1" w:lastColumn="0" w:noHBand="0" w:noVBand="1"/>
      </w:tblPr>
      <w:tblGrid>
        <w:gridCol w:w="9962"/>
      </w:tblGrid>
      <w:tr w:rsidR="00B15126" w14:paraId="0B391CF4" w14:textId="77777777" w:rsidTr="009D0714">
        <w:tc>
          <w:tcPr>
            <w:tcW w:w="9962" w:type="dxa"/>
          </w:tcPr>
          <w:p w14:paraId="0B6FC356" w14:textId="77777777" w:rsidR="00B15126" w:rsidRPr="00105476" w:rsidRDefault="00B15126" w:rsidP="009D0714">
            <w:pPr>
              <w:spacing w:after="0"/>
              <w:rPr>
                <w:rFonts w:ascii="Times" w:eastAsia="Batang" w:hAnsi="Times"/>
                <w:sz w:val="20"/>
                <w:szCs w:val="24"/>
                <w:lang w:eastAsia="x-none"/>
              </w:rPr>
            </w:pPr>
            <w:r w:rsidRPr="00105476">
              <w:rPr>
                <w:rFonts w:ascii="Times" w:eastAsia="Batang" w:hAnsi="Times"/>
                <w:sz w:val="20"/>
                <w:szCs w:val="24"/>
                <w:highlight w:val="green"/>
                <w:lang w:eastAsia="x-none"/>
              </w:rPr>
              <w:t>Agreement:</w:t>
            </w:r>
          </w:p>
          <w:p w14:paraId="59A5633A" w14:textId="77777777" w:rsidR="00B15126" w:rsidRPr="00105476" w:rsidRDefault="00B15126" w:rsidP="00B1512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 xml:space="preserve">When UE indicates a </w:t>
            </w:r>
            <w:r w:rsidRPr="00105476">
              <w:rPr>
                <w:rFonts w:ascii="Times" w:eastAsia="Batang" w:hAnsi="Times"/>
                <w:sz w:val="20"/>
                <w:szCs w:val="24"/>
                <w:lang w:eastAsia="en-US"/>
              </w:rPr>
              <w:t xml:space="preserve">capability for beam correspondence with </w:t>
            </w:r>
            <w:proofErr w:type="spellStart"/>
            <w:r w:rsidRPr="00105476">
              <w:rPr>
                <w:rFonts w:ascii="Times" w:eastAsia="Batang" w:hAnsi="Times"/>
                <w:sz w:val="20"/>
                <w:szCs w:val="24"/>
                <w:lang w:eastAsia="en-US"/>
              </w:rPr>
              <w:t>beamCorrespondenceWithoutUL-BeamSweeping</w:t>
            </w:r>
            <w:proofErr w:type="spellEnd"/>
            <w:r w:rsidRPr="00105476">
              <w:rPr>
                <w:rFonts w:ascii="Times" w:eastAsia="Batang" w:hAnsi="Times"/>
                <w:sz w:val="20"/>
                <w:szCs w:val="24"/>
                <w:lang w:eastAsia="en-US"/>
              </w:rPr>
              <w:t xml:space="preserve"> ={1}</w:t>
            </w:r>
            <w:r w:rsidRPr="00105476">
              <w:rPr>
                <w:rFonts w:ascii="Times" w:eastAsia="Batang" w:hAnsi="Times"/>
                <w:color w:val="000000"/>
                <w:sz w:val="20"/>
                <w:szCs w:val="24"/>
                <w:lang w:eastAsia="en-US"/>
              </w:rPr>
              <w:t xml:space="preserve">, support the following </w:t>
            </w:r>
            <w:proofErr w:type="spellStart"/>
            <w:r w:rsidRPr="00105476">
              <w:rPr>
                <w:rFonts w:ascii="Times" w:eastAsia="Batang" w:hAnsi="Times"/>
                <w:color w:val="000000"/>
                <w:sz w:val="20"/>
                <w:szCs w:val="24"/>
                <w:lang w:eastAsia="en-US"/>
              </w:rPr>
              <w:t>behaviors</w:t>
            </w:r>
            <w:proofErr w:type="spellEnd"/>
          </w:p>
          <w:p w14:paraId="38DC8F9F" w14:textId="77777777" w:rsidR="00B15126" w:rsidRPr="00105476" w:rsidRDefault="00B15126" w:rsidP="00B15126">
            <w:pPr>
              <w:numPr>
                <w:ilvl w:val="0"/>
                <w:numId w:val="36"/>
              </w:numPr>
              <w:kinsoku w:val="0"/>
              <w:snapToGrid w:val="0"/>
              <w:spacing w:after="0" w:line="256" w:lineRule="auto"/>
              <w:ind w:left="1080"/>
              <w:rPr>
                <w:rFonts w:ascii="Times" w:eastAsia="Batang" w:hAnsi="Times"/>
                <w:color w:val="000000"/>
                <w:sz w:val="20"/>
                <w:szCs w:val="24"/>
                <w:lang w:eastAsia="x-none"/>
              </w:rPr>
            </w:pPr>
            <w:r w:rsidRPr="00105476">
              <w:rPr>
                <w:rFonts w:ascii="Times" w:eastAsia="Batang" w:hAnsi="Times"/>
                <w:color w:val="000000"/>
                <w:sz w:val="20"/>
                <w:szCs w:val="24"/>
                <w:lang w:eastAsia="x-none"/>
              </w:rPr>
              <w:t>If the UE is indicated to transmit with a beam corresponding to a certain SRI, the UE can use the same beam for sensing</w:t>
            </w:r>
          </w:p>
          <w:p w14:paraId="007EA1A7" w14:textId="77777777" w:rsidR="00B15126" w:rsidRPr="00105476" w:rsidRDefault="00B15126" w:rsidP="00B15126">
            <w:pPr>
              <w:numPr>
                <w:ilvl w:val="0"/>
                <w:numId w:val="36"/>
              </w:numPr>
              <w:kinsoku w:val="0"/>
              <w:snapToGrid w:val="0"/>
              <w:spacing w:after="0" w:line="256" w:lineRule="auto"/>
              <w:ind w:left="1080"/>
              <w:rPr>
                <w:rFonts w:ascii="Times" w:eastAsia="Batang" w:hAnsi="Times"/>
                <w:color w:val="000000"/>
                <w:sz w:val="20"/>
                <w:szCs w:val="24"/>
                <w:lang w:eastAsia="x-none"/>
              </w:rPr>
            </w:pPr>
            <w:r w:rsidRPr="00105476">
              <w:rPr>
                <w:rFonts w:ascii="Times" w:eastAsia="Batang" w:hAnsi="Times"/>
                <w:color w:val="000000"/>
                <w:sz w:val="20"/>
                <w:szCs w:val="24"/>
                <w:lang w:eastAsia="x-none"/>
              </w:rPr>
              <w:t>Assuming Rel.17 unified TCI framework, if the UE is indicated to transmit with a beam corresponding to a certain unified TCI, the UE can use the reception beam corresponding to the TCI for sensing</w:t>
            </w:r>
          </w:p>
          <w:p w14:paraId="150C43CF" w14:textId="77777777" w:rsidR="00B15126" w:rsidRPr="00105476" w:rsidRDefault="00B15126" w:rsidP="00B1512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FFS: The case when UE does not indicate a capability for beam correspondence</w:t>
            </w:r>
          </w:p>
          <w:p w14:paraId="12922243" w14:textId="77777777" w:rsidR="00B15126" w:rsidRPr="00105476" w:rsidRDefault="00B15126" w:rsidP="00B1512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Note: The UE should meet local regulatory requirements</w:t>
            </w:r>
          </w:p>
        </w:tc>
      </w:tr>
    </w:tbl>
    <w:p w14:paraId="291865BE" w14:textId="77777777" w:rsidR="00B15126" w:rsidRDefault="00B15126" w:rsidP="00B15126">
      <w:pPr>
        <w:jc w:val="both"/>
        <w:rPr>
          <w:sz w:val="21"/>
          <w:szCs w:val="16"/>
        </w:rPr>
      </w:pPr>
    </w:p>
    <w:p w14:paraId="2803E27C" w14:textId="166D5835" w:rsidR="00B15126" w:rsidRDefault="00B15126" w:rsidP="00B15126">
      <w:pPr>
        <w:jc w:val="both"/>
        <w:rPr>
          <w:sz w:val="21"/>
          <w:szCs w:val="16"/>
        </w:rPr>
      </w:pPr>
      <w:r>
        <w:rPr>
          <w:sz w:val="21"/>
          <w:szCs w:val="16"/>
        </w:rPr>
        <w:t>With above, the following are described in 38.214 and 37.213, respectively:</w:t>
      </w:r>
    </w:p>
    <w:tbl>
      <w:tblPr>
        <w:tblStyle w:val="afa"/>
        <w:tblW w:w="0" w:type="auto"/>
        <w:tblLook w:val="04A0" w:firstRow="1" w:lastRow="0" w:firstColumn="1" w:lastColumn="0" w:noHBand="0" w:noVBand="1"/>
      </w:tblPr>
      <w:tblGrid>
        <w:gridCol w:w="9962"/>
      </w:tblGrid>
      <w:tr w:rsidR="00B15126" w14:paraId="0E4EEC0C" w14:textId="77777777" w:rsidTr="009D0714">
        <w:tc>
          <w:tcPr>
            <w:tcW w:w="9962" w:type="dxa"/>
          </w:tcPr>
          <w:p w14:paraId="38147093" w14:textId="77777777" w:rsidR="00B15126" w:rsidRPr="00105476" w:rsidRDefault="00B15126" w:rsidP="009D0714">
            <w:pPr>
              <w:keepNext/>
              <w:keepLines/>
              <w:spacing w:before="120"/>
              <w:ind w:leftChars="27" w:left="1199" w:hanging="1134"/>
              <w:outlineLvl w:val="2"/>
              <w:rPr>
                <w:rFonts w:ascii="Arial" w:eastAsia="ＭＳ Ｐゴシック" w:hAnsi="Arial"/>
                <w:color w:val="000000"/>
                <w:sz w:val="28"/>
                <w:lang w:val="x-none" w:eastAsia="en-US"/>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06695601"/>
            <w:r w:rsidRPr="00105476">
              <w:rPr>
                <w:rFonts w:ascii="Arial" w:eastAsia="ＭＳ Ｐゴシック" w:hAnsi="Arial"/>
                <w:color w:val="000000"/>
                <w:sz w:val="28"/>
                <w:lang w:val="x-none" w:eastAsia="en-US"/>
              </w:rPr>
              <w:t>5.1.5</w:t>
            </w:r>
            <w:r w:rsidRPr="00105476">
              <w:rPr>
                <w:rFonts w:ascii="Arial" w:eastAsia="ＭＳ Ｐゴシック" w:hAnsi="Arial"/>
                <w:color w:val="000000"/>
                <w:sz w:val="28"/>
                <w:lang w:val="x-none" w:eastAsia="en-US"/>
              </w:rPr>
              <w:tab/>
              <w:t>Antenna ports quasi co-location</w:t>
            </w:r>
            <w:bookmarkEnd w:id="3"/>
            <w:bookmarkEnd w:id="4"/>
            <w:bookmarkEnd w:id="5"/>
            <w:bookmarkEnd w:id="6"/>
            <w:bookmarkEnd w:id="7"/>
            <w:bookmarkEnd w:id="8"/>
            <w:bookmarkEnd w:id="9"/>
            <w:bookmarkEnd w:id="10"/>
            <w:bookmarkEnd w:id="11"/>
          </w:p>
          <w:p w14:paraId="032F781B" w14:textId="77777777" w:rsidR="00B15126" w:rsidRPr="00105476" w:rsidRDefault="00B15126" w:rsidP="009D0714">
            <w:pPr>
              <w:rPr>
                <w:rFonts w:ascii="Times" w:eastAsia="ＭＳ 明朝" w:hAnsi="Times"/>
                <w:sz w:val="20"/>
                <w:lang w:val="x-none"/>
              </w:rPr>
            </w:pPr>
            <w:bookmarkStart w:id="12" w:name="_Hlk498589824"/>
            <w:bookmarkStart w:id="13" w:name="_Hlk513025570"/>
            <w:r>
              <w:rPr>
                <w:rFonts w:eastAsia="ＭＳ 明朝" w:hint="eastAsia"/>
                <w:sz w:val="20"/>
              </w:rPr>
              <w:t>[</w:t>
            </w:r>
            <w:r>
              <w:rPr>
                <w:rFonts w:eastAsia="ＭＳ 明朝"/>
                <w:sz w:val="20"/>
              </w:rPr>
              <w:t>…]</w:t>
            </w:r>
          </w:p>
          <w:p w14:paraId="4F1F648C" w14:textId="77777777" w:rsidR="00B15126" w:rsidRPr="00105476" w:rsidRDefault="00B15126" w:rsidP="009D0714">
            <w:pPr>
              <w:rPr>
                <w:rFonts w:eastAsia="SimSun"/>
                <w:sz w:val="20"/>
                <w:lang w:eastAsia="en-US"/>
              </w:rPr>
            </w:pPr>
            <w:bookmarkStart w:id="14" w:name="_Hlk89426999"/>
            <w:r w:rsidRPr="00105476">
              <w:rPr>
                <w:rFonts w:eastAsia="SimSun"/>
                <w:sz w:val="20"/>
                <w:lang w:eastAsia="en-US"/>
              </w:rPr>
              <w:t xml:space="preserve">A UE that has indicated a capability </w:t>
            </w:r>
            <w:proofErr w:type="spellStart"/>
            <w:r w:rsidRPr="00105476">
              <w:rPr>
                <w:rFonts w:eastAsia="SimSun"/>
                <w:i/>
                <w:iCs/>
                <w:sz w:val="20"/>
                <w:lang w:eastAsia="en-US"/>
              </w:rPr>
              <w:t>beamCorrespondenceWithoutUL-BeamSweeping</w:t>
            </w:r>
            <w:proofErr w:type="spellEnd"/>
            <w:r w:rsidRPr="00105476">
              <w:rPr>
                <w:rFonts w:eastAsia="SimSun"/>
                <w:sz w:val="20"/>
                <w:lang w:eastAsia="en-US"/>
              </w:rPr>
              <w:t xml:space="preserve"> set to '1', as described in [13, TS 38.306], can determine a spatial domain filter to be used while performing the </w:t>
            </w:r>
            <w:bookmarkStart w:id="15" w:name="_Hlk87011475"/>
            <w:r w:rsidRPr="00105476">
              <w:rPr>
                <w:rFonts w:eastAsia="SimSun"/>
                <w:sz w:val="20"/>
                <w:lang w:eastAsia="en-US"/>
              </w:rPr>
              <w:t>applicable channel access procedures described in [16, TS 37.213]</w:t>
            </w:r>
            <w:bookmarkEnd w:id="15"/>
            <w:r w:rsidRPr="00105476">
              <w:rPr>
                <w:rFonts w:eastAsia="SimSun"/>
                <w:sz w:val="20"/>
                <w:lang w:eastAsia="en-US"/>
              </w:rPr>
              <w:t xml:space="preserve"> prior to a UL transmission on the channel as follows:</w:t>
            </w:r>
          </w:p>
          <w:p w14:paraId="0261264F" w14:textId="77777777" w:rsidR="00B15126" w:rsidRPr="00105476" w:rsidRDefault="00B15126" w:rsidP="009D0714">
            <w:pPr>
              <w:ind w:left="568" w:hanging="284"/>
              <w:rPr>
                <w:rFonts w:ascii="Times" w:eastAsia="ＭＳ 明朝" w:hAnsi="Times"/>
                <w:sz w:val="20"/>
                <w:lang w:val="x-none" w:eastAsia="en-US"/>
              </w:rPr>
            </w:pPr>
            <w:r w:rsidRPr="00105476">
              <w:rPr>
                <w:rFonts w:ascii="Times" w:eastAsia="ＭＳ 明朝" w:hAnsi="Times"/>
                <w:sz w:val="20"/>
                <w:highlight w:val="yellow"/>
                <w:lang w:val="x-none" w:eastAsia="en-US"/>
              </w:rPr>
              <w:t>-</w:t>
            </w:r>
            <w:r w:rsidRPr="00105476">
              <w:rPr>
                <w:rFonts w:ascii="Times" w:eastAsia="ＭＳ 明朝" w:hAnsi="Times"/>
                <w:sz w:val="20"/>
                <w:highlight w:val="yellow"/>
                <w:lang w:val="x-none" w:eastAsia="en-US"/>
              </w:rPr>
              <w:tab/>
              <w:t>if UE is indicated with an SRI corresponding to the UL transmission, the UE may use a spatial domain filter that is same as the spatial domain transmission filter associated with the indicated SRI,</w:t>
            </w:r>
          </w:p>
          <w:p w14:paraId="640747D7" w14:textId="77777777" w:rsidR="00B15126" w:rsidRPr="00105476" w:rsidRDefault="00B15126" w:rsidP="009D0714">
            <w:pPr>
              <w:ind w:left="568" w:hanging="284"/>
              <w:rPr>
                <w:rFonts w:ascii="Times" w:eastAsia="ＭＳ 明朝" w:hAnsi="Times"/>
                <w:sz w:val="20"/>
                <w:lang w:val="x-none" w:eastAsia="en-US"/>
              </w:rPr>
            </w:pPr>
            <w:r w:rsidRPr="00105476">
              <w:rPr>
                <w:rFonts w:ascii="Times" w:eastAsia="ＭＳ 明朝" w:hAnsi="Times"/>
                <w:sz w:val="20"/>
                <w:highlight w:val="cyan"/>
                <w:lang w:val="x-none" w:eastAsia="en-US"/>
              </w:rPr>
              <w:t>-</w:t>
            </w:r>
            <w:r w:rsidRPr="00105476">
              <w:rPr>
                <w:rFonts w:ascii="Times" w:eastAsia="ＭＳ 明朝" w:hAnsi="Times"/>
                <w:sz w:val="20"/>
                <w:highlight w:val="cyan"/>
                <w:lang w:val="x-none" w:eastAsia="en-US"/>
              </w:rPr>
              <w:tab/>
              <w:t xml:space="preserve">if UE is configured with </w:t>
            </w:r>
            <w:r w:rsidRPr="00105476">
              <w:rPr>
                <w:rFonts w:ascii="Times" w:eastAsia="ＭＳ 明朝" w:hAnsi="Times"/>
                <w:i/>
                <w:iCs/>
                <w:sz w:val="20"/>
                <w:highlight w:val="cyan"/>
                <w:lang w:val="x-none" w:eastAsia="en-US"/>
              </w:rPr>
              <w:t>TCI-State</w:t>
            </w:r>
            <w:r w:rsidRPr="00105476">
              <w:rPr>
                <w:rFonts w:ascii="Times" w:eastAsia="ＭＳ 明朝" w:hAnsi="Times"/>
                <w:sz w:val="20"/>
                <w:highlight w:val="cyan"/>
                <w:lang w:val="x-none" w:eastAsia="en-US"/>
              </w:rPr>
              <w:t xml:space="preserve"> configurations with </w:t>
            </w:r>
            <w:proofErr w:type="spellStart"/>
            <w:r w:rsidRPr="00105476">
              <w:rPr>
                <w:rFonts w:ascii="Times" w:eastAsia="ＭＳ 明朝" w:hAnsi="Times"/>
                <w:i/>
                <w:iCs/>
                <w:color w:val="000000"/>
                <w:sz w:val="20"/>
                <w:highlight w:val="cyan"/>
                <w:lang w:val="x-none" w:eastAsia="en-US"/>
              </w:rPr>
              <w:t>DLorJointTCIState</w:t>
            </w:r>
            <w:proofErr w:type="spellEnd"/>
            <w:r w:rsidRPr="00105476">
              <w:rPr>
                <w:rFonts w:ascii="Times" w:eastAsia="ＭＳ 明朝" w:hAnsi="Times"/>
                <w:i/>
                <w:iCs/>
                <w:color w:val="000000"/>
                <w:sz w:val="20"/>
                <w:highlight w:val="cyan"/>
                <w:lang w:val="x-none" w:eastAsia="en-US"/>
              </w:rPr>
              <w:t xml:space="preserve"> </w:t>
            </w:r>
            <w:r w:rsidRPr="00105476">
              <w:rPr>
                <w:rFonts w:ascii="Times" w:eastAsia="ＭＳ 明朝" w:hAnsi="Times"/>
                <w:color w:val="000000"/>
                <w:sz w:val="20"/>
                <w:highlight w:val="cyan"/>
                <w:lang w:val="x-none" w:eastAsia="en-US"/>
              </w:rPr>
              <w:t>or</w:t>
            </w:r>
            <w:r w:rsidRPr="00105476">
              <w:rPr>
                <w:rFonts w:ascii="Times" w:eastAsia="ＭＳ 明朝" w:hAnsi="Times"/>
                <w:i/>
                <w:iCs/>
                <w:color w:val="000000"/>
                <w:sz w:val="20"/>
                <w:highlight w:val="cyan"/>
                <w:lang w:val="x-none" w:eastAsia="en-US"/>
              </w:rPr>
              <w:t xml:space="preserve"> UL-</w:t>
            </w:r>
            <w:proofErr w:type="spellStart"/>
            <w:r w:rsidRPr="00105476">
              <w:rPr>
                <w:rFonts w:ascii="Times" w:eastAsia="ＭＳ 明朝" w:hAnsi="Times"/>
                <w:i/>
                <w:iCs/>
                <w:color w:val="000000"/>
                <w:sz w:val="20"/>
                <w:highlight w:val="cyan"/>
                <w:lang w:val="x-none" w:eastAsia="en-US"/>
              </w:rPr>
              <w:t>TCIState</w:t>
            </w:r>
            <w:proofErr w:type="spellEnd"/>
            <w:r w:rsidRPr="00105476">
              <w:rPr>
                <w:rFonts w:ascii="Times" w:eastAsia="ＭＳ 明朝" w:hAnsi="Times"/>
                <w:sz w:val="20"/>
                <w:highlight w:val="cyan"/>
                <w:lang w:val="x-none" w:eastAsia="en-US"/>
              </w:rPr>
              <w:t>, the UE may use a spatial domain transmit filter that is same as the spatial domain receive filter the UE may use to receive the DL reference signal associated with the indicated TCI state.</w:t>
            </w:r>
          </w:p>
          <w:bookmarkEnd w:id="12"/>
          <w:bookmarkEnd w:id="13"/>
          <w:bookmarkEnd w:id="14"/>
          <w:p w14:paraId="065BE438" w14:textId="77777777" w:rsidR="00B15126" w:rsidRPr="00105476" w:rsidRDefault="00B15126" w:rsidP="009D0714">
            <w:pPr>
              <w:rPr>
                <w:sz w:val="21"/>
                <w:szCs w:val="16"/>
              </w:rPr>
            </w:pPr>
            <w:r>
              <w:rPr>
                <w:rFonts w:hint="eastAsia"/>
                <w:sz w:val="21"/>
                <w:szCs w:val="16"/>
              </w:rPr>
              <w:t>[</w:t>
            </w:r>
            <w:r>
              <w:rPr>
                <w:sz w:val="21"/>
                <w:szCs w:val="16"/>
              </w:rPr>
              <w:t>…]</w:t>
            </w:r>
          </w:p>
        </w:tc>
      </w:tr>
    </w:tbl>
    <w:p w14:paraId="04C24894" w14:textId="77777777" w:rsidR="00B15126" w:rsidRDefault="00B15126" w:rsidP="00B15126">
      <w:pPr>
        <w:jc w:val="both"/>
        <w:rPr>
          <w:sz w:val="21"/>
          <w:szCs w:val="16"/>
        </w:rPr>
      </w:pPr>
    </w:p>
    <w:tbl>
      <w:tblPr>
        <w:tblStyle w:val="afa"/>
        <w:tblW w:w="0" w:type="auto"/>
        <w:tblLook w:val="04A0" w:firstRow="1" w:lastRow="0" w:firstColumn="1" w:lastColumn="0" w:noHBand="0" w:noVBand="1"/>
      </w:tblPr>
      <w:tblGrid>
        <w:gridCol w:w="9962"/>
      </w:tblGrid>
      <w:tr w:rsidR="00B15126" w14:paraId="7E7AF037" w14:textId="77777777" w:rsidTr="009D0714">
        <w:tc>
          <w:tcPr>
            <w:tcW w:w="9962" w:type="dxa"/>
          </w:tcPr>
          <w:p w14:paraId="2C66FC6E" w14:textId="77777777" w:rsidR="00B15126" w:rsidRPr="00105476" w:rsidRDefault="00B15126" w:rsidP="009D0714">
            <w:pPr>
              <w:keepNext/>
              <w:keepLines/>
              <w:spacing w:before="180"/>
              <w:ind w:left="1134" w:hanging="1134"/>
              <w:outlineLvl w:val="1"/>
              <w:rPr>
                <w:rFonts w:ascii="Arial" w:eastAsia="ＭＳ Ｐゴシック" w:hAnsi="Arial"/>
                <w:sz w:val="32"/>
                <w:lang w:eastAsia="en-US"/>
              </w:rPr>
            </w:pPr>
            <w:bookmarkStart w:id="16" w:name="_Toc106011668"/>
            <w:r w:rsidRPr="00105476">
              <w:rPr>
                <w:rFonts w:ascii="Arial" w:eastAsia="ＭＳ Ｐゴシック" w:hAnsi="Arial"/>
                <w:sz w:val="32"/>
                <w:lang w:eastAsia="en-US"/>
              </w:rPr>
              <w:lastRenderedPageBreak/>
              <w:t>4.4</w:t>
            </w:r>
            <w:r w:rsidRPr="00105476">
              <w:rPr>
                <w:rFonts w:ascii="Arial" w:eastAsia="ＭＳ Ｐゴシック" w:hAnsi="Arial"/>
                <w:sz w:val="32"/>
                <w:lang w:eastAsia="en-US"/>
              </w:rPr>
              <w:tab/>
              <w:t>Channel access procedures for frequency range 2-2</w:t>
            </w:r>
            <w:bookmarkEnd w:id="16"/>
          </w:p>
          <w:p w14:paraId="05EED750" w14:textId="77777777" w:rsidR="00B15126" w:rsidRDefault="00B15126" w:rsidP="009D0714">
            <w:pPr>
              <w:rPr>
                <w:sz w:val="21"/>
                <w:szCs w:val="16"/>
              </w:rPr>
            </w:pPr>
            <w:r>
              <w:rPr>
                <w:rFonts w:hint="eastAsia"/>
                <w:sz w:val="21"/>
                <w:szCs w:val="16"/>
              </w:rPr>
              <w:t>[</w:t>
            </w:r>
            <w:r>
              <w:rPr>
                <w:sz w:val="21"/>
                <w:szCs w:val="16"/>
              </w:rPr>
              <w:t>…]</w:t>
            </w:r>
          </w:p>
          <w:p w14:paraId="36C6D940" w14:textId="77777777" w:rsidR="00B15126" w:rsidRPr="00105476" w:rsidRDefault="00B15126" w:rsidP="009D0714">
            <w:pPr>
              <w:rPr>
                <w:rFonts w:eastAsia="游明朝"/>
                <w:sz w:val="20"/>
                <w:lang w:eastAsia="en-US"/>
              </w:rPr>
            </w:pPr>
            <w:r w:rsidRPr="00105476">
              <w:rPr>
                <w:rFonts w:eastAsia="游明朝"/>
                <w:sz w:val="20"/>
                <w:lang w:eastAsia="en-US"/>
              </w:rPr>
              <w:t>If a UE indicates a capability for beam correspondence without the uplink beam sweeping and if the UE selects the same sensing beam(s) as the transmission beam(s), the spatial domain filter for sensing beam is determined as described in Clause 5.1.5 of [8].</w:t>
            </w:r>
          </w:p>
          <w:p w14:paraId="05894724" w14:textId="77777777" w:rsidR="00B15126" w:rsidRPr="00105476" w:rsidRDefault="00B15126" w:rsidP="009D0714">
            <w:pPr>
              <w:rPr>
                <w:sz w:val="21"/>
                <w:szCs w:val="16"/>
              </w:rPr>
            </w:pPr>
            <w:r>
              <w:rPr>
                <w:rFonts w:hint="eastAsia"/>
                <w:sz w:val="21"/>
                <w:szCs w:val="16"/>
              </w:rPr>
              <w:t>[</w:t>
            </w:r>
            <w:r>
              <w:rPr>
                <w:sz w:val="21"/>
                <w:szCs w:val="16"/>
              </w:rPr>
              <w:t>…]</w:t>
            </w:r>
          </w:p>
        </w:tc>
      </w:tr>
    </w:tbl>
    <w:p w14:paraId="4D5E5A67" w14:textId="77777777" w:rsidR="00B15126" w:rsidRDefault="00B15126" w:rsidP="00B15126">
      <w:pPr>
        <w:jc w:val="both"/>
        <w:rPr>
          <w:sz w:val="21"/>
          <w:szCs w:val="16"/>
        </w:rPr>
      </w:pPr>
    </w:p>
    <w:p w14:paraId="37BEF4F7" w14:textId="77777777" w:rsidR="00B15126" w:rsidRDefault="00B15126" w:rsidP="00B15126">
      <w:pPr>
        <w:jc w:val="both"/>
        <w:rPr>
          <w:sz w:val="21"/>
          <w:szCs w:val="16"/>
        </w:rPr>
      </w:pPr>
      <w:r>
        <w:rPr>
          <w:sz w:val="21"/>
          <w:szCs w:val="16"/>
        </w:rPr>
        <w:t xml:space="preserve">We believe that when RAN1 agreed the agreement above, companies did not consider limiting type(s) of UL transmission to which the agreed </w:t>
      </w:r>
      <w:proofErr w:type="spellStart"/>
      <w:r>
        <w:rPr>
          <w:sz w:val="21"/>
          <w:szCs w:val="16"/>
        </w:rPr>
        <w:t>behavior</w:t>
      </w:r>
      <w:proofErr w:type="spellEnd"/>
      <w:r>
        <w:rPr>
          <w:sz w:val="21"/>
          <w:szCs w:val="16"/>
        </w:rPr>
        <w:t xml:space="preserve"> is applied. In other words, it was intended to apply the agreement to all possible UL transmissions, not only PUSCH, but also PUCCH or SRS. However, extracting the specifications above, the </w:t>
      </w:r>
      <w:proofErr w:type="spellStart"/>
      <w:r>
        <w:rPr>
          <w:sz w:val="21"/>
          <w:szCs w:val="16"/>
        </w:rPr>
        <w:t>behavior</w:t>
      </w:r>
      <w:proofErr w:type="spellEnd"/>
      <w:r>
        <w:rPr>
          <w:sz w:val="21"/>
          <w:szCs w:val="16"/>
        </w:rPr>
        <w:t xml:space="preserve"> seems to be applied to PUSCH only when configuring Rel-15/16 spatial relation framework since the yellow-highlighted part describes SRI only. Note that the cyan-highlighted part when configuring Rel-17 unified TCI framework can be applied to PUCCH and SRS as well as PUSCH in our understanding. To fix this issue, we propose a CR in R1-22</w:t>
      </w:r>
      <w:r w:rsidRPr="00D142E5">
        <w:rPr>
          <w:sz w:val="21"/>
          <w:szCs w:val="16"/>
        </w:rPr>
        <w:t>07381</w:t>
      </w:r>
      <w:r>
        <w:rPr>
          <w:sz w:val="21"/>
          <w:szCs w:val="16"/>
        </w:rPr>
        <w:t xml:space="preserve"> [5].</w:t>
      </w:r>
    </w:p>
    <w:p w14:paraId="33C86F83" w14:textId="77777777" w:rsidR="00B15126" w:rsidRDefault="00B15126" w:rsidP="00B15126">
      <w:pPr>
        <w:jc w:val="both"/>
        <w:rPr>
          <w:b/>
          <w:bCs/>
          <w:sz w:val="21"/>
          <w:szCs w:val="16"/>
        </w:rPr>
      </w:pPr>
    </w:p>
    <w:p w14:paraId="2B6ACEE1" w14:textId="7716E1AB" w:rsidR="00B15126" w:rsidRPr="004C69C4" w:rsidRDefault="00B15126" w:rsidP="00B15126">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1</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9868 [2]</w:t>
      </w:r>
    </w:p>
    <w:p w14:paraId="015AD903" w14:textId="3BD0A894" w:rsidR="00B15126" w:rsidRDefault="00B15126" w:rsidP="00B15126"/>
    <w:p w14:paraId="52166226" w14:textId="214EF737" w:rsidR="00B15126" w:rsidRPr="00B15126" w:rsidRDefault="00B15126" w:rsidP="00B15126">
      <w:pPr>
        <w:pStyle w:val="2"/>
        <w:numPr>
          <w:ilvl w:val="1"/>
          <w:numId w:val="6"/>
        </w:numPr>
        <w:rPr>
          <w:b/>
          <w:bCs/>
        </w:rPr>
      </w:pPr>
      <w:r w:rsidRPr="00B15126">
        <w:rPr>
          <w:b/>
          <w:bCs/>
        </w:rPr>
        <w:t>SRS for DL CSI acquisition</w:t>
      </w:r>
    </w:p>
    <w:p w14:paraId="35B04966" w14:textId="02E57B8B" w:rsidR="00B15126" w:rsidRDefault="00B15126" w:rsidP="00B15126">
      <w:pPr>
        <w:rPr>
          <w:sz w:val="21"/>
          <w:szCs w:val="16"/>
        </w:rPr>
      </w:pPr>
      <w:r w:rsidRPr="00B15126">
        <w:rPr>
          <w:rFonts w:hint="eastAsia"/>
          <w:sz w:val="21"/>
          <w:szCs w:val="16"/>
        </w:rPr>
        <w:t>R</w:t>
      </w:r>
      <w:r w:rsidRPr="00B15126">
        <w:rPr>
          <w:sz w:val="21"/>
          <w:szCs w:val="16"/>
        </w:rPr>
        <w:t xml:space="preserve">AN1 </w:t>
      </w:r>
      <w:r>
        <w:rPr>
          <w:sz w:val="21"/>
          <w:szCs w:val="16"/>
        </w:rPr>
        <w:t>has received an LS [3] from RAN4 this e-meeting regarding the minimum guard period between two SRS resources for antenna switching. The following is described:</w:t>
      </w:r>
    </w:p>
    <w:tbl>
      <w:tblPr>
        <w:tblStyle w:val="afa"/>
        <w:tblW w:w="0" w:type="auto"/>
        <w:tblLook w:val="04A0" w:firstRow="1" w:lastRow="0" w:firstColumn="1" w:lastColumn="0" w:noHBand="0" w:noVBand="1"/>
      </w:tblPr>
      <w:tblGrid>
        <w:gridCol w:w="9962"/>
      </w:tblGrid>
      <w:tr w:rsidR="00B15126" w14:paraId="019A1C07" w14:textId="77777777" w:rsidTr="00B15126">
        <w:tc>
          <w:tcPr>
            <w:tcW w:w="9962" w:type="dxa"/>
          </w:tcPr>
          <w:p w14:paraId="133B0CB5" w14:textId="77777777" w:rsidR="00B15126" w:rsidRDefault="00B15126" w:rsidP="00B15126">
            <w:pPr>
              <w:rPr>
                <w:rFonts w:eastAsiaTheme="minorEastAsia" w:cs="Arial"/>
                <w:sz w:val="21"/>
                <w:lang w:val="en-US"/>
              </w:rPr>
            </w:pPr>
            <w:r>
              <w:rPr>
                <w:rFonts w:cs="Arial"/>
                <w:b/>
              </w:rPr>
              <w:t>Question to RAN4:</w:t>
            </w:r>
            <w:r>
              <w:rPr>
                <w:rFonts w:cs="Arial"/>
              </w:rPr>
              <w:t xml:space="preserve"> How many symbol(s) is/are needed to accommodate the required minimum guard time for SRS antenna switching for 480 and 960 kHz respectively, in FR2-2? </w:t>
            </w:r>
          </w:p>
          <w:p w14:paraId="04F68D5F" w14:textId="16A82376" w:rsidR="00B15126" w:rsidRPr="00B15126" w:rsidRDefault="00B15126" w:rsidP="00B15126">
            <w:pPr>
              <w:rPr>
                <w:rFonts w:cs="Arial"/>
              </w:rPr>
            </w:pPr>
            <w:r>
              <w:rPr>
                <w:rFonts w:cs="Arial"/>
                <w:b/>
              </w:rPr>
              <w:t>Answer from RAN4:</w:t>
            </w:r>
            <w:r>
              <w:rPr>
                <w:rFonts w:cs="Arial"/>
              </w:rPr>
              <w:t xml:space="preserve"> RAN4 has considered the absolute switching time evaluated for FR2-1 in R15, i.e. the antenna switching time is 15 </w:t>
            </w:r>
            <w:proofErr w:type="spellStart"/>
            <w:r>
              <w:rPr>
                <w:rFonts w:cs="Arial"/>
              </w:rPr>
              <w:t>usec</w:t>
            </w:r>
            <w:proofErr w:type="spellEnd"/>
            <w:r>
              <w:rPr>
                <w:rFonts w:cs="Arial"/>
              </w:rPr>
              <w:t xml:space="preserve"> with a view to reusing this value for FR2-2. The detailed evaluation results for the switching scenarios considered are included in the R15 reply LS R4-1710048 [1]. RAN4 will further consider this result and its feasibility for SRS transmission used for antenna switching and whether the switching time assumed could be improved for 480 and 960 kHz operation.</w:t>
            </w:r>
          </w:p>
        </w:tc>
      </w:tr>
    </w:tbl>
    <w:p w14:paraId="4591DB2D" w14:textId="5634FC65" w:rsidR="00B15126" w:rsidRDefault="00B15126" w:rsidP="00B15126">
      <w:pPr>
        <w:rPr>
          <w:sz w:val="21"/>
          <w:szCs w:val="16"/>
        </w:rPr>
      </w:pPr>
    </w:p>
    <w:p w14:paraId="49C381A4" w14:textId="6F68232D" w:rsidR="00B15126" w:rsidRDefault="00B15126" w:rsidP="00B15126">
      <w:pPr>
        <w:rPr>
          <w:sz w:val="21"/>
          <w:szCs w:val="16"/>
        </w:rPr>
      </w:pPr>
      <w:r>
        <w:rPr>
          <w:sz w:val="21"/>
          <w:szCs w:val="16"/>
        </w:rPr>
        <w:t xml:space="preserve">As described, the antenna switching time is 15 </w:t>
      </w:r>
      <w:proofErr w:type="spellStart"/>
      <w:r>
        <w:rPr>
          <w:sz w:val="21"/>
          <w:szCs w:val="16"/>
        </w:rPr>
        <w:t>usec</w:t>
      </w:r>
      <w:proofErr w:type="spellEnd"/>
      <w:r>
        <w:rPr>
          <w:sz w:val="21"/>
          <w:szCs w:val="16"/>
        </w:rPr>
        <w:t xml:space="preserve">, i.e., the same absolute time duration as for FR2-1. Given that, the value of Y specified in 38.214 can be 7 and 14 for 480 and 960 kHz SCS, respectively. </w:t>
      </w:r>
    </w:p>
    <w:p w14:paraId="112A1D29" w14:textId="4E08AFCD" w:rsidR="00B15126" w:rsidRDefault="00B15126" w:rsidP="00B15126">
      <w:pPr>
        <w:rPr>
          <w:sz w:val="21"/>
          <w:szCs w:val="16"/>
        </w:rPr>
      </w:pPr>
    </w:p>
    <w:p w14:paraId="2E8C5788" w14:textId="0F06ECA3" w:rsidR="00B15126" w:rsidRPr="004C69C4" w:rsidRDefault="00B15126" w:rsidP="00B15126">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2</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9869 [4]</w:t>
      </w:r>
    </w:p>
    <w:p w14:paraId="3E4D1786" w14:textId="77777777" w:rsidR="00B15126" w:rsidRPr="00B15126" w:rsidRDefault="00B15126" w:rsidP="00B15126">
      <w:pPr>
        <w:rPr>
          <w:sz w:val="21"/>
          <w:szCs w:val="16"/>
        </w:rPr>
      </w:pPr>
    </w:p>
    <w:p w14:paraId="3611BAE1" w14:textId="77777777" w:rsidR="00B15126" w:rsidRPr="00B15126" w:rsidRDefault="00B15126" w:rsidP="00B15126"/>
    <w:p w14:paraId="3E100CB0" w14:textId="77777777" w:rsidR="00B15126" w:rsidRPr="00B15126" w:rsidRDefault="00B15126" w:rsidP="00B15126">
      <w:pPr>
        <w:pStyle w:val="afc"/>
        <w:keepNext/>
        <w:numPr>
          <w:ilvl w:val="0"/>
          <w:numId w:val="38"/>
        </w:numPr>
        <w:spacing w:line="480" w:lineRule="auto"/>
        <w:ind w:leftChars="0"/>
        <w:outlineLvl w:val="1"/>
        <w:rPr>
          <w:rFonts w:ascii="Arial" w:hAnsi="Arial"/>
          <w:b/>
          <w:bCs/>
          <w:vanish/>
        </w:rPr>
      </w:pPr>
    </w:p>
    <w:p w14:paraId="514D50DD" w14:textId="77777777" w:rsidR="00B15126" w:rsidRPr="00B15126" w:rsidRDefault="00B15126" w:rsidP="00B15126">
      <w:pPr>
        <w:pStyle w:val="afc"/>
        <w:keepNext/>
        <w:numPr>
          <w:ilvl w:val="0"/>
          <w:numId w:val="38"/>
        </w:numPr>
        <w:spacing w:line="480" w:lineRule="auto"/>
        <w:ind w:leftChars="0"/>
        <w:outlineLvl w:val="1"/>
        <w:rPr>
          <w:rFonts w:ascii="Arial" w:hAnsi="Arial"/>
          <w:b/>
          <w:bCs/>
          <w:vanish/>
        </w:rPr>
      </w:pPr>
    </w:p>
    <w:p w14:paraId="669ACDD5" w14:textId="77777777" w:rsidR="00B15126" w:rsidRPr="00B15126" w:rsidRDefault="00B15126" w:rsidP="00B15126">
      <w:pPr>
        <w:pStyle w:val="afc"/>
        <w:keepNext/>
        <w:numPr>
          <w:ilvl w:val="1"/>
          <w:numId w:val="38"/>
        </w:numPr>
        <w:spacing w:line="480" w:lineRule="auto"/>
        <w:ind w:leftChars="0"/>
        <w:outlineLvl w:val="1"/>
        <w:rPr>
          <w:rFonts w:ascii="Arial" w:hAnsi="Arial"/>
          <w:b/>
          <w:bCs/>
          <w:vanish/>
        </w:rPr>
      </w:pPr>
    </w:p>
    <w:p w14:paraId="6BEDB6D7" w14:textId="77777777" w:rsidR="00B15126" w:rsidRPr="00B15126" w:rsidRDefault="00B15126" w:rsidP="00B15126">
      <w:pPr>
        <w:pStyle w:val="afc"/>
        <w:keepNext/>
        <w:numPr>
          <w:ilvl w:val="1"/>
          <w:numId w:val="38"/>
        </w:numPr>
        <w:spacing w:line="480" w:lineRule="auto"/>
        <w:ind w:leftChars="0"/>
        <w:outlineLvl w:val="1"/>
        <w:rPr>
          <w:rFonts w:ascii="Arial" w:hAnsi="Arial"/>
          <w:b/>
          <w:bCs/>
          <w:vanish/>
        </w:rPr>
      </w:pPr>
    </w:p>
    <w:p w14:paraId="707CA4B0" w14:textId="5BD74137" w:rsidR="00B15126" w:rsidRPr="00B15126" w:rsidRDefault="00B15126" w:rsidP="00B15126">
      <w:pPr>
        <w:pStyle w:val="2"/>
        <w:numPr>
          <w:ilvl w:val="1"/>
          <w:numId w:val="38"/>
        </w:numPr>
        <w:rPr>
          <w:b/>
          <w:bCs/>
        </w:rPr>
      </w:pPr>
      <w:r w:rsidRPr="00B15126">
        <w:rPr>
          <w:b/>
          <w:bCs/>
        </w:rPr>
        <w:t xml:space="preserve">DL PDSCH validity for multi-PDSCH scheduling via single DCI </w:t>
      </w:r>
      <w:proofErr w:type="spellStart"/>
      <w:r w:rsidRPr="00B15126">
        <w:rPr>
          <w:b/>
          <w:bCs/>
        </w:rPr>
        <w:t>mTRP</w:t>
      </w:r>
      <w:proofErr w:type="spellEnd"/>
    </w:p>
    <w:p w14:paraId="4E671827" w14:textId="4F36D814" w:rsidR="00EE076A" w:rsidRDefault="00105476" w:rsidP="002A094A">
      <w:pPr>
        <w:jc w:val="both"/>
        <w:rPr>
          <w:sz w:val="21"/>
          <w:szCs w:val="16"/>
        </w:rPr>
      </w:pPr>
      <w:r>
        <w:rPr>
          <w:rFonts w:hint="eastAsia"/>
          <w:sz w:val="21"/>
          <w:szCs w:val="16"/>
        </w:rPr>
        <w:t>R</w:t>
      </w:r>
      <w:r>
        <w:rPr>
          <w:sz w:val="21"/>
          <w:szCs w:val="16"/>
        </w:rPr>
        <w:t xml:space="preserve">AN1 agreed an agreement below at </w:t>
      </w:r>
      <w:r w:rsidR="002F793A">
        <w:rPr>
          <w:sz w:val="21"/>
          <w:szCs w:val="16"/>
        </w:rPr>
        <w:t xml:space="preserve">the </w:t>
      </w:r>
      <w:r>
        <w:rPr>
          <w:sz w:val="21"/>
          <w:szCs w:val="16"/>
        </w:rPr>
        <w:t>RAN1#10</w:t>
      </w:r>
      <w:r w:rsidR="005B25E0">
        <w:rPr>
          <w:sz w:val="21"/>
          <w:szCs w:val="16"/>
        </w:rPr>
        <w:t>8</w:t>
      </w:r>
      <w:r>
        <w:rPr>
          <w:sz w:val="21"/>
          <w:szCs w:val="16"/>
        </w:rPr>
        <w:t>-e</w:t>
      </w:r>
      <w:r w:rsidR="002F793A">
        <w:rPr>
          <w:sz w:val="21"/>
          <w:szCs w:val="16"/>
        </w:rPr>
        <w:t xml:space="preserve"> meeting</w:t>
      </w:r>
      <w:r>
        <w:rPr>
          <w:sz w:val="21"/>
          <w:szCs w:val="16"/>
        </w:rPr>
        <w:t>:</w:t>
      </w:r>
    </w:p>
    <w:tbl>
      <w:tblPr>
        <w:tblStyle w:val="afa"/>
        <w:tblW w:w="0" w:type="auto"/>
        <w:tblLook w:val="04A0" w:firstRow="1" w:lastRow="0" w:firstColumn="1" w:lastColumn="0" w:noHBand="0" w:noVBand="1"/>
      </w:tblPr>
      <w:tblGrid>
        <w:gridCol w:w="9962"/>
      </w:tblGrid>
      <w:tr w:rsidR="00105476" w14:paraId="1C2783D4" w14:textId="77777777" w:rsidTr="00105476">
        <w:tc>
          <w:tcPr>
            <w:tcW w:w="9962" w:type="dxa"/>
          </w:tcPr>
          <w:p w14:paraId="1069A103" w14:textId="77777777" w:rsidR="007E6D9E" w:rsidRPr="00033DE4" w:rsidRDefault="007E6D9E" w:rsidP="007E6D9E">
            <w:pPr>
              <w:wordWrap w:val="0"/>
              <w:rPr>
                <w:rFonts w:eastAsia="Malgun Gothic"/>
                <w:b/>
                <w:bCs/>
                <w:sz w:val="20"/>
                <w:lang w:eastAsia="x-none"/>
              </w:rPr>
            </w:pPr>
            <w:r w:rsidRPr="00033DE4">
              <w:rPr>
                <w:rFonts w:eastAsia="Malgun Gothic"/>
                <w:b/>
                <w:bCs/>
                <w:sz w:val="20"/>
                <w:highlight w:val="green"/>
                <w:lang w:eastAsia="x-none"/>
              </w:rPr>
              <w:t>Agreement</w:t>
            </w:r>
          </w:p>
          <w:p w14:paraId="3F52A776" w14:textId="77777777" w:rsidR="007E6D9E" w:rsidRPr="00033DE4" w:rsidRDefault="007E6D9E" w:rsidP="007E6D9E">
            <w:pPr>
              <w:wordWrap w:val="0"/>
              <w:rPr>
                <w:rFonts w:eastAsia="Malgun Gothic"/>
                <w:sz w:val="20"/>
                <w:lang w:eastAsia="en-US"/>
              </w:rPr>
            </w:pPr>
            <w:r w:rsidRPr="00033DE4">
              <w:rPr>
                <w:rFonts w:eastAsia="Malgun Gothic"/>
                <w:sz w:val="20"/>
                <w:lang w:eastAsia="zh-CN"/>
              </w:rPr>
              <w:t>For multi-PDSCH scheduling via a single DCI with '</w:t>
            </w:r>
            <w:proofErr w:type="spellStart"/>
            <w:r w:rsidRPr="00033DE4">
              <w:rPr>
                <w:rFonts w:eastAsia="Malgun Gothic"/>
                <w:sz w:val="20"/>
                <w:lang w:eastAsia="zh-CN"/>
              </w:rPr>
              <w:t>tdmSchemeA</w:t>
            </w:r>
            <w:proofErr w:type="spellEnd"/>
            <w:r w:rsidRPr="00033DE4">
              <w:rPr>
                <w:rFonts w:eastAsia="Malgun Gothic"/>
                <w:sz w:val="20"/>
                <w:lang w:eastAsia="zh-CN"/>
              </w:rPr>
              <w:t>' for single DCI based multi-TRP mechanism,</w:t>
            </w:r>
          </w:p>
          <w:p w14:paraId="60EF3C9F" w14:textId="77777777" w:rsidR="007E6D9E" w:rsidRPr="00293E78" w:rsidRDefault="007E6D9E" w:rsidP="007E6D9E">
            <w:pPr>
              <w:numPr>
                <w:ilvl w:val="0"/>
                <w:numId w:val="37"/>
              </w:numPr>
              <w:wordWrap w:val="0"/>
              <w:spacing w:line="252" w:lineRule="auto"/>
              <w:contextualSpacing/>
              <w:rPr>
                <w:rFonts w:eastAsia="Malgun Gothic"/>
                <w:sz w:val="20"/>
                <w:lang w:eastAsia="zh-CN"/>
              </w:rPr>
            </w:pPr>
            <w:r w:rsidRPr="00293E78">
              <w:rPr>
                <w:rFonts w:eastAsia="Malgun Gothic"/>
                <w:sz w:val="20"/>
                <w:lang w:eastAsia="ko-KR"/>
              </w:rPr>
              <w:lastRenderedPageBreak/>
              <w:t>If at least one of the repetitions of the PDSCH collides with semi-static UL symbols, the corresponding PDSCH (i.e., both repetitions) is considered as invalid.</w:t>
            </w:r>
            <w:r w:rsidRPr="00293E78">
              <w:rPr>
                <w:rFonts w:ascii="Malgun Gothic" w:eastAsia="Malgun Gothic" w:hAnsi="Malgun Gothic" w:hint="eastAsia"/>
                <w:sz w:val="20"/>
              </w:rPr>
              <w:t xml:space="preserve"> </w:t>
            </w:r>
          </w:p>
          <w:p w14:paraId="54F58909" w14:textId="77777777" w:rsidR="007E6D9E" w:rsidRPr="00293E78" w:rsidRDefault="007E6D9E" w:rsidP="007E6D9E">
            <w:pPr>
              <w:numPr>
                <w:ilvl w:val="1"/>
                <w:numId w:val="37"/>
              </w:numPr>
              <w:wordWrap w:val="0"/>
              <w:spacing w:line="252" w:lineRule="auto"/>
              <w:contextualSpacing/>
              <w:rPr>
                <w:rFonts w:eastAsia="Malgun Gothic"/>
                <w:sz w:val="20"/>
              </w:rPr>
            </w:pPr>
            <w:r w:rsidRPr="00293E78">
              <w:rPr>
                <w:rFonts w:eastAsia="Malgun Gothic"/>
                <w:sz w:val="20"/>
              </w:rPr>
              <w:t>Note: No specification impact on Type-1 HARQ-ACK codebook construction is expected, as a consequence of this agreement.</w:t>
            </w:r>
          </w:p>
          <w:p w14:paraId="6A215785" w14:textId="4DB07CAF" w:rsidR="00105476" w:rsidRPr="007E6D9E" w:rsidRDefault="007E6D9E" w:rsidP="007E6D9E">
            <w:pPr>
              <w:numPr>
                <w:ilvl w:val="1"/>
                <w:numId w:val="37"/>
              </w:numPr>
              <w:wordWrap w:val="0"/>
              <w:spacing w:line="252" w:lineRule="auto"/>
              <w:contextualSpacing/>
              <w:rPr>
                <w:rFonts w:eastAsia="Malgun Gothic"/>
              </w:rPr>
            </w:pPr>
            <w:r w:rsidRPr="00293E78">
              <w:rPr>
                <w:rFonts w:eastAsia="Malgun Gothic"/>
                <w:sz w:val="20"/>
              </w:rPr>
              <w:t>Note: This is not applied for the case when the multi-PDSCH DCI schedules only a single PDSCH.</w:t>
            </w:r>
          </w:p>
        </w:tc>
      </w:tr>
    </w:tbl>
    <w:p w14:paraId="184FBB13" w14:textId="2C591CAB" w:rsidR="00165CC8" w:rsidRDefault="00165CC8" w:rsidP="008F1955">
      <w:pPr>
        <w:jc w:val="both"/>
        <w:rPr>
          <w:i/>
          <w:iCs/>
          <w:sz w:val="21"/>
          <w:szCs w:val="16"/>
        </w:rPr>
      </w:pPr>
    </w:p>
    <w:p w14:paraId="356BDAEA" w14:textId="14ED6B42" w:rsidR="000D56A1" w:rsidRDefault="009A4C91" w:rsidP="008F1955">
      <w:pPr>
        <w:jc w:val="both"/>
        <w:rPr>
          <w:rFonts w:eastAsia="SimSun"/>
          <w:sz w:val="21"/>
          <w:szCs w:val="16"/>
          <w:lang w:eastAsia="zh-CN"/>
        </w:rPr>
      </w:pPr>
      <w:r>
        <w:rPr>
          <w:rFonts w:eastAsia="SimSun"/>
          <w:sz w:val="21"/>
          <w:szCs w:val="16"/>
          <w:lang w:eastAsia="zh-CN"/>
        </w:rPr>
        <w:t xml:space="preserve">When a PDSCH is determined as invalid based on above rule, </w:t>
      </w:r>
      <w:r w:rsidR="000D56A1">
        <w:rPr>
          <w:rFonts w:eastAsia="SimSun"/>
          <w:sz w:val="21"/>
          <w:szCs w:val="16"/>
          <w:lang w:eastAsia="zh-CN"/>
        </w:rPr>
        <w:t>HARQ process ID should not be incremented for the PDSCH. However, the current specification doesn’t capture</w:t>
      </w:r>
      <w:r w:rsidR="004A527D">
        <w:rPr>
          <w:rFonts w:eastAsia="SimSun"/>
          <w:sz w:val="21"/>
          <w:szCs w:val="16"/>
          <w:lang w:eastAsia="zh-CN"/>
        </w:rPr>
        <w:t xml:space="preserve"> the invalid PDSCH case for </w:t>
      </w:r>
      <w:r w:rsidR="004A527D" w:rsidRPr="004A527D">
        <w:rPr>
          <w:rFonts w:eastAsia="SimSun"/>
          <w:sz w:val="21"/>
          <w:szCs w:val="16"/>
          <w:lang w:eastAsia="zh-CN"/>
        </w:rPr>
        <w:t>multi-PDSCH scheduling via a single DCI with '</w:t>
      </w:r>
      <w:proofErr w:type="spellStart"/>
      <w:r w:rsidR="004A527D" w:rsidRPr="004A527D">
        <w:rPr>
          <w:rFonts w:eastAsia="SimSun"/>
          <w:sz w:val="21"/>
          <w:szCs w:val="16"/>
          <w:lang w:eastAsia="zh-CN"/>
        </w:rPr>
        <w:t>tdmSchemeA</w:t>
      </w:r>
      <w:proofErr w:type="spellEnd"/>
      <w:r w:rsidR="004A527D" w:rsidRPr="004A527D">
        <w:rPr>
          <w:rFonts w:eastAsia="SimSun"/>
          <w:sz w:val="21"/>
          <w:szCs w:val="16"/>
          <w:lang w:eastAsia="zh-CN"/>
        </w:rPr>
        <w:t>' for single DCI based multi-TRP mechanism</w:t>
      </w:r>
      <w:r w:rsidR="004A527D">
        <w:rPr>
          <w:rFonts w:eastAsia="SimSun"/>
          <w:sz w:val="21"/>
          <w:szCs w:val="16"/>
          <w:lang w:eastAsia="zh-CN"/>
        </w:rPr>
        <w:t>,</w:t>
      </w:r>
      <w:r w:rsidR="000D56A1">
        <w:rPr>
          <w:rFonts w:eastAsia="SimSun"/>
          <w:sz w:val="21"/>
          <w:szCs w:val="16"/>
          <w:lang w:eastAsia="zh-CN"/>
        </w:rPr>
        <w:t xml:space="preserve"> </w:t>
      </w:r>
      <w:r w:rsidR="00AE0E13">
        <w:rPr>
          <w:rFonts w:eastAsia="SimSun"/>
          <w:sz w:val="21"/>
          <w:szCs w:val="16"/>
          <w:lang w:eastAsia="zh-CN"/>
        </w:rPr>
        <w:t>in TS38.214</w:t>
      </w:r>
      <w:r w:rsidR="000D56A1">
        <w:rPr>
          <w:rFonts w:eastAsia="SimSun"/>
          <w:sz w:val="21"/>
          <w:szCs w:val="16"/>
          <w:lang w:eastAsia="zh-CN"/>
        </w:rPr>
        <w:t xml:space="preserve">. </w:t>
      </w:r>
      <w:r w:rsidR="00F25A31">
        <w:rPr>
          <w:rFonts w:eastAsia="SimSun"/>
          <w:sz w:val="21"/>
          <w:szCs w:val="16"/>
          <w:lang w:eastAsia="zh-CN"/>
        </w:rPr>
        <w:t>Therefore, specification change is needed to capture the agreement.</w:t>
      </w:r>
    </w:p>
    <w:p w14:paraId="3E17E345" w14:textId="451C4555" w:rsidR="002A094A" w:rsidRPr="00F52DFD" w:rsidRDefault="000D56A1" w:rsidP="00F52DFD">
      <w:pPr>
        <w:jc w:val="both"/>
        <w:rPr>
          <w:rFonts w:eastAsia="SimSun"/>
          <w:sz w:val="21"/>
          <w:szCs w:val="16"/>
          <w:lang w:eastAsia="zh-CN"/>
        </w:rPr>
      </w:pPr>
      <w:r>
        <w:rPr>
          <w:rFonts w:eastAsia="SimSun"/>
          <w:sz w:val="21"/>
          <w:szCs w:val="16"/>
          <w:lang w:eastAsia="zh-CN"/>
        </w:rPr>
        <w:t xml:space="preserve"> </w:t>
      </w:r>
    </w:p>
    <w:p w14:paraId="697F69A3" w14:textId="488B2E17" w:rsidR="00B15126" w:rsidRPr="004C69C4" w:rsidRDefault="00B15126" w:rsidP="00B15126">
      <w:pPr>
        <w:jc w:val="both"/>
        <w:rPr>
          <w:i/>
          <w:iCs/>
          <w:sz w:val="21"/>
          <w:szCs w:val="16"/>
        </w:rPr>
      </w:pPr>
      <w:bookmarkStart w:id="17" w:name="_Hlk115365815"/>
      <w:r w:rsidRPr="004C69C4">
        <w:rPr>
          <w:rFonts w:hint="eastAsia"/>
          <w:b/>
          <w:bCs/>
          <w:sz w:val="21"/>
          <w:szCs w:val="16"/>
        </w:rPr>
        <w:t>P</w:t>
      </w:r>
      <w:r w:rsidRPr="004C69C4">
        <w:rPr>
          <w:b/>
          <w:bCs/>
          <w:sz w:val="21"/>
          <w:szCs w:val="16"/>
        </w:rPr>
        <w:t xml:space="preserve">roposal </w:t>
      </w:r>
      <w:r w:rsidR="00E72F23">
        <w:rPr>
          <w:b/>
          <w:bCs/>
          <w:sz w:val="21"/>
          <w:szCs w:val="16"/>
        </w:rPr>
        <w:t>3</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9870 [5]</w:t>
      </w:r>
    </w:p>
    <w:p w14:paraId="64DA3440" w14:textId="77777777" w:rsidR="008957BC" w:rsidRPr="008957BC" w:rsidRDefault="008957BC" w:rsidP="002A094A">
      <w:pPr>
        <w:rPr>
          <w:rFonts w:eastAsia="SimSun"/>
          <w:sz w:val="22"/>
          <w:szCs w:val="22"/>
          <w:lang w:eastAsia="zh-CN"/>
        </w:rPr>
      </w:pPr>
    </w:p>
    <w:bookmarkEnd w:id="17"/>
    <w:p w14:paraId="7284CB99" w14:textId="77777777" w:rsidR="00B42438" w:rsidRPr="00B42438" w:rsidRDefault="00B42438" w:rsidP="00B42438">
      <w:pPr>
        <w:pStyle w:val="afc"/>
        <w:keepNext/>
        <w:numPr>
          <w:ilvl w:val="0"/>
          <w:numId w:val="40"/>
        </w:numPr>
        <w:spacing w:line="480" w:lineRule="auto"/>
        <w:ind w:leftChars="0"/>
        <w:outlineLvl w:val="1"/>
        <w:rPr>
          <w:rFonts w:ascii="Arial" w:hAnsi="Arial"/>
          <w:b/>
          <w:bCs/>
          <w:vanish/>
        </w:rPr>
      </w:pPr>
    </w:p>
    <w:p w14:paraId="33100938" w14:textId="77777777" w:rsidR="00B42438" w:rsidRPr="00B42438" w:rsidRDefault="00B42438" w:rsidP="00B42438">
      <w:pPr>
        <w:pStyle w:val="afc"/>
        <w:keepNext/>
        <w:numPr>
          <w:ilvl w:val="0"/>
          <w:numId w:val="40"/>
        </w:numPr>
        <w:spacing w:line="480" w:lineRule="auto"/>
        <w:ind w:leftChars="0"/>
        <w:outlineLvl w:val="1"/>
        <w:rPr>
          <w:rFonts w:ascii="Arial" w:hAnsi="Arial"/>
          <w:b/>
          <w:bCs/>
          <w:vanish/>
        </w:rPr>
      </w:pPr>
    </w:p>
    <w:p w14:paraId="3D1C00AE" w14:textId="77777777" w:rsidR="00B42438" w:rsidRPr="00B42438" w:rsidRDefault="00B42438" w:rsidP="00B42438">
      <w:pPr>
        <w:pStyle w:val="afc"/>
        <w:keepNext/>
        <w:numPr>
          <w:ilvl w:val="1"/>
          <w:numId w:val="40"/>
        </w:numPr>
        <w:spacing w:line="480" w:lineRule="auto"/>
        <w:ind w:leftChars="0"/>
        <w:outlineLvl w:val="1"/>
        <w:rPr>
          <w:rFonts w:ascii="Arial" w:hAnsi="Arial"/>
          <w:b/>
          <w:bCs/>
          <w:vanish/>
        </w:rPr>
      </w:pPr>
    </w:p>
    <w:p w14:paraId="64D02F3D" w14:textId="77777777" w:rsidR="00B42438" w:rsidRPr="00B42438" w:rsidRDefault="00B42438" w:rsidP="00B42438">
      <w:pPr>
        <w:pStyle w:val="afc"/>
        <w:keepNext/>
        <w:numPr>
          <w:ilvl w:val="1"/>
          <w:numId w:val="40"/>
        </w:numPr>
        <w:spacing w:line="480" w:lineRule="auto"/>
        <w:ind w:leftChars="0"/>
        <w:outlineLvl w:val="1"/>
        <w:rPr>
          <w:rFonts w:ascii="Arial" w:hAnsi="Arial"/>
          <w:b/>
          <w:bCs/>
          <w:vanish/>
        </w:rPr>
      </w:pPr>
    </w:p>
    <w:p w14:paraId="2591C8E0" w14:textId="77777777" w:rsidR="00B42438" w:rsidRPr="00B42438" w:rsidRDefault="00B42438" w:rsidP="00B42438">
      <w:pPr>
        <w:pStyle w:val="afc"/>
        <w:keepNext/>
        <w:numPr>
          <w:ilvl w:val="1"/>
          <w:numId w:val="40"/>
        </w:numPr>
        <w:spacing w:line="480" w:lineRule="auto"/>
        <w:ind w:leftChars="0"/>
        <w:outlineLvl w:val="1"/>
        <w:rPr>
          <w:rFonts w:ascii="Arial" w:hAnsi="Arial"/>
          <w:b/>
          <w:bCs/>
          <w:vanish/>
        </w:rPr>
      </w:pPr>
    </w:p>
    <w:p w14:paraId="442F6E31" w14:textId="77777777" w:rsidR="008C6360" w:rsidRPr="00B42438" w:rsidRDefault="008C6360" w:rsidP="008C6360">
      <w:pPr>
        <w:rPr>
          <w:rFonts w:hint="eastAsia"/>
        </w:rPr>
      </w:pPr>
    </w:p>
    <w:p w14:paraId="69C5B182" w14:textId="32119E8A" w:rsidR="00F52DFD" w:rsidRPr="00B42438" w:rsidRDefault="008A4A93" w:rsidP="00F52DFD">
      <w:pPr>
        <w:pStyle w:val="1"/>
        <w:numPr>
          <w:ilvl w:val="0"/>
          <w:numId w:val="40"/>
        </w:numPr>
        <w:spacing w:before="180" w:after="120"/>
        <w:rPr>
          <w:rFonts w:eastAsia="ＭＳ 明朝"/>
          <w:b/>
          <w:bCs/>
          <w:szCs w:val="24"/>
          <w:lang w:val="en-US"/>
        </w:rPr>
      </w:pPr>
      <w:r w:rsidRPr="00EE092A">
        <w:rPr>
          <w:rFonts w:eastAsia="ＭＳ 明朝" w:hint="eastAsia"/>
          <w:b/>
          <w:bCs/>
          <w:szCs w:val="24"/>
          <w:lang w:val="en-US"/>
        </w:rPr>
        <w:t>Conclusion</w:t>
      </w:r>
    </w:p>
    <w:p w14:paraId="231084B3" w14:textId="0E31B874" w:rsidR="00B42438" w:rsidRDefault="00B42438" w:rsidP="00B42438">
      <w:pPr>
        <w:jc w:val="both"/>
        <w:rPr>
          <w:sz w:val="21"/>
          <w:szCs w:val="16"/>
        </w:rPr>
      </w:pPr>
      <w:r w:rsidRPr="00B42438">
        <w:rPr>
          <w:sz w:val="21"/>
          <w:szCs w:val="16"/>
        </w:rPr>
        <w:t xml:space="preserve">We </w:t>
      </w:r>
      <w:r>
        <w:rPr>
          <w:sz w:val="21"/>
          <w:szCs w:val="16"/>
        </w:rPr>
        <w:t xml:space="preserve">propose the following in this contribution: </w:t>
      </w:r>
    </w:p>
    <w:p w14:paraId="5CB2FFAB" w14:textId="68FBE86D" w:rsidR="00B42438" w:rsidRPr="004C69C4" w:rsidRDefault="00B42438" w:rsidP="00B42438">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1</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9868 [2]</w:t>
      </w:r>
    </w:p>
    <w:p w14:paraId="0C4753EE" w14:textId="77777777" w:rsidR="00B42438" w:rsidRPr="004C69C4" w:rsidRDefault="00B42438" w:rsidP="00B42438">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2</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9869 [4]</w:t>
      </w:r>
    </w:p>
    <w:p w14:paraId="174D3941" w14:textId="77777777" w:rsidR="00B42438" w:rsidRPr="004C69C4" w:rsidRDefault="00B42438" w:rsidP="00B42438">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3</w:t>
      </w:r>
      <w:r w:rsidRPr="004C69C4">
        <w:rPr>
          <w:b/>
          <w:bCs/>
          <w:sz w:val="21"/>
          <w:szCs w:val="16"/>
        </w:rPr>
        <w:t>:</w:t>
      </w:r>
      <w:r>
        <w:rPr>
          <w:sz w:val="21"/>
          <w:szCs w:val="16"/>
        </w:rPr>
        <w:t xml:space="preserve"> </w:t>
      </w:r>
      <w:r>
        <w:rPr>
          <w:i/>
          <w:iCs/>
          <w:sz w:val="21"/>
          <w:szCs w:val="16"/>
        </w:rPr>
        <w:t xml:space="preserve">Adopt the CR proposed in </w:t>
      </w:r>
      <w:r w:rsidRPr="00D142E5">
        <w:rPr>
          <w:i/>
          <w:iCs/>
          <w:sz w:val="21"/>
          <w:szCs w:val="16"/>
        </w:rPr>
        <w:t>R1-220</w:t>
      </w:r>
      <w:r>
        <w:rPr>
          <w:i/>
          <w:iCs/>
          <w:sz w:val="21"/>
          <w:szCs w:val="16"/>
        </w:rPr>
        <w:t>9870 [5]</w:t>
      </w:r>
    </w:p>
    <w:p w14:paraId="35D51FB1" w14:textId="77777777" w:rsidR="00E22550" w:rsidRPr="00E22550" w:rsidRDefault="00E22550"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545646BC" w:rsidR="00B01435" w:rsidRPr="00105476" w:rsidRDefault="007A1C28" w:rsidP="00B01435">
      <w:pPr>
        <w:pStyle w:val="afc"/>
        <w:numPr>
          <w:ilvl w:val="0"/>
          <w:numId w:val="4"/>
        </w:numPr>
        <w:spacing w:afterLines="50" w:after="120"/>
        <w:ind w:leftChars="0"/>
        <w:jc w:val="both"/>
        <w:rPr>
          <w:rFonts w:eastAsia="ＭＳ 明朝"/>
          <w:sz w:val="22"/>
        </w:rPr>
      </w:pPr>
      <w:bookmarkStart w:id="18" w:name="_Hlk92459737"/>
      <w:r w:rsidRPr="007A1C28">
        <w:rPr>
          <w:rFonts w:eastAsia="ＭＳ 明朝"/>
          <w:sz w:val="22"/>
          <w:lang w:val="en-US"/>
        </w:rPr>
        <w:t>RP-2</w:t>
      </w:r>
      <w:r w:rsidR="00EE076A">
        <w:rPr>
          <w:rFonts w:eastAsia="ＭＳ 明朝"/>
          <w:sz w:val="22"/>
          <w:lang w:val="en-US"/>
        </w:rPr>
        <w:t>21749</w:t>
      </w:r>
      <w:r w:rsidRPr="007A1C28">
        <w:rPr>
          <w:rFonts w:eastAsia="ＭＳ 明朝"/>
          <w:sz w:val="22"/>
          <w:lang w:val="en-US"/>
        </w:rPr>
        <w:t>, S</w:t>
      </w:r>
      <w:r w:rsidR="00EE076A">
        <w:rPr>
          <w:rFonts w:eastAsia="ＭＳ 明朝"/>
          <w:sz w:val="22"/>
          <w:lang w:val="en-US"/>
        </w:rPr>
        <w:t>tatus report</w:t>
      </w:r>
      <w:r w:rsidRPr="007A1C28">
        <w:rPr>
          <w:rFonts w:eastAsia="ＭＳ 明朝"/>
          <w:sz w:val="22"/>
          <w:lang w:val="en-US"/>
        </w:rPr>
        <w:t xml:space="preserve"> for </w:t>
      </w:r>
      <w:r w:rsidR="00EE076A">
        <w:rPr>
          <w:rFonts w:eastAsia="ＭＳ 明朝"/>
          <w:sz w:val="22"/>
          <w:lang w:val="en-US"/>
        </w:rPr>
        <w:t xml:space="preserve">WI </w:t>
      </w:r>
      <w:r w:rsidRPr="007A1C28">
        <w:rPr>
          <w:rFonts w:eastAsia="ＭＳ 明朝"/>
          <w:sz w:val="22"/>
          <w:lang w:val="en-US"/>
        </w:rPr>
        <w:t>Extending current NR operation to 71GHz</w:t>
      </w:r>
      <w:r w:rsidR="00EE076A">
        <w:rPr>
          <w:rFonts w:eastAsia="ＭＳ 明朝"/>
          <w:sz w:val="22"/>
          <w:lang w:val="en-US"/>
        </w:rPr>
        <w:t>; rapporteur: Qualcomm</w:t>
      </w:r>
      <w:r w:rsidRPr="007A1C28">
        <w:rPr>
          <w:rFonts w:eastAsia="ＭＳ 明朝"/>
          <w:sz w:val="22"/>
          <w:lang w:val="en-US"/>
        </w:rPr>
        <w:t xml:space="preserve">, </w:t>
      </w:r>
      <w:r w:rsidR="00EE076A">
        <w:rPr>
          <w:rFonts w:eastAsia="ＭＳ 明朝"/>
          <w:sz w:val="22"/>
          <w:lang w:val="en-US"/>
        </w:rPr>
        <w:t>TSG RAN</w:t>
      </w:r>
      <w:r w:rsidRPr="007A1C28">
        <w:rPr>
          <w:rFonts w:eastAsia="ＭＳ 明朝"/>
          <w:sz w:val="22"/>
          <w:lang w:val="en-US"/>
        </w:rPr>
        <w:t>, RAN#9</w:t>
      </w:r>
      <w:r w:rsidR="00EE076A">
        <w:rPr>
          <w:rFonts w:eastAsia="ＭＳ 明朝"/>
          <w:sz w:val="22"/>
          <w:lang w:val="en-US"/>
        </w:rPr>
        <w:t>6</w:t>
      </w:r>
      <w:r w:rsidRPr="007A1C28">
        <w:rPr>
          <w:rFonts w:eastAsia="ＭＳ 明朝"/>
          <w:sz w:val="22"/>
          <w:lang w:val="en-US"/>
        </w:rPr>
        <w:t>, 202</w:t>
      </w:r>
      <w:r w:rsidR="00EE076A">
        <w:rPr>
          <w:rFonts w:eastAsia="ＭＳ 明朝"/>
          <w:sz w:val="22"/>
          <w:lang w:val="en-US"/>
        </w:rPr>
        <w:t>2</w:t>
      </w:r>
      <w:r>
        <w:rPr>
          <w:rFonts w:eastAsia="ＭＳ 明朝"/>
          <w:sz w:val="22"/>
          <w:lang w:val="en-US"/>
        </w:rPr>
        <w:t>.</w:t>
      </w:r>
      <w:bookmarkEnd w:id="18"/>
    </w:p>
    <w:p w14:paraId="227E074D" w14:textId="7A2EBFFC" w:rsidR="00845F77" w:rsidRPr="00B15126" w:rsidRDefault="00B15126" w:rsidP="00B01435">
      <w:pPr>
        <w:pStyle w:val="afc"/>
        <w:numPr>
          <w:ilvl w:val="0"/>
          <w:numId w:val="4"/>
        </w:numPr>
        <w:spacing w:afterLines="50" w:after="120"/>
        <w:ind w:leftChars="0"/>
        <w:jc w:val="both"/>
        <w:rPr>
          <w:rFonts w:eastAsia="ＭＳ 明朝"/>
          <w:sz w:val="22"/>
        </w:rPr>
      </w:pPr>
      <w:r>
        <w:rPr>
          <w:rFonts w:eastAsia="ＭＳ 明朝"/>
          <w:sz w:val="22"/>
          <w:szCs w:val="22"/>
        </w:rPr>
        <w:t xml:space="preserve">R1-2209868, </w:t>
      </w:r>
      <w:r w:rsidRPr="00B15126">
        <w:rPr>
          <w:rFonts w:eastAsia="ＭＳ 明朝"/>
          <w:sz w:val="22"/>
          <w:szCs w:val="22"/>
        </w:rPr>
        <w:t>Draft CR on spatial domain filter for sensing in FR2-2</w:t>
      </w:r>
      <w:r>
        <w:rPr>
          <w:rFonts w:eastAsia="ＭＳ 明朝"/>
          <w:sz w:val="22"/>
          <w:szCs w:val="22"/>
        </w:rPr>
        <w:t>,</w:t>
      </w:r>
      <w:r w:rsidR="00105476">
        <w:rPr>
          <w:rFonts w:eastAsia="ＭＳ 明朝"/>
          <w:sz w:val="22"/>
          <w:szCs w:val="22"/>
        </w:rPr>
        <w:t xml:space="preserve"> </w:t>
      </w:r>
      <w:r>
        <w:rPr>
          <w:rFonts w:eastAsia="ＭＳ 明朝"/>
          <w:sz w:val="22"/>
          <w:szCs w:val="22"/>
        </w:rPr>
        <w:t>NTT DOCOMO, INC., October</w:t>
      </w:r>
      <w:r w:rsidR="00105476">
        <w:rPr>
          <w:rFonts w:eastAsia="ＭＳ 明朝"/>
          <w:sz w:val="22"/>
          <w:szCs w:val="22"/>
        </w:rPr>
        <w:t xml:space="preserve"> 2022</w:t>
      </w:r>
    </w:p>
    <w:p w14:paraId="6E8823E6" w14:textId="17B0D26E" w:rsidR="00B15126" w:rsidRDefault="00B15126" w:rsidP="00B01435">
      <w:pPr>
        <w:pStyle w:val="afc"/>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 xml:space="preserve">1-2208352, </w:t>
      </w:r>
      <w:r w:rsidRPr="00B15126">
        <w:rPr>
          <w:rFonts w:eastAsia="ＭＳ 明朝"/>
          <w:sz w:val="22"/>
        </w:rPr>
        <w:t>Reply LS for the minimum guard period between two SRS resources for antenna switching</w:t>
      </w:r>
      <w:r>
        <w:rPr>
          <w:rFonts w:eastAsia="ＭＳ 明朝" w:hint="eastAsia"/>
          <w:sz w:val="22"/>
        </w:rPr>
        <w:t>,</w:t>
      </w:r>
      <w:r>
        <w:rPr>
          <w:rFonts w:eastAsia="ＭＳ 明朝"/>
          <w:sz w:val="22"/>
        </w:rPr>
        <w:t xml:space="preserve"> RAN WG2, October 2022</w:t>
      </w:r>
    </w:p>
    <w:p w14:paraId="758575B0" w14:textId="30659687" w:rsidR="00B15126" w:rsidRPr="00B15126" w:rsidRDefault="00B15126" w:rsidP="00B15126">
      <w:pPr>
        <w:pStyle w:val="afc"/>
        <w:numPr>
          <w:ilvl w:val="0"/>
          <w:numId w:val="4"/>
        </w:numPr>
        <w:spacing w:afterLines="50" w:after="120"/>
        <w:ind w:leftChars="0"/>
        <w:jc w:val="both"/>
        <w:rPr>
          <w:rFonts w:eastAsia="ＭＳ 明朝"/>
          <w:sz w:val="22"/>
        </w:rPr>
      </w:pPr>
      <w:r>
        <w:rPr>
          <w:rFonts w:eastAsia="ＭＳ 明朝"/>
          <w:sz w:val="22"/>
          <w:szCs w:val="22"/>
        </w:rPr>
        <w:t xml:space="preserve">R1-2209869, </w:t>
      </w:r>
      <w:r w:rsidRPr="00B15126">
        <w:rPr>
          <w:rFonts w:eastAsia="ＭＳ 明朝"/>
          <w:sz w:val="22"/>
          <w:szCs w:val="22"/>
        </w:rPr>
        <w:t>Draft CR on SRS for DL CSI acquisition in FR2-2</w:t>
      </w:r>
      <w:r>
        <w:rPr>
          <w:rFonts w:eastAsia="ＭＳ 明朝"/>
          <w:sz w:val="22"/>
          <w:szCs w:val="22"/>
        </w:rPr>
        <w:t>, NTT DOCOMO, INC., October 2022</w:t>
      </w:r>
    </w:p>
    <w:p w14:paraId="16B82939" w14:textId="2FC1F9F1" w:rsidR="00B15126" w:rsidRPr="00105476" w:rsidRDefault="00B15126" w:rsidP="00B15126">
      <w:pPr>
        <w:pStyle w:val="afc"/>
        <w:numPr>
          <w:ilvl w:val="0"/>
          <w:numId w:val="4"/>
        </w:numPr>
        <w:spacing w:afterLines="50" w:after="120"/>
        <w:ind w:leftChars="0"/>
        <w:jc w:val="both"/>
        <w:rPr>
          <w:rFonts w:eastAsia="ＭＳ 明朝"/>
          <w:sz w:val="22"/>
        </w:rPr>
      </w:pPr>
      <w:r>
        <w:rPr>
          <w:rFonts w:eastAsia="ＭＳ 明朝"/>
          <w:sz w:val="22"/>
          <w:szCs w:val="22"/>
        </w:rPr>
        <w:t xml:space="preserve">R1-2209870, </w:t>
      </w:r>
      <w:r w:rsidRPr="00B15126">
        <w:rPr>
          <w:rFonts w:eastAsia="ＭＳ 明朝"/>
          <w:sz w:val="22"/>
          <w:szCs w:val="22"/>
        </w:rPr>
        <w:t xml:space="preserve">Draft CR on DL PDSCH validity for multi-PDSCH scheduling via single DCI </w:t>
      </w:r>
      <w:proofErr w:type="spellStart"/>
      <w:r w:rsidRPr="00B15126">
        <w:rPr>
          <w:rFonts w:eastAsia="ＭＳ 明朝"/>
          <w:sz w:val="22"/>
          <w:szCs w:val="22"/>
        </w:rPr>
        <w:t>mTRP</w:t>
      </w:r>
      <w:proofErr w:type="spellEnd"/>
      <w:r w:rsidRPr="00B15126">
        <w:rPr>
          <w:rFonts w:eastAsia="ＭＳ 明朝"/>
          <w:sz w:val="22"/>
          <w:szCs w:val="22"/>
        </w:rPr>
        <w:t xml:space="preserve"> in FR2-2</w:t>
      </w:r>
      <w:r>
        <w:rPr>
          <w:rFonts w:eastAsia="ＭＳ 明朝"/>
          <w:sz w:val="22"/>
          <w:szCs w:val="22"/>
        </w:rPr>
        <w:t>, NTT DOCOMO, INC., October 2022</w:t>
      </w:r>
    </w:p>
    <w:p w14:paraId="286EDAE7" w14:textId="0BC81AC8" w:rsidR="00D7381C" w:rsidRPr="00D142E5" w:rsidRDefault="00D7381C" w:rsidP="00B15126">
      <w:pPr>
        <w:pStyle w:val="afc"/>
        <w:numPr>
          <w:ilvl w:val="0"/>
          <w:numId w:val="4"/>
        </w:numPr>
        <w:spacing w:afterLines="50" w:after="120"/>
        <w:ind w:leftChars="0"/>
        <w:jc w:val="both"/>
        <w:rPr>
          <w:rFonts w:eastAsia="ＭＳ 明朝"/>
          <w:sz w:val="22"/>
        </w:rPr>
      </w:pPr>
    </w:p>
    <w:sectPr w:rsidR="00D7381C" w:rsidRPr="00D142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A2C1" w14:textId="77777777" w:rsidR="00761951" w:rsidRDefault="00761951">
      <w:r>
        <w:separator/>
      </w:r>
    </w:p>
  </w:endnote>
  <w:endnote w:type="continuationSeparator" w:id="0">
    <w:p w14:paraId="57AB4351" w14:textId="77777777" w:rsidR="00761951" w:rsidRDefault="00761951">
      <w:r>
        <w:continuationSeparator/>
      </w:r>
    </w:p>
  </w:endnote>
  <w:endnote w:type="continuationNotice" w:id="1">
    <w:p w14:paraId="6B234C52" w14:textId="77777777" w:rsidR="00761951" w:rsidRDefault="00761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6B3A" w14:textId="77777777" w:rsidR="00761951" w:rsidRDefault="00761951">
      <w:r>
        <w:separator/>
      </w:r>
    </w:p>
  </w:footnote>
  <w:footnote w:type="continuationSeparator" w:id="0">
    <w:p w14:paraId="69CD43E7" w14:textId="77777777" w:rsidR="00761951" w:rsidRDefault="00761951">
      <w:r>
        <w:continuationSeparator/>
      </w:r>
    </w:p>
  </w:footnote>
  <w:footnote w:type="continuationNotice" w:id="1">
    <w:p w14:paraId="24982D46" w14:textId="77777777" w:rsidR="00761951" w:rsidRDefault="00761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21BD9"/>
    <w:multiLevelType w:val="hybridMultilevel"/>
    <w:tmpl w:val="B62AF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957738"/>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3E320E"/>
    <w:multiLevelType w:val="hybridMultilevel"/>
    <w:tmpl w:val="000E99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14"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A72B57"/>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3B7A07"/>
    <w:multiLevelType w:val="hybridMultilevel"/>
    <w:tmpl w:val="6B1C9C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734B7E"/>
    <w:multiLevelType w:val="multilevel"/>
    <w:tmpl w:val="D15C74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C43CA"/>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06DBD"/>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21"/>
  </w:num>
  <w:num w:numId="4">
    <w:abstractNumId w:val="9"/>
  </w:num>
  <w:num w:numId="5">
    <w:abstractNumId w:val="38"/>
  </w:num>
  <w:num w:numId="6">
    <w:abstractNumId w:val="29"/>
  </w:num>
  <w:num w:numId="7">
    <w:abstractNumId w:val="6"/>
  </w:num>
  <w:num w:numId="8">
    <w:abstractNumId w:val="30"/>
  </w:num>
  <w:num w:numId="9">
    <w:abstractNumId w:val="27"/>
  </w:num>
  <w:num w:numId="10">
    <w:abstractNumId w:val="37"/>
  </w:num>
  <w:num w:numId="11">
    <w:abstractNumId w:val="39"/>
  </w:num>
  <w:num w:numId="12">
    <w:abstractNumId w:val="40"/>
  </w:num>
  <w:num w:numId="13">
    <w:abstractNumId w:val="19"/>
  </w:num>
  <w:num w:numId="14">
    <w:abstractNumId w:val="20"/>
  </w:num>
  <w:num w:numId="15">
    <w:abstractNumId w:val="14"/>
  </w:num>
  <w:num w:numId="16">
    <w:abstractNumId w:val="12"/>
  </w:num>
  <w:num w:numId="17">
    <w:abstractNumId w:val="15"/>
  </w:num>
  <w:num w:numId="18">
    <w:abstractNumId w:val="36"/>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6"/>
  </w:num>
  <w:num w:numId="21">
    <w:abstractNumId w:val="16"/>
  </w:num>
  <w:num w:numId="22">
    <w:abstractNumId w:val="13"/>
  </w:num>
  <w:num w:numId="23">
    <w:abstractNumId w:val="8"/>
  </w:num>
  <w:num w:numId="24">
    <w:abstractNumId w:val="24"/>
  </w:num>
  <w:num w:numId="25">
    <w:abstractNumId w:val="22"/>
  </w:num>
  <w:num w:numId="26">
    <w:abstractNumId w:val="33"/>
  </w:num>
  <w:num w:numId="27">
    <w:abstractNumId w:val="5"/>
  </w:num>
  <w:num w:numId="28">
    <w:abstractNumId w:val="10"/>
  </w:num>
  <w:num w:numId="29">
    <w:abstractNumId w:val="25"/>
  </w:num>
  <w:num w:numId="30">
    <w:abstractNumId w:val="11"/>
  </w:num>
  <w:num w:numId="31">
    <w:abstractNumId w:val="31"/>
  </w:num>
  <w:num w:numId="32">
    <w:abstractNumId w:val="4"/>
  </w:num>
  <w:num w:numId="33">
    <w:abstractNumId w:val="34"/>
  </w:num>
  <w:num w:numId="34">
    <w:abstractNumId w:val="17"/>
  </w:num>
  <w:num w:numId="35">
    <w:abstractNumId w:val="2"/>
  </w:num>
  <w:num w:numId="36">
    <w:abstractNumId w:val="1"/>
  </w:num>
  <w:num w:numId="37">
    <w:abstractNumId w:val="23"/>
  </w:num>
  <w:num w:numId="38">
    <w:abstractNumId w:val="35"/>
  </w:num>
  <w:num w:numId="39">
    <w:abstractNumId w:val="18"/>
  </w:num>
  <w:num w:numId="40">
    <w:abstractNumId w:val="7"/>
  </w:num>
  <w:num w:numId="4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6D4"/>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DD"/>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A1"/>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476"/>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958"/>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CC9"/>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C8"/>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4D8"/>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9B4"/>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E78"/>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94A"/>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3A"/>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20"/>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A7"/>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27"/>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370"/>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49"/>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0A"/>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7D"/>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9C4"/>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A2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5C64"/>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D80"/>
    <w:rsid w:val="00531E6A"/>
    <w:rsid w:val="005320E2"/>
    <w:rsid w:val="005321FB"/>
    <w:rsid w:val="005322EC"/>
    <w:rsid w:val="0053230A"/>
    <w:rsid w:val="00532316"/>
    <w:rsid w:val="00532577"/>
    <w:rsid w:val="0053270E"/>
    <w:rsid w:val="005328CF"/>
    <w:rsid w:val="00532C79"/>
    <w:rsid w:val="00532EB3"/>
    <w:rsid w:val="00532F0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A9"/>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5E0"/>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752"/>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774"/>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CA8"/>
    <w:rsid w:val="006511C4"/>
    <w:rsid w:val="006515C8"/>
    <w:rsid w:val="006516D9"/>
    <w:rsid w:val="00651827"/>
    <w:rsid w:val="0065191D"/>
    <w:rsid w:val="00651C3B"/>
    <w:rsid w:val="00651E7C"/>
    <w:rsid w:val="00652198"/>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A7F68"/>
    <w:rsid w:val="006B0297"/>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44"/>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C0"/>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951"/>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298"/>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A71"/>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6D9E"/>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A6B"/>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E99"/>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464C"/>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7BC"/>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360"/>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AA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955"/>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84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005"/>
    <w:rsid w:val="009A3310"/>
    <w:rsid w:val="009A3797"/>
    <w:rsid w:val="009A37B0"/>
    <w:rsid w:val="009A38F8"/>
    <w:rsid w:val="009A3E3F"/>
    <w:rsid w:val="009A3F07"/>
    <w:rsid w:val="009A4024"/>
    <w:rsid w:val="009A416D"/>
    <w:rsid w:val="009A4175"/>
    <w:rsid w:val="009A4B50"/>
    <w:rsid w:val="009A4C91"/>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0E13"/>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12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52D"/>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438"/>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34"/>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09"/>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6AF"/>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1E66"/>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0FDF"/>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2E5"/>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55"/>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5E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48B9"/>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550"/>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40"/>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2F23"/>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76A"/>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A31"/>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F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4243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 w:type="table" w:customStyle="1" w:styleId="33">
    <w:name w:val="表 (格子)3"/>
    <w:basedOn w:val="a3"/>
    <w:next w:val="afa"/>
    <w:uiPriority w:val="39"/>
    <w:rsid w:val="00EE076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7898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85597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229781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218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432584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3603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94498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918</Words>
  <Characters>5233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Naoya Shibaike</cp:lastModifiedBy>
  <cp:revision>3</cp:revision>
  <dcterms:created xsi:type="dcterms:W3CDTF">2022-09-30T12:45:00Z</dcterms:created>
  <dcterms:modified xsi:type="dcterms:W3CDTF">2022-09-30T13:04:00Z</dcterms:modified>
</cp:coreProperties>
</file>