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2E375" w14:textId="71C3DEFB" w:rsidR="003B7351" w:rsidRPr="007814B3" w:rsidRDefault="003B7351" w:rsidP="003B7351">
      <w:pPr>
        <w:pStyle w:val="a4"/>
        <w:tabs>
          <w:tab w:val="right" w:pos="10206"/>
        </w:tabs>
        <w:spacing w:after="0" w:afterAutospacing="0"/>
        <w:rPr>
          <w:rFonts w:cs="Arial"/>
          <w:noProof w:val="0"/>
          <w:sz w:val="28"/>
          <w:szCs w:val="28"/>
          <w:lang w:val="en-US"/>
        </w:rPr>
      </w:pPr>
      <w:bookmarkStart w:id="0" w:name="OLE_LINK3"/>
      <w:bookmarkStart w:id="1" w:name="_Ref133120545"/>
      <w:r w:rsidRPr="007814B3">
        <w:rPr>
          <w:rFonts w:cs="Arial"/>
          <w:noProof w:val="0"/>
          <w:sz w:val="28"/>
          <w:szCs w:val="28"/>
          <w:lang w:val="en-US"/>
        </w:rPr>
        <w:t>3GPP TSG RAN WG1 #110bis-e</w:t>
      </w:r>
      <w:r w:rsidRPr="007814B3">
        <w:rPr>
          <w:rFonts w:cs="Arial"/>
          <w:noProof w:val="0"/>
          <w:sz w:val="28"/>
          <w:szCs w:val="28"/>
          <w:lang w:val="en-US"/>
        </w:rPr>
        <w:tab/>
      </w:r>
      <w:r w:rsidR="00D70C7A" w:rsidRPr="007814B3">
        <w:rPr>
          <w:rFonts w:cs="Arial"/>
          <w:noProof w:val="0"/>
          <w:sz w:val="28"/>
          <w:szCs w:val="28"/>
          <w:lang w:val="en-US"/>
        </w:rPr>
        <w:t>R1-2209783</w:t>
      </w:r>
    </w:p>
    <w:bookmarkEnd w:id="0"/>
    <w:p w14:paraId="4B3D028E" w14:textId="253C47F5" w:rsidR="003B7351" w:rsidRDefault="003B7351" w:rsidP="003B7351">
      <w:pPr>
        <w:tabs>
          <w:tab w:val="center" w:pos="4536"/>
          <w:tab w:val="right" w:pos="9072"/>
        </w:tabs>
        <w:rPr>
          <w:rFonts w:ascii="Arial" w:eastAsia="ＭＳ 明朝" w:hAnsi="Arial" w:cs="Arial"/>
          <w:b/>
          <w:bCs/>
          <w:sz w:val="28"/>
        </w:rPr>
      </w:pPr>
      <w:r w:rsidRPr="007814B3">
        <w:rPr>
          <w:rFonts w:ascii="Arial" w:eastAsia="ＭＳ 明朝" w:hAnsi="Arial" w:cs="Arial"/>
          <w:b/>
          <w:bCs/>
          <w:sz w:val="28"/>
        </w:rPr>
        <w:t xml:space="preserve">e-meeting, </w:t>
      </w:r>
      <w:r w:rsidR="00B03967" w:rsidRPr="007814B3">
        <w:rPr>
          <w:rFonts w:ascii="Arial" w:eastAsia="ＭＳ 明朝" w:hAnsi="Arial" w:cs="Arial"/>
          <w:b/>
          <w:bCs/>
          <w:sz w:val="28"/>
        </w:rPr>
        <w:t xml:space="preserve">October </w:t>
      </w:r>
      <w:r w:rsidR="0071170A" w:rsidRPr="007814B3">
        <w:rPr>
          <w:rFonts w:ascii="Arial" w:eastAsia="ＭＳ 明朝" w:hAnsi="Arial" w:cs="Arial"/>
          <w:b/>
          <w:bCs/>
          <w:sz w:val="28"/>
        </w:rPr>
        <w:t>10</w:t>
      </w:r>
      <w:r w:rsidR="0071170A" w:rsidRPr="007814B3">
        <w:rPr>
          <w:rFonts w:ascii="Arial" w:eastAsia="ＭＳ 明朝" w:hAnsi="Arial" w:cs="Arial"/>
          <w:b/>
          <w:bCs/>
          <w:sz w:val="28"/>
          <w:vertAlign w:val="superscript"/>
        </w:rPr>
        <w:t>th</w:t>
      </w:r>
      <w:r w:rsidR="0071170A" w:rsidRPr="007814B3">
        <w:rPr>
          <w:rFonts w:ascii="Arial" w:eastAsia="ＭＳ 明朝" w:hAnsi="Arial" w:cs="Arial"/>
          <w:b/>
          <w:bCs/>
          <w:sz w:val="28"/>
        </w:rPr>
        <w:t xml:space="preserve"> </w:t>
      </w:r>
      <w:r w:rsidR="00B03967" w:rsidRPr="007814B3">
        <w:rPr>
          <w:rFonts w:ascii="Arial" w:eastAsia="ＭＳ 明朝" w:hAnsi="Arial" w:cs="Arial"/>
          <w:b/>
          <w:bCs/>
          <w:sz w:val="28"/>
        </w:rPr>
        <w:t xml:space="preserve">– </w:t>
      </w:r>
      <w:r w:rsidR="0071170A" w:rsidRPr="007814B3">
        <w:rPr>
          <w:rFonts w:ascii="Arial" w:eastAsia="ＭＳ 明朝" w:hAnsi="Arial" w:cs="Arial"/>
          <w:b/>
          <w:bCs/>
          <w:sz w:val="28"/>
        </w:rPr>
        <w:t>19</w:t>
      </w:r>
      <w:r w:rsidR="0071170A" w:rsidRPr="007814B3">
        <w:rPr>
          <w:rFonts w:ascii="Arial" w:eastAsia="ＭＳ 明朝" w:hAnsi="Arial" w:cs="Arial"/>
          <w:b/>
          <w:bCs/>
          <w:sz w:val="28"/>
          <w:vertAlign w:val="superscript"/>
        </w:rPr>
        <w:t>th</w:t>
      </w:r>
      <w:r w:rsidR="00B03967" w:rsidRPr="007814B3">
        <w:rPr>
          <w:rFonts w:ascii="Arial" w:eastAsia="ＭＳ 明朝" w:hAnsi="Arial" w:cs="Arial"/>
          <w:b/>
          <w:bCs/>
          <w:sz w:val="28"/>
        </w:rPr>
        <w:t>, 2022</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6A9FF1A8" w:rsidR="00004B52" w:rsidRPr="005C668E" w:rsidRDefault="00004B52" w:rsidP="0060799C">
      <w:pPr>
        <w:spacing w:after="0" w:afterAutospacing="0"/>
        <w:ind w:left="1985" w:hangingChars="706" w:hanging="1985"/>
        <w:rPr>
          <w:rFonts w:ascii="Arial" w:eastAsia="ＭＳ 明朝" w:hAnsi="Arial" w:cs="Arial"/>
          <w:b/>
          <w:color w:val="000000" w:themeColor="text1"/>
          <w:sz w:val="28"/>
          <w:szCs w:val="28"/>
          <w:lang w:val="en-US"/>
        </w:rPr>
      </w:pPr>
      <w:r w:rsidRPr="005C668E">
        <w:rPr>
          <w:rFonts w:ascii="Arial" w:hAnsi="Arial" w:cs="Arial"/>
          <w:b/>
          <w:color w:val="000000" w:themeColor="text1"/>
          <w:sz w:val="28"/>
          <w:szCs w:val="28"/>
          <w:lang w:val="en-US"/>
        </w:rPr>
        <w:t>Title:</w:t>
      </w:r>
      <w:r w:rsidRPr="005C668E">
        <w:rPr>
          <w:rFonts w:ascii="Arial" w:hAnsi="Arial" w:cs="Arial"/>
          <w:b/>
          <w:color w:val="000000" w:themeColor="text1"/>
          <w:sz w:val="28"/>
          <w:szCs w:val="28"/>
          <w:lang w:val="en-US"/>
        </w:rPr>
        <w:tab/>
      </w:r>
      <w:r w:rsidR="005C668E" w:rsidRPr="005C668E">
        <w:rPr>
          <w:rFonts w:ascii="Arial" w:hAnsi="Arial" w:cs="Arial"/>
          <w:b/>
          <w:color w:val="000000" w:themeColor="text1"/>
          <w:sz w:val="28"/>
          <w:szCs w:val="28"/>
          <w:lang w:val="en-US"/>
        </w:rPr>
        <w:t>Views on potential solutions for SL positioning</w:t>
      </w:r>
    </w:p>
    <w:p w14:paraId="369A72EC" w14:textId="3ABEEE0E"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5C668E">
        <w:rPr>
          <w:rFonts w:ascii="Arial" w:hAnsi="Arial" w:cs="Arial"/>
          <w:b/>
          <w:color w:val="000000" w:themeColor="text1"/>
          <w:sz w:val="28"/>
          <w:szCs w:val="28"/>
          <w:lang w:val="en-US"/>
        </w:rPr>
        <w:t>Agenda Item:</w:t>
      </w:r>
      <w:r w:rsidRPr="005C668E">
        <w:rPr>
          <w:rFonts w:ascii="Arial" w:hAnsi="Arial" w:cs="Arial"/>
          <w:b/>
          <w:color w:val="000000" w:themeColor="text1"/>
          <w:sz w:val="28"/>
          <w:szCs w:val="28"/>
          <w:lang w:val="en-US"/>
        </w:rPr>
        <w:tab/>
      </w:r>
      <w:r w:rsidR="00122FF3" w:rsidRPr="005C668E">
        <w:rPr>
          <w:rFonts w:ascii="Arial" w:hAnsi="Arial" w:cs="Arial"/>
          <w:b/>
          <w:color w:val="000000" w:themeColor="text1"/>
          <w:sz w:val="28"/>
          <w:szCs w:val="28"/>
          <w:lang w:val="en-US"/>
        </w:rPr>
        <w:t>9</w:t>
      </w:r>
      <w:r w:rsidR="00BE602C" w:rsidRPr="005C668E">
        <w:rPr>
          <w:rFonts w:ascii="Arial" w:hAnsi="Arial" w:cs="Arial"/>
          <w:b/>
          <w:color w:val="000000" w:themeColor="text1"/>
          <w:sz w:val="28"/>
          <w:szCs w:val="28"/>
          <w:lang w:val="en-US"/>
        </w:rPr>
        <w:t>.</w:t>
      </w:r>
      <w:r w:rsidR="00122FF3" w:rsidRPr="005C668E">
        <w:rPr>
          <w:rFonts w:ascii="Arial" w:hAnsi="Arial" w:cs="Arial"/>
          <w:b/>
          <w:color w:val="000000" w:themeColor="text1"/>
          <w:sz w:val="28"/>
          <w:szCs w:val="28"/>
          <w:lang w:val="en-US"/>
        </w:rPr>
        <w:t>5</w:t>
      </w:r>
      <w:r w:rsidR="00AF31FE" w:rsidRPr="005C668E">
        <w:rPr>
          <w:rFonts w:ascii="Arial" w:hAnsi="Arial" w:cs="Arial"/>
          <w:b/>
          <w:color w:val="000000" w:themeColor="text1"/>
          <w:sz w:val="28"/>
          <w:szCs w:val="28"/>
          <w:lang w:val="en-US"/>
        </w:rPr>
        <w:t>.</w:t>
      </w:r>
      <w:r w:rsidR="00EA7E9D" w:rsidRPr="005C668E">
        <w:rPr>
          <w:rFonts w:ascii="Arial" w:hAnsi="Arial" w:cs="Arial"/>
          <w:b/>
          <w:color w:val="000000" w:themeColor="text1"/>
          <w:sz w:val="28"/>
          <w:szCs w:val="28"/>
          <w:lang w:val="en-US"/>
        </w:rPr>
        <w:t>1</w:t>
      </w:r>
      <w:r w:rsidR="00110F78" w:rsidRPr="005C668E">
        <w:rPr>
          <w:rFonts w:ascii="Arial" w:hAnsi="Arial" w:cs="Arial"/>
          <w:b/>
          <w:color w:val="000000" w:themeColor="text1"/>
          <w:sz w:val="28"/>
          <w:szCs w:val="28"/>
          <w:lang w:val="en-US"/>
        </w:rPr>
        <w:t>.</w:t>
      </w:r>
      <w:r w:rsidR="003B7351" w:rsidRPr="005C668E">
        <w:rPr>
          <w:rFonts w:ascii="Arial" w:hAnsi="Arial" w:cs="Arial" w:hint="eastAsia"/>
          <w:b/>
          <w:color w:val="000000" w:themeColor="text1"/>
          <w:sz w:val="28"/>
          <w:szCs w:val="28"/>
          <w:lang w:val="en-US"/>
        </w:rPr>
        <w:t>2</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3A8022F8" w14:textId="08E995D0" w:rsidR="005D3D18" w:rsidRDefault="005D3D18" w:rsidP="005D3D18">
      <w:pPr>
        <w:spacing w:before="240" w:after="240" w:afterAutospacing="0"/>
        <w:rPr>
          <w:rFonts w:eastAsiaTheme="minorEastAsia"/>
          <w:color w:val="000000" w:themeColor="text1"/>
          <w:szCs w:val="24"/>
          <w:lang w:val="en-US"/>
        </w:rPr>
      </w:pPr>
      <w:bookmarkStart w:id="3" w:name="OLE_LINK1"/>
      <w:r>
        <w:rPr>
          <w:rFonts w:eastAsiaTheme="minorEastAsia"/>
          <w:color w:val="000000" w:themeColor="text1"/>
          <w:szCs w:val="24"/>
          <w:lang w:val="en-US"/>
        </w:rPr>
        <w:t>In RAN#94e, a new study item on “</w:t>
      </w:r>
      <w:r>
        <w:t>expanded and improved NR positioning” was approved</w:t>
      </w:r>
      <w:r w:rsidR="00947C95">
        <w:t xml:space="preserve"> [1]</w:t>
      </w:r>
      <w:r>
        <w:rPr>
          <w:rFonts w:eastAsiaTheme="minorEastAsia"/>
          <w:color w:val="000000" w:themeColor="text1"/>
          <w:szCs w:val="24"/>
          <w:lang w:val="en-US"/>
        </w:rPr>
        <w:t>.</w:t>
      </w:r>
    </w:p>
    <w:p w14:paraId="04250177" w14:textId="604CAD8A" w:rsidR="00911AD2" w:rsidRPr="004953F0" w:rsidRDefault="00911AD2" w:rsidP="005D3D18">
      <w:pPr>
        <w:spacing w:before="240" w:after="240" w:afterAutospacing="0"/>
        <w:rPr>
          <w:rFonts w:eastAsiaTheme="minorEastAsia"/>
          <w:color w:val="000000" w:themeColor="text1"/>
          <w:szCs w:val="24"/>
          <w:lang w:val="en-US"/>
        </w:rPr>
      </w:pPr>
      <w:r>
        <w:rPr>
          <w:rFonts w:eastAsiaTheme="minorEastAsia" w:hint="eastAsia"/>
          <w:color w:val="000000" w:themeColor="text1"/>
          <w:szCs w:val="24"/>
          <w:lang w:val="en-US"/>
        </w:rPr>
        <w:t>I</w:t>
      </w:r>
      <w:r>
        <w:rPr>
          <w:rFonts w:eastAsiaTheme="minorEastAsia"/>
          <w:color w:val="000000" w:themeColor="text1"/>
          <w:szCs w:val="24"/>
          <w:lang w:val="en-US"/>
        </w:rPr>
        <w:t>n RAN1#1</w:t>
      </w:r>
      <w:r w:rsidR="00512590">
        <w:rPr>
          <w:rFonts w:eastAsiaTheme="minorEastAsia"/>
          <w:color w:val="000000" w:themeColor="text1"/>
          <w:szCs w:val="24"/>
          <w:lang w:val="en-US"/>
        </w:rPr>
        <w:t>10</w:t>
      </w:r>
      <w:r>
        <w:rPr>
          <w:rFonts w:eastAsiaTheme="minorEastAsia"/>
          <w:color w:val="000000" w:themeColor="text1"/>
          <w:szCs w:val="24"/>
          <w:lang w:val="en-US"/>
        </w:rPr>
        <w:t>, RAN1 started discussions on the potential solutions for SL positioning. Companies actively discussed the solutions for SL positioning from various aspects</w:t>
      </w:r>
      <w:r w:rsidR="005B7A4B">
        <w:rPr>
          <w:rFonts w:eastAsiaTheme="minorEastAsia"/>
          <w:color w:val="000000" w:themeColor="text1"/>
          <w:szCs w:val="24"/>
          <w:lang w:val="en-US"/>
        </w:rPr>
        <w:t xml:space="preserve"> [2]</w:t>
      </w:r>
      <w:r>
        <w:rPr>
          <w:rFonts w:eastAsiaTheme="minorEastAsia"/>
          <w:color w:val="000000" w:themeColor="text1"/>
          <w:szCs w:val="24"/>
          <w:lang w:val="en-US"/>
        </w:rPr>
        <w:t>.</w:t>
      </w:r>
    </w:p>
    <w:p w14:paraId="3FA9F56A" w14:textId="45D3F588" w:rsidR="005D3D18" w:rsidRDefault="005D3D18" w:rsidP="005D3D18">
      <w:pPr>
        <w:rPr>
          <w:rFonts w:eastAsia="ＭＳ 明朝"/>
          <w:color w:val="000000" w:themeColor="text1"/>
        </w:rPr>
      </w:pPr>
      <w:r w:rsidRPr="00683FDE">
        <w:rPr>
          <w:rFonts w:eastAsia="ＭＳ 明朝"/>
          <w:color w:val="000000" w:themeColor="text1"/>
        </w:rPr>
        <w:t>In this contribution, we</w:t>
      </w:r>
      <w:r>
        <w:rPr>
          <w:rFonts w:eastAsia="ＭＳ 明朝"/>
          <w:color w:val="000000" w:themeColor="text1"/>
        </w:rPr>
        <w:t xml:space="preserve"> share the view on </w:t>
      </w:r>
      <w:r w:rsidRPr="005D3D18">
        <w:rPr>
          <w:rFonts w:eastAsia="ＭＳ 明朝"/>
          <w:color w:val="000000" w:themeColor="text1"/>
        </w:rPr>
        <w:t>potential solutions for SL positioning</w:t>
      </w:r>
      <w:r w:rsidRPr="00683FDE">
        <w:rPr>
          <w:rFonts w:eastAsia="ＭＳ 明朝"/>
          <w:color w:val="000000" w:themeColor="text1"/>
        </w:rPr>
        <w:t>.</w:t>
      </w:r>
    </w:p>
    <w:p w14:paraId="6F7F4B9A" w14:textId="77777777" w:rsidR="00412E77" w:rsidRDefault="00412E77" w:rsidP="005D3D18">
      <w:pPr>
        <w:rPr>
          <w:rFonts w:eastAsia="ＭＳ 明朝"/>
          <w:color w:val="000000" w:themeColor="text1"/>
        </w:rPr>
      </w:pPr>
    </w:p>
    <w:p w14:paraId="4C94F9CE" w14:textId="540BD49C" w:rsidR="00381C29" w:rsidRPr="00480BC7" w:rsidRDefault="00656E99" w:rsidP="00A46710">
      <w:pPr>
        <w:pStyle w:val="10"/>
        <w:spacing w:after="180"/>
        <w:rPr>
          <w:color w:val="000000" w:themeColor="text1"/>
          <w:lang w:val="en-US"/>
        </w:rPr>
      </w:pPr>
      <w:r w:rsidRPr="00683FDE">
        <w:rPr>
          <w:color w:val="000000" w:themeColor="text1"/>
          <w:lang w:val="en-US"/>
        </w:rPr>
        <w:t>Discussions</w:t>
      </w:r>
    </w:p>
    <w:p w14:paraId="7EFC3BA5" w14:textId="3F283EBD" w:rsidR="00381C29" w:rsidRPr="00C3208F" w:rsidRDefault="00381C29" w:rsidP="0071170A">
      <w:pPr>
        <w:pStyle w:val="20"/>
        <w:rPr>
          <w:lang w:val="en-US"/>
        </w:rPr>
      </w:pPr>
      <w:r w:rsidRPr="00085803">
        <w:rPr>
          <w:rFonts w:hint="eastAsia"/>
        </w:rPr>
        <w:t>S</w:t>
      </w:r>
      <w:r w:rsidR="00C3208F">
        <w:t>L-PRS Sequence design</w:t>
      </w:r>
    </w:p>
    <w:p w14:paraId="5210B75B" w14:textId="7FFAC309" w:rsidR="00C214FC" w:rsidRPr="00C214FC" w:rsidRDefault="00C214FC" w:rsidP="00A46710">
      <w:pPr>
        <w:rPr>
          <w:lang w:val="en-US"/>
        </w:rPr>
      </w:pPr>
      <w:r>
        <w:rPr>
          <w:lang w:val="en-US"/>
        </w:rPr>
        <w:t xml:space="preserve">In last RAN1 meeting, </w:t>
      </w:r>
      <w:r w:rsidR="009B2D39">
        <w:rPr>
          <w:lang w:val="en-US"/>
        </w:rPr>
        <w:t xml:space="preserve">the following agreement </w:t>
      </w:r>
      <w:r w:rsidR="009B2D39">
        <w:rPr>
          <w:lang w:eastAsia="zh-CN"/>
        </w:rPr>
        <w:t>was achieved</w:t>
      </w:r>
      <w:r>
        <w:rPr>
          <w:lang w:val="en-US"/>
        </w:rPr>
        <w:t xml:space="preserve"> [2].</w:t>
      </w:r>
    </w:p>
    <w:tbl>
      <w:tblPr>
        <w:tblStyle w:val="af2"/>
        <w:tblW w:w="0" w:type="auto"/>
        <w:tblLook w:val="04A0" w:firstRow="1" w:lastRow="0" w:firstColumn="1" w:lastColumn="0" w:noHBand="0" w:noVBand="1"/>
      </w:tblPr>
      <w:tblGrid>
        <w:gridCol w:w="9954"/>
      </w:tblGrid>
      <w:tr w:rsidR="00F553EB" w:rsidRPr="00683FDE" w14:paraId="6E435580" w14:textId="77777777" w:rsidTr="00E9495B">
        <w:tc>
          <w:tcPr>
            <w:tcW w:w="9954" w:type="dxa"/>
          </w:tcPr>
          <w:p w14:paraId="0F190DEB" w14:textId="77777777" w:rsidR="00E9495B" w:rsidRPr="00484441" w:rsidRDefault="00E9495B" w:rsidP="00E9495B">
            <w:pPr>
              <w:rPr>
                <w:highlight w:val="green"/>
              </w:rPr>
            </w:pPr>
            <w:r w:rsidRPr="00C65C8C">
              <w:rPr>
                <w:b/>
                <w:bCs/>
                <w:highlight w:val="green"/>
                <w:u w:val="single"/>
                <w:lang w:val="en-US"/>
              </w:rPr>
              <w:t>Agreement in RAN1#1</w:t>
            </w:r>
            <w:r>
              <w:rPr>
                <w:b/>
                <w:bCs/>
                <w:highlight w:val="green"/>
                <w:u w:val="single"/>
                <w:lang w:val="en-US"/>
              </w:rPr>
              <w:t>10</w:t>
            </w:r>
          </w:p>
          <w:p w14:paraId="733211CB" w14:textId="77777777" w:rsidR="00CE2D62" w:rsidRDefault="00CE2D62" w:rsidP="00CE2D62">
            <w:r>
              <w:rPr>
                <w:lang w:val="en-US"/>
              </w:rPr>
              <w:t>For the sequence of the new reference signal for SL positioning/ranging, down select between Alt 1 and Alt 2:</w:t>
            </w:r>
          </w:p>
          <w:p w14:paraId="62E18B29" w14:textId="77777777" w:rsidR="00CE2D62" w:rsidRDefault="00CE2D62" w:rsidP="00A60623">
            <w:pPr>
              <w:pStyle w:val="aff9"/>
              <w:numPr>
                <w:ilvl w:val="0"/>
                <w:numId w:val="13"/>
              </w:numPr>
              <w:snapToGrid/>
              <w:spacing w:after="0" w:afterAutospacing="0" w:line="252" w:lineRule="auto"/>
              <w:ind w:firstLineChars="0"/>
              <w:contextualSpacing/>
              <w:jc w:val="left"/>
              <w:rPr>
                <w:rFonts w:eastAsia="Times New Roman"/>
              </w:rPr>
            </w:pPr>
            <w:r>
              <w:rPr>
                <w:rFonts w:eastAsia="Times New Roman"/>
              </w:rPr>
              <w:t>Alt. 1: pseudorandom-based. Use existing sequence of DL-PRS as a starting point.</w:t>
            </w:r>
          </w:p>
          <w:p w14:paraId="10A392CC" w14:textId="75B4012A" w:rsidR="00F553EB" w:rsidRPr="0086695E" w:rsidRDefault="00CE2D62" w:rsidP="0086695E">
            <w:pPr>
              <w:pStyle w:val="aff9"/>
              <w:numPr>
                <w:ilvl w:val="0"/>
                <w:numId w:val="13"/>
              </w:numPr>
              <w:snapToGrid/>
              <w:spacing w:after="0" w:afterAutospacing="0" w:line="252" w:lineRule="auto"/>
              <w:ind w:firstLineChars="0"/>
              <w:contextualSpacing/>
              <w:jc w:val="left"/>
              <w:rPr>
                <w:rFonts w:eastAsia="Times New Roman"/>
              </w:rPr>
            </w:pPr>
            <w:r>
              <w:rPr>
                <w:rFonts w:eastAsia="Times New Roman"/>
              </w:rPr>
              <w:t>Alt. 2: ZC-based (SRS sequence as a starting point)</w:t>
            </w:r>
          </w:p>
        </w:tc>
      </w:tr>
    </w:tbl>
    <w:p w14:paraId="4B7C212B" w14:textId="74114469" w:rsidR="00701B48" w:rsidRDefault="00701B48" w:rsidP="00CE2D62">
      <w:pPr>
        <w:rPr>
          <w:lang w:val="en-US"/>
        </w:rPr>
      </w:pPr>
    </w:p>
    <w:p w14:paraId="4B3B8A33" w14:textId="11F5FA55" w:rsidR="00701B48" w:rsidRPr="00701B48" w:rsidRDefault="00701B48" w:rsidP="00701B48">
      <w:pPr>
        <w:rPr>
          <w:lang w:val="en-US"/>
        </w:rPr>
      </w:pPr>
      <w:r w:rsidRPr="00701B48">
        <w:rPr>
          <w:lang w:val="en-US"/>
        </w:rPr>
        <w:t>In the last meeting, it was agreed that the sequence is determined by down-selection from pseudo-random based and ZC-based.</w:t>
      </w:r>
      <w:r w:rsidR="00634024">
        <w:rPr>
          <w:lang w:val="en-US"/>
        </w:rPr>
        <w:t xml:space="preserve"> In Table 1 below some analysis is provided on the pros and cons of Alt1 and Alt2.</w:t>
      </w:r>
    </w:p>
    <w:p w14:paraId="2A48EAF5" w14:textId="231A2911" w:rsidR="00701B48" w:rsidRDefault="00701B48" w:rsidP="00CE2D62">
      <w:pPr>
        <w:rPr>
          <w:lang w:val="en-US"/>
        </w:rPr>
      </w:pPr>
    </w:p>
    <w:p w14:paraId="3DA64745" w14:textId="3915AF3A" w:rsidR="008D3637" w:rsidRDefault="008D3637" w:rsidP="007814B3">
      <w:pPr>
        <w:spacing w:after="0" w:afterAutospacing="0"/>
        <w:jc w:val="center"/>
        <w:rPr>
          <w:lang w:val="en-US"/>
        </w:rPr>
      </w:pPr>
      <w:r>
        <w:rPr>
          <w:rFonts w:hint="eastAsia"/>
          <w:lang w:val="en-US"/>
        </w:rPr>
        <w:t>Table 1: Pros/Cons of Alt1 and Alt2</w:t>
      </w:r>
    </w:p>
    <w:tbl>
      <w:tblPr>
        <w:tblStyle w:val="af2"/>
        <w:tblW w:w="0" w:type="auto"/>
        <w:tblLook w:val="04A0" w:firstRow="1" w:lastRow="0" w:firstColumn="1" w:lastColumn="0" w:noHBand="0" w:noVBand="1"/>
      </w:tblPr>
      <w:tblGrid>
        <w:gridCol w:w="3318"/>
        <w:gridCol w:w="3318"/>
        <w:gridCol w:w="3318"/>
      </w:tblGrid>
      <w:tr w:rsidR="007F443B" w14:paraId="5137E728" w14:textId="77777777" w:rsidTr="007F443B">
        <w:tc>
          <w:tcPr>
            <w:tcW w:w="3318" w:type="dxa"/>
          </w:tcPr>
          <w:p w14:paraId="19C8A2D2" w14:textId="77777777" w:rsidR="007F443B" w:rsidRDefault="007F443B" w:rsidP="00CE2D62">
            <w:pPr>
              <w:rPr>
                <w:lang w:val="en-US"/>
              </w:rPr>
            </w:pPr>
          </w:p>
        </w:tc>
        <w:tc>
          <w:tcPr>
            <w:tcW w:w="3318" w:type="dxa"/>
          </w:tcPr>
          <w:p w14:paraId="411B0D08" w14:textId="5503CA79" w:rsidR="007F443B" w:rsidRDefault="007F443B" w:rsidP="00CE2D62">
            <w:pPr>
              <w:rPr>
                <w:lang w:val="en-US"/>
              </w:rPr>
            </w:pPr>
            <w:r w:rsidRPr="007F443B">
              <w:rPr>
                <w:lang w:val="en-US"/>
              </w:rPr>
              <w:t>pseudorandom-based</w:t>
            </w:r>
          </w:p>
        </w:tc>
        <w:tc>
          <w:tcPr>
            <w:tcW w:w="3318" w:type="dxa"/>
          </w:tcPr>
          <w:p w14:paraId="45CFD555" w14:textId="1933912E" w:rsidR="007F443B" w:rsidRDefault="007F443B" w:rsidP="00CE2D62">
            <w:pPr>
              <w:rPr>
                <w:lang w:val="en-US"/>
              </w:rPr>
            </w:pPr>
            <w:r w:rsidRPr="007F443B">
              <w:rPr>
                <w:lang w:val="en-US"/>
              </w:rPr>
              <w:t>ZC-based</w:t>
            </w:r>
          </w:p>
        </w:tc>
      </w:tr>
      <w:tr w:rsidR="007F443B" w14:paraId="4DD6A75E" w14:textId="77777777" w:rsidTr="007F443B">
        <w:tc>
          <w:tcPr>
            <w:tcW w:w="3318" w:type="dxa"/>
          </w:tcPr>
          <w:p w14:paraId="68ABDC18" w14:textId="3B347A5C" w:rsidR="007F443B" w:rsidRDefault="007F443B" w:rsidP="00CE2D62">
            <w:pPr>
              <w:rPr>
                <w:lang w:val="en-US"/>
              </w:rPr>
            </w:pPr>
            <w:r>
              <w:rPr>
                <w:rFonts w:hint="eastAsia"/>
                <w:lang w:val="en-US"/>
              </w:rPr>
              <w:t>UE</w:t>
            </w:r>
            <w:r>
              <w:rPr>
                <w:lang w:val="en-US"/>
              </w:rPr>
              <w:t xml:space="preserve"> implementation complexity</w:t>
            </w:r>
          </w:p>
        </w:tc>
        <w:tc>
          <w:tcPr>
            <w:tcW w:w="3318" w:type="dxa"/>
          </w:tcPr>
          <w:p w14:paraId="24277A82" w14:textId="41D610CF" w:rsidR="007F443B" w:rsidRDefault="007F443B" w:rsidP="00CE2D62">
            <w:pPr>
              <w:rPr>
                <w:lang w:val="en-US"/>
              </w:rPr>
            </w:pPr>
            <w:r>
              <w:rPr>
                <w:lang w:val="en-US"/>
              </w:rPr>
              <w:t>Low (</w:t>
            </w:r>
            <w:r>
              <w:rPr>
                <w:rFonts w:eastAsia="SimSun"/>
                <w:lang w:eastAsia="zh-CN"/>
              </w:rPr>
              <w:t>DL-PRS reception can be reused</w:t>
            </w:r>
            <w:r>
              <w:rPr>
                <w:lang w:val="en-US"/>
              </w:rPr>
              <w:t>)</w:t>
            </w:r>
          </w:p>
        </w:tc>
        <w:tc>
          <w:tcPr>
            <w:tcW w:w="3318" w:type="dxa"/>
          </w:tcPr>
          <w:p w14:paraId="19939563" w14:textId="44036248" w:rsidR="007F443B" w:rsidRPr="007F443B" w:rsidRDefault="007F443B" w:rsidP="00CE2D62">
            <w:pPr>
              <w:rPr>
                <w:lang w:val="en-US"/>
              </w:rPr>
            </w:pPr>
            <w:r>
              <w:rPr>
                <w:lang w:val="en-US"/>
              </w:rPr>
              <w:t>More complex (Legacy UEs did not have ability to receive SRS)</w:t>
            </w:r>
          </w:p>
        </w:tc>
      </w:tr>
      <w:tr w:rsidR="007F443B" w14:paraId="1A066DD3" w14:textId="77777777" w:rsidTr="007F443B">
        <w:tc>
          <w:tcPr>
            <w:tcW w:w="3318" w:type="dxa"/>
          </w:tcPr>
          <w:p w14:paraId="3EDFA806" w14:textId="7390C6AB" w:rsidR="007F443B" w:rsidRDefault="007F443B" w:rsidP="00CE2D62">
            <w:pPr>
              <w:rPr>
                <w:lang w:val="en-US"/>
              </w:rPr>
            </w:pPr>
            <w:r>
              <w:rPr>
                <w:rFonts w:hint="eastAsia"/>
                <w:lang w:val="en-US"/>
              </w:rPr>
              <w:t>P</w:t>
            </w:r>
            <w:r>
              <w:rPr>
                <w:lang w:val="en-US"/>
              </w:rPr>
              <w:t>APR</w:t>
            </w:r>
          </w:p>
        </w:tc>
        <w:tc>
          <w:tcPr>
            <w:tcW w:w="3318" w:type="dxa"/>
          </w:tcPr>
          <w:p w14:paraId="253DD715" w14:textId="081F76D0" w:rsidR="007F443B" w:rsidRDefault="007F443B" w:rsidP="00CE2D62">
            <w:pPr>
              <w:rPr>
                <w:lang w:val="en-US"/>
              </w:rPr>
            </w:pPr>
            <w:r>
              <w:rPr>
                <w:rFonts w:hint="eastAsia"/>
                <w:lang w:val="en-US"/>
              </w:rPr>
              <w:t>R</w:t>
            </w:r>
            <w:r>
              <w:rPr>
                <w:lang w:val="en-US"/>
              </w:rPr>
              <w:t>elatively high</w:t>
            </w:r>
          </w:p>
        </w:tc>
        <w:tc>
          <w:tcPr>
            <w:tcW w:w="3318" w:type="dxa"/>
          </w:tcPr>
          <w:p w14:paraId="5070FF7E" w14:textId="1D3EA574" w:rsidR="007F443B" w:rsidRDefault="007F443B" w:rsidP="00CE2D62">
            <w:pPr>
              <w:rPr>
                <w:lang w:val="en-US"/>
              </w:rPr>
            </w:pPr>
            <w:r>
              <w:rPr>
                <w:rFonts w:hint="eastAsia"/>
                <w:lang w:val="en-US"/>
              </w:rPr>
              <w:t>L</w:t>
            </w:r>
            <w:r>
              <w:rPr>
                <w:lang w:val="en-US"/>
              </w:rPr>
              <w:t>ow</w:t>
            </w:r>
          </w:p>
        </w:tc>
      </w:tr>
      <w:tr w:rsidR="007F443B" w14:paraId="0B437FC9" w14:textId="77777777" w:rsidTr="007F443B">
        <w:tc>
          <w:tcPr>
            <w:tcW w:w="3318" w:type="dxa"/>
          </w:tcPr>
          <w:p w14:paraId="03B00475" w14:textId="66B7B35F" w:rsidR="007F443B" w:rsidRDefault="007F443B" w:rsidP="00CE2D62">
            <w:pPr>
              <w:rPr>
                <w:lang w:val="en-US"/>
              </w:rPr>
            </w:pPr>
            <w:r>
              <w:rPr>
                <w:rFonts w:hint="eastAsia"/>
                <w:lang w:val="en-US"/>
              </w:rPr>
              <w:t>D</w:t>
            </w:r>
            <w:r>
              <w:rPr>
                <w:lang w:val="en-US"/>
              </w:rPr>
              <w:t xml:space="preserve">oppler shift </w:t>
            </w:r>
            <w:bookmarkStart w:id="4" w:name="_Hlk115367196"/>
            <w:r>
              <w:rPr>
                <w:lang w:val="en-US"/>
              </w:rPr>
              <w:t>tolerance</w:t>
            </w:r>
            <w:bookmarkEnd w:id="4"/>
          </w:p>
        </w:tc>
        <w:tc>
          <w:tcPr>
            <w:tcW w:w="3318" w:type="dxa"/>
          </w:tcPr>
          <w:p w14:paraId="12A7B6F3" w14:textId="516927E2" w:rsidR="007F443B" w:rsidRDefault="007F443B" w:rsidP="00CE2D62">
            <w:pPr>
              <w:rPr>
                <w:lang w:val="en-US"/>
              </w:rPr>
            </w:pPr>
            <w:r>
              <w:rPr>
                <w:rFonts w:hint="eastAsia"/>
                <w:lang w:val="en-US"/>
              </w:rPr>
              <w:t>B</w:t>
            </w:r>
            <w:r>
              <w:rPr>
                <w:lang w:val="en-US"/>
              </w:rPr>
              <w:t>etter</w:t>
            </w:r>
          </w:p>
        </w:tc>
        <w:tc>
          <w:tcPr>
            <w:tcW w:w="3318" w:type="dxa"/>
          </w:tcPr>
          <w:p w14:paraId="472255D4" w14:textId="0D102EE9" w:rsidR="007F443B" w:rsidRDefault="007F443B" w:rsidP="00CE2D62">
            <w:pPr>
              <w:rPr>
                <w:lang w:val="en-US"/>
              </w:rPr>
            </w:pPr>
            <w:r>
              <w:rPr>
                <w:rFonts w:hint="eastAsia"/>
                <w:lang w:val="en-US"/>
              </w:rPr>
              <w:t>R</w:t>
            </w:r>
            <w:r>
              <w:rPr>
                <w:lang w:val="en-US"/>
              </w:rPr>
              <w:t>elatively worse</w:t>
            </w:r>
          </w:p>
        </w:tc>
      </w:tr>
      <w:tr w:rsidR="007F443B" w14:paraId="60CEDE8C" w14:textId="77777777" w:rsidTr="007F443B">
        <w:tc>
          <w:tcPr>
            <w:tcW w:w="3318" w:type="dxa"/>
          </w:tcPr>
          <w:p w14:paraId="4E65722C" w14:textId="25F6C879" w:rsidR="007F443B" w:rsidRDefault="007F443B" w:rsidP="00CE2D62">
            <w:pPr>
              <w:rPr>
                <w:lang w:val="en-US"/>
              </w:rPr>
            </w:pPr>
            <w:r>
              <w:rPr>
                <w:rFonts w:hint="eastAsia"/>
                <w:lang w:val="en-US"/>
              </w:rPr>
              <w:t>M</w:t>
            </w:r>
            <w:r>
              <w:rPr>
                <w:lang w:val="en-US"/>
              </w:rPr>
              <w:t>ultiplexing with other SL-PRS</w:t>
            </w:r>
          </w:p>
        </w:tc>
        <w:tc>
          <w:tcPr>
            <w:tcW w:w="3318" w:type="dxa"/>
          </w:tcPr>
          <w:p w14:paraId="24D9E56B" w14:textId="46C6A8D6" w:rsidR="007F443B" w:rsidRDefault="007F443B" w:rsidP="00CE2D62">
            <w:pPr>
              <w:rPr>
                <w:lang w:val="en-US"/>
              </w:rPr>
            </w:pPr>
            <w:r>
              <w:rPr>
                <w:lang w:val="en-US"/>
              </w:rPr>
              <w:t>Quasi-orthogonal within the same comb</w:t>
            </w:r>
          </w:p>
        </w:tc>
        <w:tc>
          <w:tcPr>
            <w:tcW w:w="3318" w:type="dxa"/>
          </w:tcPr>
          <w:p w14:paraId="5642EEC5" w14:textId="495A44C3" w:rsidR="007F443B" w:rsidRDefault="007F443B" w:rsidP="00CE2D62">
            <w:pPr>
              <w:rPr>
                <w:lang w:val="en-US"/>
              </w:rPr>
            </w:pPr>
            <w:r>
              <w:rPr>
                <w:lang w:val="en-US"/>
              </w:rPr>
              <w:t>Orthogonal within the same comb</w:t>
            </w:r>
          </w:p>
        </w:tc>
      </w:tr>
      <w:tr w:rsidR="007F443B" w14:paraId="00557081" w14:textId="77777777" w:rsidTr="007F443B">
        <w:tc>
          <w:tcPr>
            <w:tcW w:w="3318" w:type="dxa"/>
          </w:tcPr>
          <w:p w14:paraId="315363F0" w14:textId="176D32F2" w:rsidR="007F443B" w:rsidRDefault="007F443B" w:rsidP="00CE2D62">
            <w:pPr>
              <w:rPr>
                <w:lang w:val="en-US"/>
              </w:rPr>
            </w:pPr>
            <w:r>
              <w:rPr>
                <w:rFonts w:hint="eastAsia"/>
                <w:lang w:val="en-US"/>
              </w:rPr>
              <w:t>M</w:t>
            </w:r>
            <w:r>
              <w:rPr>
                <w:lang w:val="en-US"/>
              </w:rPr>
              <w:t xml:space="preserve">ultiplexing with </w:t>
            </w:r>
            <w:proofErr w:type="gramStart"/>
            <w:r>
              <w:rPr>
                <w:lang w:val="en-US"/>
              </w:rPr>
              <w:t>other</w:t>
            </w:r>
            <w:proofErr w:type="gramEnd"/>
            <w:r>
              <w:rPr>
                <w:lang w:val="en-US"/>
              </w:rPr>
              <w:t xml:space="preserve"> signal</w:t>
            </w:r>
          </w:p>
        </w:tc>
        <w:tc>
          <w:tcPr>
            <w:tcW w:w="3318" w:type="dxa"/>
          </w:tcPr>
          <w:p w14:paraId="672DB152" w14:textId="21CBF81D" w:rsidR="007F443B" w:rsidRDefault="007F443B" w:rsidP="00CE2D62">
            <w:pPr>
              <w:rPr>
                <w:lang w:val="en-US"/>
              </w:rPr>
            </w:pPr>
            <w:proofErr w:type="spellStart"/>
            <w:r>
              <w:rPr>
                <w:lang w:val="en-US"/>
              </w:rPr>
              <w:t>FDMed</w:t>
            </w:r>
            <w:proofErr w:type="spellEnd"/>
            <w:r>
              <w:rPr>
                <w:lang w:val="en-US"/>
              </w:rPr>
              <w:t xml:space="preserve"> with the legacy SRS</w:t>
            </w:r>
          </w:p>
        </w:tc>
        <w:tc>
          <w:tcPr>
            <w:tcW w:w="3318" w:type="dxa"/>
          </w:tcPr>
          <w:p w14:paraId="5EF88D66" w14:textId="3553F846" w:rsidR="007F443B" w:rsidRDefault="007F443B" w:rsidP="00CE2D62">
            <w:pPr>
              <w:rPr>
                <w:lang w:val="en-US"/>
              </w:rPr>
            </w:pPr>
            <w:proofErr w:type="spellStart"/>
            <w:r>
              <w:rPr>
                <w:lang w:val="en-US"/>
              </w:rPr>
              <w:t>CDMed</w:t>
            </w:r>
            <w:proofErr w:type="spellEnd"/>
            <w:r>
              <w:rPr>
                <w:lang w:val="en-US"/>
              </w:rPr>
              <w:t>/</w:t>
            </w:r>
            <w:proofErr w:type="spellStart"/>
            <w:r>
              <w:rPr>
                <w:lang w:val="en-US"/>
              </w:rPr>
              <w:t>FDMed</w:t>
            </w:r>
            <w:proofErr w:type="spellEnd"/>
            <w:r>
              <w:rPr>
                <w:lang w:val="en-US"/>
              </w:rPr>
              <w:t xml:space="preserve"> with the legacy SRS</w:t>
            </w:r>
          </w:p>
        </w:tc>
      </w:tr>
    </w:tbl>
    <w:p w14:paraId="71DAA890" w14:textId="43F64C9C" w:rsidR="007F443B" w:rsidRDefault="007F443B" w:rsidP="00CE2D62">
      <w:pPr>
        <w:rPr>
          <w:lang w:val="en-US"/>
        </w:rPr>
      </w:pPr>
    </w:p>
    <w:p w14:paraId="7A5FD8F0" w14:textId="32E449F9" w:rsidR="00444C2B" w:rsidRDefault="00444C2B" w:rsidP="00CE2D62">
      <w:pPr>
        <w:rPr>
          <w:lang w:val="en-US"/>
        </w:rPr>
      </w:pPr>
      <w:r w:rsidRPr="00444C2B">
        <w:rPr>
          <w:lang w:val="en-US"/>
        </w:rPr>
        <w:t xml:space="preserve">Thus, there are pros and cons for each sequence and RAN1 should discuss how to down-select the SL-PRS sequence based on which </w:t>
      </w:r>
      <w:r w:rsidR="0071170A">
        <w:rPr>
          <w:rFonts w:hint="eastAsia"/>
          <w:lang w:val="en-US"/>
        </w:rPr>
        <w:t>aspect</w:t>
      </w:r>
      <w:r w:rsidR="0071170A">
        <w:rPr>
          <w:lang w:val="en-US"/>
        </w:rPr>
        <w:t xml:space="preserve"> </w:t>
      </w:r>
      <w:r w:rsidRPr="00444C2B">
        <w:rPr>
          <w:lang w:val="en-US"/>
        </w:rPr>
        <w:t xml:space="preserve">is </w:t>
      </w:r>
      <w:r w:rsidR="0071170A">
        <w:rPr>
          <w:lang w:val="en-US"/>
        </w:rPr>
        <w:t xml:space="preserve">more </w:t>
      </w:r>
      <w:r w:rsidRPr="00444C2B">
        <w:rPr>
          <w:lang w:val="en-US"/>
        </w:rPr>
        <w:t xml:space="preserve">important and prioritized </w:t>
      </w:r>
      <w:r w:rsidR="0071170A">
        <w:rPr>
          <w:lang w:val="en-US"/>
        </w:rPr>
        <w:t>for</w:t>
      </w:r>
      <w:r w:rsidRPr="00444C2B">
        <w:rPr>
          <w:lang w:val="en-US"/>
        </w:rPr>
        <w:t xml:space="preserve"> SL-PRS</w:t>
      </w:r>
      <w:r>
        <w:rPr>
          <w:lang w:val="en-US"/>
        </w:rPr>
        <w:t>.</w:t>
      </w:r>
    </w:p>
    <w:p w14:paraId="199BC409" w14:textId="77777777" w:rsidR="00C3208F" w:rsidRPr="007F443B" w:rsidRDefault="00C3208F" w:rsidP="007814B3">
      <w:pPr>
        <w:rPr>
          <w:lang w:val="en-US"/>
        </w:rPr>
      </w:pPr>
    </w:p>
    <w:p w14:paraId="2DBE6A83" w14:textId="2FDCA07A" w:rsidR="00AD1D61" w:rsidRDefault="00C3208F" w:rsidP="0071170A">
      <w:pPr>
        <w:pStyle w:val="20"/>
      </w:pPr>
      <w:r w:rsidRPr="00085803">
        <w:rPr>
          <w:rFonts w:hint="eastAsia"/>
        </w:rPr>
        <w:t>S</w:t>
      </w:r>
      <w:r>
        <w:t xml:space="preserve">L-PRS </w:t>
      </w:r>
      <w:r w:rsidRPr="00381C29">
        <w:rPr>
          <w:rFonts w:hint="eastAsia"/>
        </w:rPr>
        <w:t>Configuration/</w:t>
      </w:r>
      <w:r w:rsidR="00E74109" w:rsidRPr="00381C29">
        <w:rPr>
          <w:rFonts w:hint="eastAsia"/>
        </w:rPr>
        <w:t>Activation</w:t>
      </w:r>
      <w:r w:rsidR="00E74109">
        <w:t>/Dea</w:t>
      </w:r>
      <w:r w:rsidR="00E74109" w:rsidRPr="00381C29">
        <w:rPr>
          <w:rFonts w:hint="eastAsia"/>
        </w:rPr>
        <w:t>ctivation</w:t>
      </w:r>
      <w:r w:rsidR="00E74109">
        <w:t>/</w:t>
      </w:r>
      <w:r w:rsidRPr="00381C29">
        <w:rPr>
          <w:rFonts w:hint="eastAsia"/>
        </w:rPr>
        <w:t>Triggering/</w:t>
      </w:r>
    </w:p>
    <w:p w14:paraId="253B423F" w14:textId="79BA5DDB" w:rsidR="00876519" w:rsidRPr="00876519" w:rsidRDefault="00876519" w:rsidP="00876519">
      <w:r>
        <w:rPr>
          <w:lang w:val="en-US"/>
        </w:rPr>
        <w:t xml:space="preserve">In last RAN1 meeting, the following agreement </w:t>
      </w:r>
      <w:r w:rsidR="009B2D39">
        <w:rPr>
          <w:lang w:eastAsia="zh-CN"/>
        </w:rPr>
        <w:t>was achieved</w:t>
      </w:r>
      <w:r>
        <w:rPr>
          <w:lang w:val="en-US"/>
        </w:rPr>
        <w:t xml:space="preserve"> [2].</w:t>
      </w:r>
    </w:p>
    <w:tbl>
      <w:tblPr>
        <w:tblStyle w:val="af2"/>
        <w:tblW w:w="0" w:type="auto"/>
        <w:tblLook w:val="04A0" w:firstRow="1" w:lastRow="0" w:firstColumn="1" w:lastColumn="0" w:noHBand="0" w:noVBand="1"/>
      </w:tblPr>
      <w:tblGrid>
        <w:gridCol w:w="9954"/>
      </w:tblGrid>
      <w:tr w:rsidR="00110CB4" w:rsidRPr="007C3E3D" w14:paraId="0D2A7390" w14:textId="77777777" w:rsidTr="00D16408">
        <w:tc>
          <w:tcPr>
            <w:tcW w:w="9954" w:type="dxa"/>
          </w:tcPr>
          <w:p w14:paraId="164BB625" w14:textId="28A8454F" w:rsidR="00C65C8C" w:rsidRPr="00C65C8C" w:rsidRDefault="00C65C8C" w:rsidP="00C65C8C">
            <w:pPr>
              <w:rPr>
                <w:b/>
                <w:bCs/>
                <w:highlight w:val="green"/>
                <w:u w:val="single"/>
                <w:lang w:val="en-US"/>
              </w:rPr>
            </w:pPr>
            <w:bookmarkStart w:id="5" w:name="_Hlk113285921"/>
            <w:r w:rsidRPr="00C65C8C">
              <w:rPr>
                <w:b/>
                <w:bCs/>
                <w:highlight w:val="green"/>
                <w:u w:val="single"/>
                <w:lang w:val="en-US"/>
              </w:rPr>
              <w:t>Agreement in RAN1#109-e</w:t>
            </w:r>
          </w:p>
          <w:p w14:paraId="7197545F" w14:textId="77777777" w:rsidR="00C65C8C" w:rsidRPr="00C65C8C" w:rsidRDefault="00C65C8C" w:rsidP="00C65C8C">
            <w:r w:rsidRPr="00C65C8C">
              <w:t>With regards to the configuration/activation/deactivation/triggering of SL-PRS, study the following options:</w:t>
            </w:r>
          </w:p>
          <w:p w14:paraId="558CC3C9" w14:textId="77777777" w:rsidR="00C65C8C" w:rsidRPr="00C65C8C" w:rsidRDefault="00C65C8C" w:rsidP="00C65C8C">
            <w:pPr>
              <w:numPr>
                <w:ilvl w:val="0"/>
                <w:numId w:val="18"/>
              </w:numPr>
            </w:pPr>
            <w:r w:rsidRPr="00C65C8C">
              <w:t xml:space="preserve">Option 1: High-layer-only </w:t>
            </w:r>
            <w:proofErr w:type="spellStart"/>
            <w:r w:rsidRPr="00C65C8C">
              <w:t>signaling</w:t>
            </w:r>
            <w:proofErr w:type="spellEnd"/>
            <w:r w:rsidRPr="00C65C8C">
              <w:t xml:space="preserve"> involvement in the SL-PRS configuration</w:t>
            </w:r>
          </w:p>
          <w:p w14:paraId="143FD8DA" w14:textId="77777777" w:rsidR="00C65C8C" w:rsidRPr="00C65C8C" w:rsidRDefault="00C65C8C" w:rsidP="00C65C8C">
            <w:pPr>
              <w:numPr>
                <w:ilvl w:val="1"/>
                <w:numId w:val="18"/>
              </w:numPr>
            </w:pPr>
            <w:r w:rsidRPr="00C65C8C">
              <w:t xml:space="preserve">No Lower layer involvement, e.g., SL-MAC-CE or SCI or DCI, for the activation or the triggering of a SL-PRS. </w:t>
            </w:r>
          </w:p>
          <w:p w14:paraId="706EED12" w14:textId="77777777" w:rsidR="00C65C8C" w:rsidRPr="00C65C8C" w:rsidRDefault="00C65C8C" w:rsidP="00C65C8C">
            <w:pPr>
              <w:numPr>
                <w:ilvl w:val="1"/>
                <w:numId w:val="18"/>
              </w:numPr>
            </w:pPr>
            <w:r w:rsidRPr="00C65C8C">
              <w:t>Based on the study, this option may correspond to</w:t>
            </w:r>
          </w:p>
          <w:p w14:paraId="6A89CF7C" w14:textId="77777777" w:rsidR="00C65C8C" w:rsidRPr="00C65C8C" w:rsidRDefault="00C65C8C" w:rsidP="00C65C8C">
            <w:pPr>
              <w:numPr>
                <w:ilvl w:val="2"/>
                <w:numId w:val="18"/>
              </w:numPr>
            </w:pPr>
            <w:r w:rsidRPr="00C65C8C">
              <w:t xml:space="preserve">A SL-PRS configuration that is a single-shot or multiple shots </w:t>
            </w:r>
          </w:p>
          <w:p w14:paraId="43E9C34E" w14:textId="77777777" w:rsidR="00C65C8C" w:rsidRPr="00C65C8C" w:rsidRDefault="00C65C8C" w:rsidP="00C65C8C">
            <w:pPr>
              <w:numPr>
                <w:ilvl w:val="2"/>
                <w:numId w:val="18"/>
              </w:numPr>
            </w:pPr>
            <w:r w:rsidRPr="00C65C8C">
              <w:t xml:space="preserve">A high-layer configuration that may be received from an LMF, a </w:t>
            </w:r>
            <w:proofErr w:type="spellStart"/>
            <w:r w:rsidRPr="00C65C8C">
              <w:t>gNB</w:t>
            </w:r>
            <w:proofErr w:type="spellEnd"/>
            <w:r w:rsidRPr="00C65C8C">
              <w:t>, or a UE</w:t>
            </w:r>
          </w:p>
          <w:p w14:paraId="79F65974" w14:textId="77777777" w:rsidR="00C65C8C" w:rsidRPr="00C65C8C" w:rsidRDefault="00C65C8C" w:rsidP="00C65C8C">
            <w:pPr>
              <w:numPr>
                <w:ilvl w:val="0"/>
                <w:numId w:val="18"/>
              </w:numPr>
            </w:pPr>
            <w:r w:rsidRPr="00C65C8C">
              <w:t xml:space="preserve">Option 2: High-layer and lower-layer </w:t>
            </w:r>
            <w:proofErr w:type="spellStart"/>
            <w:r w:rsidRPr="00C65C8C">
              <w:t>signaling</w:t>
            </w:r>
            <w:proofErr w:type="spellEnd"/>
            <w:r w:rsidRPr="00C65C8C">
              <w:t xml:space="preserve"> involvement in the SL-PRS configuration</w:t>
            </w:r>
          </w:p>
          <w:p w14:paraId="7AD2BA56" w14:textId="77777777" w:rsidR="00C65C8C" w:rsidRPr="00C65C8C" w:rsidRDefault="00C65C8C" w:rsidP="00C65C8C">
            <w:pPr>
              <w:numPr>
                <w:ilvl w:val="1"/>
                <w:numId w:val="18"/>
              </w:numPr>
            </w:pPr>
            <w:r w:rsidRPr="00C65C8C">
              <w:t>Lower-layer may correspond to SL-MAC-CE, or SCI, or DCI</w:t>
            </w:r>
          </w:p>
          <w:p w14:paraId="0143778C" w14:textId="77777777" w:rsidR="00C65C8C" w:rsidRPr="00C65C8C" w:rsidRDefault="00C65C8C" w:rsidP="00C65C8C">
            <w:pPr>
              <w:numPr>
                <w:ilvl w:val="1"/>
                <w:numId w:val="18"/>
              </w:numPr>
            </w:pPr>
            <w:r w:rsidRPr="00C65C8C">
              <w:t xml:space="preserve">For example, high layer </w:t>
            </w:r>
            <w:proofErr w:type="spellStart"/>
            <w:r w:rsidRPr="00C65C8C">
              <w:t>signaling</w:t>
            </w:r>
            <w:proofErr w:type="spellEnd"/>
            <w:r w:rsidRPr="00C65C8C">
              <w:t xml:space="preserve"> can may be used for SL-PRS configuration and lower layer </w:t>
            </w:r>
            <w:proofErr w:type="spellStart"/>
            <w:r w:rsidRPr="00C65C8C">
              <w:t>signaling</w:t>
            </w:r>
            <w:proofErr w:type="spellEnd"/>
            <w:r w:rsidRPr="00C65C8C">
              <w:t xml:space="preserve"> can may be used for initiating SL positioning and/or configuration/triggering/activating/deactivating/indicating and potential resource indication/reservation transmission of SL-PRS.</w:t>
            </w:r>
          </w:p>
          <w:p w14:paraId="144DE48B" w14:textId="77777777" w:rsidR="00C65C8C" w:rsidRPr="00C65C8C" w:rsidRDefault="00C65C8C" w:rsidP="00C65C8C">
            <w:pPr>
              <w:numPr>
                <w:ilvl w:val="0"/>
                <w:numId w:val="18"/>
              </w:numPr>
            </w:pPr>
            <w:r w:rsidRPr="00C65C8C">
              <w:t xml:space="preserve">Option 3: Only lower-layer </w:t>
            </w:r>
            <w:proofErr w:type="spellStart"/>
            <w:r w:rsidRPr="00C65C8C">
              <w:t>signaling</w:t>
            </w:r>
            <w:proofErr w:type="spellEnd"/>
            <w:r w:rsidRPr="00C65C8C">
              <w:t xml:space="preserve"> involvement in the SL-PRS configuration</w:t>
            </w:r>
          </w:p>
          <w:p w14:paraId="0B456232" w14:textId="77777777" w:rsidR="00C65C8C" w:rsidRPr="00C65C8C" w:rsidRDefault="00C65C8C" w:rsidP="00C65C8C">
            <w:pPr>
              <w:numPr>
                <w:ilvl w:val="1"/>
                <w:numId w:val="18"/>
              </w:numPr>
            </w:pPr>
            <w:r w:rsidRPr="00C65C8C">
              <w:t>Lower-layer may correspond to SL-MAC-CE, or SCI, or DCI</w:t>
            </w:r>
          </w:p>
          <w:p w14:paraId="6F78D357" w14:textId="23C2E55F" w:rsidR="00C65C8C" w:rsidRPr="005035A4" w:rsidRDefault="00C65C8C" w:rsidP="00484441">
            <w:pPr>
              <w:numPr>
                <w:ilvl w:val="0"/>
                <w:numId w:val="18"/>
              </w:numPr>
            </w:pPr>
            <w:r w:rsidRPr="00C65C8C">
              <w:t>Note 1: Include aspects in the study related to flexibility, overhead, latency, and reliability as/if needed.</w:t>
            </w:r>
          </w:p>
          <w:p w14:paraId="117B1E93" w14:textId="5E461AC0" w:rsidR="00484441" w:rsidRPr="00484441" w:rsidRDefault="00D16408" w:rsidP="00484441">
            <w:pPr>
              <w:rPr>
                <w:highlight w:val="green"/>
              </w:rPr>
            </w:pPr>
            <w:r w:rsidRPr="00C65C8C">
              <w:rPr>
                <w:b/>
                <w:bCs/>
                <w:highlight w:val="green"/>
                <w:u w:val="single"/>
                <w:lang w:val="en-US"/>
              </w:rPr>
              <w:t>Agreement in RAN1#1</w:t>
            </w:r>
            <w:r>
              <w:rPr>
                <w:b/>
                <w:bCs/>
                <w:highlight w:val="green"/>
                <w:u w:val="single"/>
                <w:lang w:val="en-US"/>
              </w:rPr>
              <w:t>10</w:t>
            </w:r>
          </w:p>
          <w:p w14:paraId="3B509CE8" w14:textId="77777777" w:rsidR="00484441" w:rsidRPr="00484441" w:rsidRDefault="00484441" w:rsidP="00484441">
            <w:pPr>
              <w:numPr>
                <w:ilvl w:val="0"/>
                <w:numId w:val="33"/>
              </w:numPr>
            </w:pPr>
            <w:bookmarkStart w:id="6" w:name="_Hlk113541443"/>
            <w:r w:rsidRPr="00484441">
              <w:t>With regards to the configuration/activation/deactivation/triggering of SL-PRS, Option 3 from the previous corresponding RAN1 #109 agreement will not be considered further.</w:t>
            </w:r>
          </w:p>
          <w:bookmarkEnd w:id="6"/>
          <w:p w14:paraId="64D9A8B7" w14:textId="5E4CBC2C" w:rsidR="00110CB4" w:rsidRPr="00484441" w:rsidRDefault="00484441" w:rsidP="00020FD5">
            <w:pPr>
              <w:numPr>
                <w:ilvl w:val="0"/>
                <w:numId w:val="33"/>
              </w:numPr>
            </w:pPr>
            <w:r w:rsidRPr="00484441">
              <w:t>With regards to reservation of SL-PRS, it can be considered based on the Option 1 or Option 2 from the previous corresponding RAN1 #109 agreement.</w:t>
            </w:r>
          </w:p>
        </w:tc>
      </w:tr>
      <w:bookmarkEnd w:id="5"/>
    </w:tbl>
    <w:p w14:paraId="3B647CD8" w14:textId="77777777" w:rsidR="00110CB4" w:rsidRPr="00110CB4" w:rsidRDefault="00110CB4" w:rsidP="00110CB4"/>
    <w:p w14:paraId="08E11900" w14:textId="7E9DC459" w:rsidR="00A4020F" w:rsidRDefault="00680848" w:rsidP="00367E36">
      <w:r w:rsidRPr="00701B48">
        <w:rPr>
          <w:lang w:val="en-US"/>
        </w:rPr>
        <w:t xml:space="preserve">In </w:t>
      </w:r>
      <w:r>
        <w:rPr>
          <w:lang w:val="en-US"/>
        </w:rPr>
        <w:t>RAN1#110</w:t>
      </w:r>
      <w:r w:rsidRPr="00701B48">
        <w:rPr>
          <w:lang w:val="en-US"/>
        </w:rPr>
        <w:t>, it was agreed that</w:t>
      </w:r>
      <w:r>
        <w:rPr>
          <w:lang w:val="en-US"/>
        </w:rPr>
        <w:t xml:space="preserve"> </w:t>
      </w:r>
      <w:r w:rsidRPr="00680848">
        <w:rPr>
          <w:lang w:val="en-US"/>
        </w:rPr>
        <w:t xml:space="preserve">Option 3 </w:t>
      </w:r>
      <w:r>
        <w:rPr>
          <w:lang w:val="en-US"/>
        </w:rPr>
        <w:t>for</w:t>
      </w:r>
      <w:r w:rsidRPr="00680848">
        <w:rPr>
          <w:lang w:val="en-US"/>
        </w:rPr>
        <w:t xml:space="preserve"> the configuration/activation/deactivation/triggering of SL-PRS</w:t>
      </w:r>
      <w:r>
        <w:rPr>
          <w:lang w:val="en-US"/>
        </w:rPr>
        <w:t xml:space="preserve"> </w:t>
      </w:r>
      <w:r w:rsidRPr="00680848">
        <w:rPr>
          <w:lang w:val="en-US"/>
        </w:rPr>
        <w:t>will not be considered further.</w:t>
      </w:r>
      <w:r w:rsidR="0071170A">
        <w:rPr>
          <w:lang w:val="en-US"/>
        </w:rPr>
        <w:t xml:space="preserve"> </w:t>
      </w:r>
      <w:r w:rsidR="006D3853">
        <w:t>T</w:t>
      </w:r>
      <w:r w:rsidR="006D3853" w:rsidRPr="006D3853">
        <w:t>he</w:t>
      </w:r>
      <w:r w:rsidR="006D3853">
        <w:t xml:space="preserve"> agreement in RAN1#110, it was not clear which </w:t>
      </w:r>
      <w:r w:rsidR="00030B56">
        <w:t>option is app</w:t>
      </w:r>
      <w:r w:rsidR="00B260C8">
        <w:t>licable</w:t>
      </w:r>
      <w:r w:rsidR="00030B56">
        <w:t xml:space="preserve"> </w:t>
      </w:r>
      <w:r w:rsidR="00DB0368">
        <w:t>for</w:t>
      </w:r>
      <w:r w:rsidR="00030B56">
        <w:t xml:space="preserve"> each </w:t>
      </w:r>
      <w:r w:rsidR="006D3853">
        <w:t xml:space="preserve">link among </w:t>
      </w:r>
      <w:proofErr w:type="spellStart"/>
      <w:r w:rsidR="006D3853">
        <w:t>gNB</w:t>
      </w:r>
      <w:proofErr w:type="spellEnd"/>
      <w:r w:rsidR="006D3853">
        <w:t>, Tx UE and Rx UE.</w:t>
      </w:r>
      <w:r w:rsidR="0071170A">
        <w:t xml:space="preserve"> </w:t>
      </w:r>
      <w:r w:rsidR="00A4020F">
        <w:rPr>
          <w:rFonts w:hint="eastAsia"/>
        </w:rPr>
        <w:t>I</w:t>
      </w:r>
      <w:r w:rsidR="00A4020F">
        <w:t xml:space="preserve">n this section, </w:t>
      </w:r>
      <w:r w:rsidR="00B718FB">
        <w:t xml:space="preserve">we </w:t>
      </w:r>
      <w:r w:rsidR="00700C4A">
        <w:t>discuss</w:t>
      </w:r>
      <w:r w:rsidR="00B718FB">
        <w:t xml:space="preserve"> </w:t>
      </w:r>
      <w:r w:rsidR="00EA66E2">
        <w:t>if the Option 1 and/or the Option 2</w:t>
      </w:r>
      <w:r w:rsidR="00B260C8">
        <w:t xml:space="preserve"> </w:t>
      </w:r>
      <w:r w:rsidR="00EA66E2">
        <w:t xml:space="preserve">are applicable </w:t>
      </w:r>
      <w:r w:rsidR="00B718FB">
        <w:t xml:space="preserve">for each link among </w:t>
      </w:r>
      <w:proofErr w:type="spellStart"/>
      <w:r w:rsidR="00B718FB">
        <w:t>gNB</w:t>
      </w:r>
      <w:proofErr w:type="spellEnd"/>
      <w:r w:rsidR="00B718FB">
        <w:t>, Tx UE and Rx UE</w:t>
      </w:r>
      <w:r w:rsidR="005835E2">
        <w:t xml:space="preserve"> in the case of </w:t>
      </w:r>
      <w:r w:rsidR="00C772CD">
        <w:t xml:space="preserve">the </w:t>
      </w:r>
      <w:r w:rsidR="00C772CD" w:rsidRPr="00680848">
        <w:rPr>
          <w:lang w:val="en-US"/>
        </w:rPr>
        <w:t>configuration/activation/deactivation/triggering of SL-</w:t>
      </w:r>
      <w:r w:rsidR="00C772CD">
        <w:rPr>
          <w:lang w:val="en-US"/>
        </w:rPr>
        <w:t>PRS</w:t>
      </w:r>
      <w:r w:rsidR="00BC4AA5">
        <w:t>.</w:t>
      </w:r>
    </w:p>
    <w:p w14:paraId="0B8DC5D9" w14:textId="4DBA2F3F" w:rsidR="00DB332B" w:rsidRDefault="00D66EB9" w:rsidP="00891F6B">
      <w:r>
        <w:rPr>
          <w:rFonts w:hint="eastAsia"/>
        </w:rPr>
        <w:t>F</w:t>
      </w:r>
      <w:r>
        <w:t>igure 1 shows</w:t>
      </w:r>
      <w:r w:rsidR="0060644B">
        <w:t xml:space="preserve"> </w:t>
      </w:r>
      <w:proofErr w:type="spellStart"/>
      <w:r w:rsidR="00891F6B">
        <w:t>signaling</w:t>
      </w:r>
      <w:proofErr w:type="spellEnd"/>
      <w:r w:rsidR="00891F6B">
        <w:t xml:space="preserve"> schemes of each link of </w:t>
      </w:r>
      <w:r w:rsidR="00043A31">
        <w:t>4 cases (</w:t>
      </w:r>
      <w:proofErr w:type="spellStart"/>
      <w:r w:rsidR="00043A31">
        <w:t>gNB</w:t>
      </w:r>
      <w:proofErr w:type="spellEnd"/>
      <w:r w:rsidR="00043A31">
        <w:t xml:space="preserve">-Tx UE, </w:t>
      </w:r>
      <w:proofErr w:type="spellStart"/>
      <w:r w:rsidR="00043A31">
        <w:t>gNB</w:t>
      </w:r>
      <w:proofErr w:type="spellEnd"/>
      <w:r w:rsidR="00043A31">
        <w:t xml:space="preserve">-Rx UE, Rx UE-Tx UE, and Tx UE-Rx UE) </w:t>
      </w:r>
      <w:r w:rsidR="00891F6B">
        <w:t>for</w:t>
      </w:r>
      <w:r w:rsidR="00043A31">
        <w:t xml:space="preserve"> SL-PRS configuration</w:t>
      </w:r>
      <w:r w:rsidR="00043A31" w:rsidRPr="00381C29">
        <w:rPr>
          <w:rFonts w:hint="eastAsia"/>
          <w:bCs/>
        </w:rPr>
        <w:t>/Triggering/Activation</w:t>
      </w:r>
      <w:r w:rsidR="00BC4AA5">
        <w:t>.</w:t>
      </w:r>
    </w:p>
    <w:tbl>
      <w:tblPr>
        <w:tblStyle w:val="a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4"/>
      </w:tblGrid>
      <w:tr w:rsidR="00891F6B" w14:paraId="254692B9" w14:textId="77777777" w:rsidTr="00891F6B">
        <w:trPr>
          <w:jc w:val="center"/>
        </w:trPr>
        <w:tc>
          <w:tcPr>
            <w:tcW w:w="9954" w:type="dxa"/>
          </w:tcPr>
          <w:p w14:paraId="199FDF4F" w14:textId="04834C09" w:rsidR="00891F6B" w:rsidRPr="00891F6B" w:rsidRDefault="00630F17" w:rsidP="00344075">
            <w:r>
              <w:rPr>
                <w:noProof/>
                <w:lang w:val="en-US" w:eastAsia="zh-CN"/>
              </w:rPr>
              <w:drawing>
                <wp:inline distT="0" distB="0" distL="0" distR="0" wp14:anchorId="4DBEBB16" wp14:editId="4D806E39">
                  <wp:extent cx="6798733" cy="3875930"/>
                  <wp:effectExtent l="0" t="0" r="254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15003" cy="3885205"/>
                          </a:xfrm>
                          <a:prstGeom prst="rect">
                            <a:avLst/>
                          </a:prstGeom>
                          <a:noFill/>
                          <a:ln>
                            <a:noFill/>
                          </a:ln>
                        </pic:spPr>
                      </pic:pic>
                    </a:graphicData>
                  </a:graphic>
                </wp:inline>
              </w:drawing>
            </w:r>
          </w:p>
        </w:tc>
      </w:tr>
      <w:tr w:rsidR="00891F6B" w14:paraId="46613A1D" w14:textId="77777777" w:rsidTr="00891F6B">
        <w:trPr>
          <w:jc w:val="center"/>
        </w:trPr>
        <w:tc>
          <w:tcPr>
            <w:tcW w:w="9954" w:type="dxa"/>
          </w:tcPr>
          <w:p w14:paraId="1F777F74" w14:textId="2F271600" w:rsidR="00891F6B" w:rsidRPr="00891F6B" w:rsidRDefault="00891F6B" w:rsidP="00891F6B">
            <w:pPr>
              <w:jc w:val="center"/>
            </w:pPr>
            <w:r>
              <w:rPr>
                <w:rFonts w:hint="eastAsia"/>
              </w:rPr>
              <w:t>F</w:t>
            </w:r>
            <w:r>
              <w:t xml:space="preserve">igure </w:t>
            </w:r>
            <w:proofErr w:type="gramStart"/>
            <w:r>
              <w:t>1 :</w:t>
            </w:r>
            <w:proofErr w:type="gramEnd"/>
            <w:r>
              <w:t xml:space="preserve"> Each link among </w:t>
            </w:r>
            <w:proofErr w:type="spellStart"/>
            <w:r>
              <w:t>gNB</w:t>
            </w:r>
            <w:proofErr w:type="spellEnd"/>
            <w:r>
              <w:t>, Tx UE and Rx UE</w:t>
            </w:r>
          </w:p>
        </w:tc>
      </w:tr>
    </w:tbl>
    <w:p w14:paraId="66468803" w14:textId="0B98AE45" w:rsidR="00DB332B" w:rsidRDefault="00DB332B" w:rsidP="00344075"/>
    <w:p w14:paraId="73BEB9FC" w14:textId="44526E9E" w:rsidR="005835E2" w:rsidRPr="00684906" w:rsidRDefault="005835E2" w:rsidP="000E4BFB">
      <w:r>
        <w:rPr>
          <w:rFonts w:hint="eastAsia"/>
        </w:rPr>
        <w:t>C</w:t>
      </w:r>
      <w:r>
        <w:t>ase 1</w:t>
      </w:r>
      <w:r w:rsidR="00043A31">
        <w:t>)</w:t>
      </w:r>
      <w:r>
        <w:t xml:space="preserve"> shows </w:t>
      </w:r>
      <w:r w:rsidR="00A47233">
        <w:rPr>
          <w:lang w:val="en-US"/>
        </w:rPr>
        <w:t xml:space="preserve">signaling </w:t>
      </w:r>
      <w:r w:rsidR="00C66AF8">
        <w:t xml:space="preserve">in </w:t>
      </w:r>
      <w:r>
        <w:t xml:space="preserve">a link </w:t>
      </w:r>
      <w:r w:rsidR="00C00030">
        <w:t xml:space="preserve">from </w:t>
      </w:r>
      <w:proofErr w:type="spellStart"/>
      <w:r w:rsidR="00BC65DE">
        <w:t>gNB</w:t>
      </w:r>
      <w:proofErr w:type="spellEnd"/>
      <w:r w:rsidR="00BC65DE">
        <w:t xml:space="preserve"> to Tx UE. I</w:t>
      </w:r>
      <w:r w:rsidR="00A323E8">
        <w:t>f O</w:t>
      </w:r>
      <w:r w:rsidR="00BC65DE">
        <w:t>ption 1</w:t>
      </w:r>
      <w:r w:rsidR="00A323E8">
        <w:t xml:space="preserve"> is applied to the link</w:t>
      </w:r>
      <w:r w:rsidR="00BC65DE">
        <w:t xml:space="preserve">, </w:t>
      </w:r>
      <w:r w:rsidR="00C66AF8">
        <w:t>SL-PRS configuration is configured only in RRC</w:t>
      </w:r>
      <w:r w:rsidR="00C00030">
        <w:t xml:space="preserve"> because lower-layer </w:t>
      </w:r>
      <w:r w:rsidR="00A47233">
        <w:rPr>
          <w:lang w:val="en-US"/>
        </w:rPr>
        <w:t xml:space="preserve">signaling </w:t>
      </w:r>
      <w:r w:rsidR="00C00030">
        <w:t xml:space="preserve">is not involved. </w:t>
      </w:r>
      <w:r w:rsidR="00684906">
        <w:t>On the o</w:t>
      </w:r>
      <w:r w:rsidR="00C00030">
        <w:t xml:space="preserve">ther hand, if </w:t>
      </w:r>
      <w:r w:rsidR="00A323E8">
        <w:t>O</w:t>
      </w:r>
      <w:r w:rsidR="00C00030">
        <w:t>ption2 is applied to th</w:t>
      </w:r>
      <w:r w:rsidR="00C66AF8">
        <w:t>is</w:t>
      </w:r>
      <w:r w:rsidR="00C00030">
        <w:t xml:space="preserve"> link, </w:t>
      </w:r>
      <w:r w:rsidR="00923695">
        <w:t xml:space="preserve">semi-static </w:t>
      </w:r>
      <w:r w:rsidR="00C00030">
        <w:t xml:space="preserve">SL-PRS </w:t>
      </w:r>
      <w:r w:rsidR="00923695">
        <w:t xml:space="preserve">configuration such as </w:t>
      </w:r>
      <w:r w:rsidR="00C00030">
        <w:t xml:space="preserve">resource pool are configured </w:t>
      </w:r>
      <w:r w:rsidR="00923695">
        <w:t>in</w:t>
      </w:r>
      <w:r w:rsidR="00C00030">
        <w:t xml:space="preserve"> high</w:t>
      </w:r>
      <w:r w:rsidR="00923695">
        <w:t xml:space="preserve">er </w:t>
      </w:r>
      <w:r w:rsidR="00C00030">
        <w:t xml:space="preserve">layer and </w:t>
      </w:r>
      <w:proofErr w:type="spellStart"/>
      <w:r w:rsidR="00C00030">
        <w:t>gNB</w:t>
      </w:r>
      <w:proofErr w:type="spellEnd"/>
      <w:r w:rsidR="00C00030">
        <w:t xml:space="preserve"> </w:t>
      </w:r>
      <w:r w:rsidR="00923695">
        <w:t xml:space="preserve">indicates SL-PRS transmission by dynamic </w:t>
      </w:r>
      <w:r w:rsidR="00A47233">
        <w:rPr>
          <w:lang w:val="en-US"/>
        </w:rPr>
        <w:t xml:space="preserve">signaling </w:t>
      </w:r>
      <w:r w:rsidR="00E23E0B">
        <w:t>(</w:t>
      </w:r>
      <w:proofErr w:type="gramStart"/>
      <w:r w:rsidR="00E23E0B">
        <w:t>e.g.</w:t>
      </w:r>
      <w:proofErr w:type="gramEnd"/>
      <w:r w:rsidR="00E23E0B">
        <w:t xml:space="preserve"> DCI format 3_0)</w:t>
      </w:r>
      <w:r w:rsidR="00923695">
        <w:t>.</w:t>
      </w:r>
      <w:r w:rsidR="003C02E8">
        <w:t xml:space="preserve"> </w:t>
      </w:r>
      <w:r w:rsidR="00923695">
        <w:t xml:space="preserve">For example, </w:t>
      </w:r>
      <w:proofErr w:type="spellStart"/>
      <w:r w:rsidR="00923695">
        <w:t>gNB</w:t>
      </w:r>
      <w:proofErr w:type="spellEnd"/>
      <w:r w:rsidR="00923695">
        <w:t xml:space="preserve"> can indicate the SL-PRS transmission (</w:t>
      </w:r>
      <w:proofErr w:type="gramStart"/>
      <w:r w:rsidR="00923695">
        <w:t>i.e.</w:t>
      </w:r>
      <w:proofErr w:type="gramEnd"/>
      <w:r w:rsidR="00923695">
        <w:t xml:space="preserve"> trigger SL-PRS transmission</w:t>
      </w:r>
      <w:r w:rsidR="002B68AF">
        <w:t>, or activation/deactivation</w:t>
      </w:r>
      <w:r w:rsidR="00923695">
        <w:t>)</w:t>
      </w:r>
      <w:r w:rsidR="00684906">
        <w:t>.</w:t>
      </w:r>
      <w:r w:rsidR="0071170A">
        <w:t xml:space="preserve"> </w:t>
      </w:r>
      <w:r w:rsidR="00684906">
        <w:rPr>
          <w:rFonts w:hint="eastAsia"/>
        </w:rPr>
        <w:t>T</w:t>
      </w:r>
      <w:r w:rsidR="00684906">
        <w:t xml:space="preserve">herefore, </w:t>
      </w:r>
      <w:r w:rsidR="00923695">
        <w:t xml:space="preserve">both </w:t>
      </w:r>
      <w:r w:rsidR="00A323E8">
        <w:t>O</w:t>
      </w:r>
      <w:r w:rsidR="00684906">
        <w:t xml:space="preserve">ption 1 and </w:t>
      </w:r>
      <w:r w:rsidR="00A323E8">
        <w:t>O</w:t>
      </w:r>
      <w:r w:rsidR="00684906">
        <w:t>ption 2 are applicable in the link</w:t>
      </w:r>
      <w:r w:rsidR="00ED306B">
        <w:t xml:space="preserve"> of Case1</w:t>
      </w:r>
      <w:r w:rsidR="00684906">
        <w:t>.</w:t>
      </w:r>
    </w:p>
    <w:p w14:paraId="102DC24B" w14:textId="1362633F" w:rsidR="00ED306B" w:rsidRPr="00ED306B" w:rsidRDefault="009C58CF" w:rsidP="006F78A3">
      <w:pPr>
        <w:rPr>
          <w:lang w:val="en-US"/>
        </w:rPr>
      </w:pPr>
      <w:r>
        <w:rPr>
          <w:rFonts w:hint="eastAsia"/>
          <w:lang w:val="en-US"/>
        </w:rPr>
        <w:t>C</w:t>
      </w:r>
      <w:r>
        <w:rPr>
          <w:lang w:val="en-US"/>
        </w:rPr>
        <w:t>ase 2</w:t>
      </w:r>
      <w:r w:rsidR="00923695">
        <w:rPr>
          <w:lang w:val="en-US"/>
        </w:rPr>
        <w:t>)</w:t>
      </w:r>
      <w:r>
        <w:rPr>
          <w:lang w:val="en-US"/>
        </w:rPr>
        <w:t xml:space="preserve"> shows </w:t>
      </w:r>
      <w:r w:rsidR="00923695">
        <w:rPr>
          <w:lang w:val="en-US"/>
        </w:rPr>
        <w:t xml:space="preserve">signaling </w:t>
      </w:r>
      <w:r w:rsidR="00E74109">
        <w:rPr>
          <w:lang w:val="en-US"/>
        </w:rPr>
        <w:t>in</w:t>
      </w:r>
      <w:r w:rsidR="00923695">
        <w:rPr>
          <w:lang w:val="en-US"/>
        </w:rPr>
        <w:t xml:space="preserve"> </w:t>
      </w:r>
      <w:r>
        <w:rPr>
          <w:lang w:val="en-US"/>
        </w:rPr>
        <w:t xml:space="preserve">a link from </w:t>
      </w:r>
      <w:proofErr w:type="spellStart"/>
      <w:r>
        <w:rPr>
          <w:lang w:val="en-US"/>
        </w:rPr>
        <w:t>gNB</w:t>
      </w:r>
      <w:proofErr w:type="spellEnd"/>
      <w:r>
        <w:rPr>
          <w:lang w:val="en-US"/>
        </w:rPr>
        <w:t xml:space="preserve"> to </w:t>
      </w:r>
      <w:r w:rsidR="008B47AA">
        <w:rPr>
          <w:lang w:val="en-US"/>
        </w:rPr>
        <w:t>R</w:t>
      </w:r>
      <w:r>
        <w:rPr>
          <w:lang w:val="en-US"/>
        </w:rPr>
        <w:t>x UE.</w:t>
      </w:r>
      <w:r w:rsidR="0071170A">
        <w:rPr>
          <w:lang w:val="en-US"/>
        </w:rPr>
        <w:t xml:space="preserve"> </w:t>
      </w:r>
      <w:r w:rsidR="00A323E8">
        <w:rPr>
          <w:rFonts w:hint="eastAsia"/>
          <w:lang w:val="en-US"/>
        </w:rPr>
        <w:t>I</w:t>
      </w:r>
      <w:r w:rsidR="00A323E8">
        <w:rPr>
          <w:lang w:val="en-US"/>
        </w:rPr>
        <w:t xml:space="preserve">f Option 1 is applied to the link, </w:t>
      </w:r>
      <w:r w:rsidR="00243559">
        <w:rPr>
          <w:lang w:val="en-US"/>
        </w:rPr>
        <w:t xml:space="preserve">SL-PRS configuration and SL </w:t>
      </w:r>
      <w:r w:rsidR="003C02E8">
        <w:rPr>
          <w:lang w:val="en-US"/>
        </w:rPr>
        <w:t>resource pool</w:t>
      </w:r>
      <w:r w:rsidR="00243559">
        <w:rPr>
          <w:lang w:val="en-US"/>
        </w:rPr>
        <w:t xml:space="preserve"> to receive or monitor SL-PRS </w:t>
      </w:r>
      <w:r w:rsidR="003C02E8">
        <w:rPr>
          <w:lang w:val="en-US"/>
        </w:rPr>
        <w:t xml:space="preserve">are configured </w:t>
      </w:r>
      <w:r w:rsidR="00243559">
        <w:rPr>
          <w:lang w:val="en-US"/>
        </w:rPr>
        <w:t>only in RRC</w:t>
      </w:r>
      <w:r w:rsidR="003C02E8">
        <w:rPr>
          <w:lang w:val="en-US"/>
        </w:rPr>
        <w:t>.</w:t>
      </w:r>
      <w:r w:rsidR="0071170A">
        <w:rPr>
          <w:lang w:val="en-US"/>
        </w:rPr>
        <w:t xml:space="preserve"> </w:t>
      </w:r>
      <w:r w:rsidR="003C02E8">
        <w:rPr>
          <w:lang w:val="en-US"/>
        </w:rPr>
        <w:t xml:space="preserve">On the other hand, if Option 2 is applied to the link, </w:t>
      </w:r>
      <w:r w:rsidR="002B68AF">
        <w:rPr>
          <w:lang w:val="en-US"/>
        </w:rPr>
        <w:t>the dynamically indication to receive SL-PRS from Tx UE is indicated to the Rx UE</w:t>
      </w:r>
      <w:r w:rsidR="003C02E8">
        <w:rPr>
          <w:lang w:val="en-US"/>
        </w:rPr>
        <w:t>.</w:t>
      </w:r>
      <w:r w:rsidR="002B68AF">
        <w:rPr>
          <w:lang w:val="en-US"/>
        </w:rPr>
        <w:t xml:space="preserve"> </w:t>
      </w:r>
      <w:r w:rsidR="00ED306B">
        <w:rPr>
          <w:lang w:val="en-US"/>
        </w:rPr>
        <w:t xml:space="preserve">However, it is </w:t>
      </w:r>
      <w:r w:rsidR="002B68AF">
        <w:rPr>
          <w:lang w:val="en-US"/>
        </w:rPr>
        <w:t>un</w:t>
      </w:r>
      <w:r w:rsidR="00ED306B">
        <w:rPr>
          <w:lang w:val="en-US"/>
        </w:rPr>
        <w:t xml:space="preserve">clear </w:t>
      </w:r>
      <w:r w:rsidR="002B68AF">
        <w:rPr>
          <w:lang w:val="en-US"/>
        </w:rPr>
        <w:t>that this indication is needed, and our views is that this kind of signaling is not necessary</w:t>
      </w:r>
      <w:r w:rsidR="00ED306B">
        <w:rPr>
          <w:lang w:val="en-US"/>
        </w:rPr>
        <w:t>.</w:t>
      </w:r>
      <w:r w:rsidR="0071170A">
        <w:rPr>
          <w:lang w:val="en-US"/>
        </w:rPr>
        <w:t xml:space="preserve"> </w:t>
      </w:r>
      <w:r w:rsidR="00444C2B">
        <w:rPr>
          <w:rFonts w:hint="eastAsia"/>
          <w:lang w:val="en-US"/>
        </w:rPr>
        <w:t xml:space="preserve">From our perspective, </w:t>
      </w:r>
      <w:r w:rsidR="00444C2B">
        <w:rPr>
          <w:lang w:val="en-US"/>
        </w:rPr>
        <w:t xml:space="preserve">only </w:t>
      </w:r>
      <w:r w:rsidR="00444C2B" w:rsidRPr="00D67737">
        <w:rPr>
          <w:lang w:val="en-US"/>
        </w:rPr>
        <w:t>higher-layer signaling would be sufficient, because the network does</w:t>
      </w:r>
      <w:r w:rsidR="0071170A">
        <w:rPr>
          <w:lang w:val="en-US"/>
        </w:rPr>
        <w:t xml:space="preserve"> not</w:t>
      </w:r>
      <w:r w:rsidR="00444C2B" w:rsidRPr="00D67737">
        <w:rPr>
          <w:lang w:val="en-US"/>
        </w:rPr>
        <w:t xml:space="preserve"> know the actual timing (with slot-level) at which the</w:t>
      </w:r>
      <w:r w:rsidR="00444C2B">
        <w:rPr>
          <w:lang w:val="en-US"/>
        </w:rPr>
        <w:t xml:space="preserve"> Rx UE</w:t>
      </w:r>
      <w:r w:rsidR="00444C2B" w:rsidRPr="00D67737">
        <w:rPr>
          <w:lang w:val="en-US"/>
        </w:rPr>
        <w:t xml:space="preserve"> finishes the measurement</w:t>
      </w:r>
      <w:r w:rsidR="00444C2B">
        <w:rPr>
          <w:lang w:val="en-US"/>
        </w:rPr>
        <w:t>.</w:t>
      </w:r>
      <w:r w:rsidR="0071170A">
        <w:rPr>
          <w:lang w:val="en-US"/>
        </w:rPr>
        <w:t xml:space="preserve"> </w:t>
      </w:r>
      <w:r w:rsidR="00444C2B">
        <w:rPr>
          <w:lang w:val="en-US"/>
        </w:rPr>
        <w:t>In addition, it</w:t>
      </w:r>
      <w:r w:rsidR="0071170A">
        <w:rPr>
          <w:lang w:val="en-US"/>
        </w:rPr>
        <w:t xml:space="preserve"> i</w:t>
      </w:r>
      <w:r w:rsidR="00444C2B">
        <w:rPr>
          <w:lang w:val="en-US"/>
        </w:rPr>
        <w:t>s unclear whether</w:t>
      </w:r>
      <w:r w:rsidR="00444C2B" w:rsidRPr="00D67737">
        <w:rPr>
          <w:lang w:val="en-US"/>
        </w:rPr>
        <w:t xml:space="preserve"> </w:t>
      </w:r>
      <w:r w:rsidR="00444C2B">
        <w:rPr>
          <w:lang w:val="en-US"/>
        </w:rPr>
        <w:t>the dynamic signaling</w:t>
      </w:r>
      <w:r w:rsidR="00444C2B" w:rsidRPr="00D67737">
        <w:rPr>
          <w:lang w:val="en-US"/>
        </w:rPr>
        <w:t xml:space="preserve"> helps to reduce power consumption </w:t>
      </w:r>
      <w:r w:rsidR="00444C2B">
        <w:rPr>
          <w:lang w:val="en-US"/>
        </w:rPr>
        <w:t xml:space="preserve">due to the dynamic turn </w:t>
      </w:r>
      <w:proofErr w:type="gramStart"/>
      <w:r w:rsidR="00444C2B">
        <w:rPr>
          <w:lang w:val="en-US"/>
        </w:rPr>
        <w:t>off of</w:t>
      </w:r>
      <w:proofErr w:type="gramEnd"/>
      <w:r w:rsidR="00444C2B">
        <w:rPr>
          <w:lang w:val="en-US"/>
        </w:rPr>
        <w:t xml:space="preserve"> the SL-PRS reception</w:t>
      </w:r>
      <w:r w:rsidR="00444C2B" w:rsidRPr="00D67737">
        <w:rPr>
          <w:lang w:val="en-US"/>
        </w:rPr>
        <w:t xml:space="preserve">, because the RX UE can stop measurement right after it finished the </w:t>
      </w:r>
      <w:r w:rsidR="003E5ADF" w:rsidRPr="00D67737">
        <w:rPr>
          <w:lang w:val="en-US"/>
        </w:rPr>
        <w:t>measurement</w:t>
      </w:r>
      <w:r w:rsidR="00444C2B" w:rsidRPr="00D67737">
        <w:rPr>
          <w:lang w:val="en-US"/>
        </w:rPr>
        <w:t>.</w:t>
      </w:r>
      <w:r w:rsidR="0071170A">
        <w:rPr>
          <w:lang w:val="en-US"/>
        </w:rPr>
        <w:t xml:space="preserve"> </w:t>
      </w:r>
      <w:r w:rsidR="00ED306B">
        <w:rPr>
          <w:lang w:val="en-US"/>
        </w:rPr>
        <w:t xml:space="preserve">Therefore, Option 2 is not </w:t>
      </w:r>
      <w:r w:rsidR="002F3CC2">
        <w:rPr>
          <w:lang w:val="en-US"/>
        </w:rPr>
        <w:t xml:space="preserve">suitable </w:t>
      </w:r>
      <w:r w:rsidR="002B68AF">
        <w:rPr>
          <w:lang w:val="en-US"/>
        </w:rPr>
        <w:t>to</w:t>
      </w:r>
      <w:r w:rsidR="00ED306B">
        <w:rPr>
          <w:lang w:val="en-US"/>
        </w:rPr>
        <w:t xml:space="preserve"> th</w:t>
      </w:r>
      <w:r w:rsidR="002B68AF">
        <w:rPr>
          <w:lang w:val="en-US"/>
        </w:rPr>
        <w:t>is</w:t>
      </w:r>
      <w:r w:rsidR="00ED306B">
        <w:rPr>
          <w:lang w:val="en-US"/>
        </w:rPr>
        <w:t xml:space="preserve"> link unless </w:t>
      </w:r>
      <w:r w:rsidR="002B68AF">
        <w:rPr>
          <w:lang w:val="en-US"/>
        </w:rPr>
        <w:t>it will be clear which indication is needed</w:t>
      </w:r>
      <w:r w:rsidR="00ED306B">
        <w:rPr>
          <w:lang w:val="en-US"/>
        </w:rPr>
        <w:t>.</w:t>
      </w:r>
    </w:p>
    <w:p w14:paraId="73CB5CBA" w14:textId="4A8362C5" w:rsidR="008B47AA" w:rsidRPr="009C58CF" w:rsidRDefault="009C58CF" w:rsidP="009C58CF">
      <w:pPr>
        <w:rPr>
          <w:lang w:val="en-US"/>
        </w:rPr>
      </w:pPr>
      <w:r>
        <w:rPr>
          <w:rFonts w:hint="eastAsia"/>
          <w:lang w:val="en-US"/>
        </w:rPr>
        <w:t>C</w:t>
      </w:r>
      <w:r>
        <w:rPr>
          <w:lang w:val="en-US"/>
        </w:rPr>
        <w:t>ase 3</w:t>
      </w:r>
      <w:r w:rsidR="002B68AF">
        <w:rPr>
          <w:lang w:val="en-US"/>
        </w:rPr>
        <w:t>)</w:t>
      </w:r>
      <w:r>
        <w:rPr>
          <w:lang w:val="en-US"/>
        </w:rPr>
        <w:t xml:space="preserve"> shows </w:t>
      </w:r>
      <w:r w:rsidR="002B68AF">
        <w:rPr>
          <w:lang w:val="en-US"/>
        </w:rPr>
        <w:t xml:space="preserve">signaling </w:t>
      </w:r>
      <w:r w:rsidR="002B71A0">
        <w:t>in a link from</w:t>
      </w:r>
      <w:r>
        <w:rPr>
          <w:lang w:val="en-US"/>
        </w:rPr>
        <w:t xml:space="preserve"> Rx</w:t>
      </w:r>
      <w:r w:rsidR="003978B4">
        <w:rPr>
          <w:lang w:val="en-US"/>
        </w:rPr>
        <w:t xml:space="preserve"> UE</w:t>
      </w:r>
      <w:r>
        <w:rPr>
          <w:lang w:val="en-US"/>
        </w:rPr>
        <w:t xml:space="preserve"> to Tx UE.</w:t>
      </w:r>
      <w:r w:rsidR="0071170A">
        <w:rPr>
          <w:lang w:val="en-US"/>
        </w:rPr>
        <w:t xml:space="preserve"> </w:t>
      </w:r>
      <w:r w:rsidR="008B47AA">
        <w:rPr>
          <w:rFonts w:hint="eastAsia"/>
          <w:lang w:val="en-US"/>
        </w:rPr>
        <w:t>I</w:t>
      </w:r>
      <w:r w:rsidR="008B47AA">
        <w:rPr>
          <w:lang w:val="en-US"/>
        </w:rPr>
        <w:t xml:space="preserve">n </w:t>
      </w:r>
      <w:r w:rsidR="002B68AF">
        <w:rPr>
          <w:lang w:val="en-US"/>
        </w:rPr>
        <w:t>this case</w:t>
      </w:r>
      <w:r w:rsidR="008B47AA">
        <w:rPr>
          <w:lang w:val="en-US"/>
        </w:rPr>
        <w:t>, SL-PRS configuration sending by Tx UE is determined by Rx UE</w:t>
      </w:r>
      <w:r w:rsidR="00E26AFD">
        <w:rPr>
          <w:lang w:val="en-US"/>
        </w:rPr>
        <w:t xml:space="preserve"> by higher layer signaling</w:t>
      </w:r>
      <w:r w:rsidR="008B47AA">
        <w:rPr>
          <w:lang w:val="en-US"/>
        </w:rPr>
        <w:t>.</w:t>
      </w:r>
      <w:r w:rsidR="0071170A">
        <w:rPr>
          <w:lang w:val="en-US"/>
        </w:rPr>
        <w:t xml:space="preserve"> </w:t>
      </w:r>
      <w:r w:rsidR="008B47AA">
        <w:rPr>
          <w:rFonts w:hint="eastAsia"/>
          <w:lang w:val="en-US"/>
        </w:rPr>
        <w:t>T</w:t>
      </w:r>
      <w:r w:rsidR="008B47AA">
        <w:rPr>
          <w:lang w:val="en-US"/>
        </w:rPr>
        <w:t xml:space="preserve">his procedure does not exist in legacy </w:t>
      </w:r>
      <w:proofErr w:type="spellStart"/>
      <w:r w:rsidR="00916BD7">
        <w:rPr>
          <w:lang w:val="en-US"/>
        </w:rPr>
        <w:t>s</w:t>
      </w:r>
      <w:r w:rsidR="008B47AA">
        <w:rPr>
          <w:lang w:val="en-US"/>
        </w:rPr>
        <w:t>idelink</w:t>
      </w:r>
      <w:proofErr w:type="spellEnd"/>
      <w:r w:rsidR="008B47AA">
        <w:rPr>
          <w:lang w:val="en-US"/>
        </w:rPr>
        <w:t xml:space="preserve"> procedure.</w:t>
      </w:r>
      <w:r w:rsidR="0071170A">
        <w:rPr>
          <w:lang w:val="en-US"/>
        </w:rPr>
        <w:t xml:space="preserve"> </w:t>
      </w:r>
      <w:r w:rsidR="008B47AA">
        <w:rPr>
          <w:lang w:val="en-US"/>
        </w:rPr>
        <w:t>Therefore, whether the agreed signaling in RAN1#110 is applied needs further discussion</w:t>
      </w:r>
      <w:r w:rsidR="00E26AFD">
        <w:rPr>
          <w:lang w:val="en-US"/>
        </w:rPr>
        <w:t xml:space="preserve">, and our view is that this case is not needed in the </w:t>
      </w:r>
      <w:proofErr w:type="spellStart"/>
      <w:r w:rsidR="00E26AFD">
        <w:rPr>
          <w:lang w:val="en-US"/>
        </w:rPr>
        <w:t>sidelink</w:t>
      </w:r>
      <w:proofErr w:type="spellEnd"/>
      <w:r w:rsidR="00E26AFD">
        <w:rPr>
          <w:lang w:val="en-US"/>
        </w:rPr>
        <w:t xml:space="preserve"> positioning procedure from the viewpoint of SL-PRS configuration/</w:t>
      </w:r>
      <w:r w:rsidR="00E74109">
        <w:rPr>
          <w:lang w:val="en-US"/>
        </w:rPr>
        <w:t>activation/deactivation/</w:t>
      </w:r>
      <w:r w:rsidR="00E26AFD">
        <w:rPr>
          <w:lang w:val="en-US"/>
        </w:rPr>
        <w:t>triggering</w:t>
      </w:r>
      <w:r w:rsidR="008B47AA">
        <w:rPr>
          <w:lang w:val="en-US"/>
        </w:rPr>
        <w:t>.</w:t>
      </w:r>
    </w:p>
    <w:p w14:paraId="71673003" w14:textId="5FEF358A" w:rsidR="00344075" w:rsidRDefault="003978B4" w:rsidP="006F78A3">
      <w:pPr>
        <w:rPr>
          <w:lang w:val="en-US"/>
        </w:rPr>
      </w:pPr>
      <w:r>
        <w:rPr>
          <w:rFonts w:hint="eastAsia"/>
          <w:lang w:val="en-US"/>
        </w:rPr>
        <w:t>C</w:t>
      </w:r>
      <w:r>
        <w:rPr>
          <w:lang w:val="en-US"/>
        </w:rPr>
        <w:t xml:space="preserve">ase </w:t>
      </w:r>
      <w:r>
        <w:rPr>
          <w:rFonts w:hint="eastAsia"/>
          <w:lang w:val="en-US"/>
        </w:rPr>
        <w:t>4</w:t>
      </w:r>
      <w:r w:rsidR="002B71A0">
        <w:rPr>
          <w:lang w:val="en-US"/>
        </w:rPr>
        <w:t>)</w:t>
      </w:r>
      <w:r>
        <w:rPr>
          <w:lang w:val="en-US"/>
        </w:rPr>
        <w:t xml:space="preserve"> shows </w:t>
      </w:r>
      <w:r w:rsidR="00E26AFD">
        <w:rPr>
          <w:lang w:val="en-US"/>
        </w:rPr>
        <w:t xml:space="preserve">signaling </w:t>
      </w:r>
      <w:r w:rsidR="002B71A0">
        <w:t>in a link from</w:t>
      </w:r>
      <w:r>
        <w:rPr>
          <w:lang w:val="en-US"/>
        </w:rPr>
        <w:t xml:space="preserve"> Tx UE to Rx UE.</w:t>
      </w:r>
      <w:r w:rsidR="0071170A">
        <w:rPr>
          <w:lang w:val="en-US"/>
        </w:rPr>
        <w:t xml:space="preserve"> </w:t>
      </w:r>
      <w:r w:rsidR="00E23E0B">
        <w:rPr>
          <w:lang w:val="en-US"/>
        </w:rPr>
        <w:t xml:space="preserve">In this case, the higher layer signaling in this link may not be needed in in-coverage case because </w:t>
      </w:r>
      <w:proofErr w:type="spellStart"/>
      <w:r w:rsidR="00E23E0B">
        <w:rPr>
          <w:lang w:val="en-US"/>
        </w:rPr>
        <w:t>gNB</w:t>
      </w:r>
      <w:proofErr w:type="spellEnd"/>
      <w:r w:rsidR="00E23E0B">
        <w:rPr>
          <w:lang w:val="en-US"/>
        </w:rPr>
        <w:t xml:space="preserve"> can configure SL-PRS configuration.</w:t>
      </w:r>
      <w:r w:rsidR="0071170A">
        <w:rPr>
          <w:lang w:val="en-US"/>
        </w:rPr>
        <w:t xml:space="preserve"> </w:t>
      </w:r>
      <w:r w:rsidR="00E23E0B">
        <w:rPr>
          <w:rFonts w:hint="eastAsia"/>
          <w:lang w:val="en-US"/>
        </w:rPr>
        <w:t>O</w:t>
      </w:r>
      <w:r w:rsidR="00E23E0B">
        <w:rPr>
          <w:lang w:val="en-US"/>
        </w:rPr>
        <w:t>n the other hand, SCI can indicate SL-PRS transmission from Tx UE to Rx UE, and the Rx UE can receive SL-PRS based on the indication via SCI.</w:t>
      </w:r>
    </w:p>
    <w:p w14:paraId="408B798F" w14:textId="7B085727" w:rsidR="00445647" w:rsidRPr="00445647" w:rsidRDefault="00445647" w:rsidP="006F78A3">
      <w:pPr>
        <w:rPr>
          <w:b/>
          <w:bCs/>
          <w:u w:val="single"/>
          <w:lang w:val="en-US"/>
        </w:rPr>
      </w:pPr>
      <w:r>
        <w:rPr>
          <w:b/>
          <w:bCs/>
          <w:u w:val="single"/>
          <w:lang w:val="en-US"/>
        </w:rPr>
        <w:t>Observation 1:</w:t>
      </w:r>
    </w:p>
    <w:p w14:paraId="453EE13E" w14:textId="72A80CE5" w:rsidR="001461EC" w:rsidRDefault="0048756A" w:rsidP="00AD1D61">
      <w:r>
        <w:t xml:space="preserve">It was not clear which option is applicable for each link among </w:t>
      </w:r>
      <w:proofErr w:type="spellStart"/>
      <w:r>
        <w:t>gNB</w:t>
      </w:r>
      <w:proofErr w:type="spellEnd"/>
      <w:r>
        <w:t>, Tx UE and Rx UE.</w:t>
      </w:r>
    </w:p>
    <w:p w14:paraId="34039797" w14:textId="77777777" w:rsidR="0071170A" w:rsidRDefault="0071170A" w:rsidP="00AD1D61"/>
    <w:p w14:paraId="31161091" w14:textId="6C13CB45" w:rsidR="00B17C82" w:rsidRDefault="002F3CC2" w:rsidP="0071170A">
      <w:pPr>
        <w:pStyle w:val="20"/>
      </w:pPr>
      <w:r>
        <w:t xml:space="preserve">Mode 2 based </w:t>
      </w:r>
      <w:r w:rsidR="00B17C82" w:rsidRPr="00085803">
        <w:rPr>
          <w:rFonts w:hint="eastAsia"/>
        </w:rPr>
        <w:t>S</w:t>
      </w:r>
      <w:r w:rsidR="00B17C82">
        <w:t>L-PRS resource allocation</w:t>
      </w:r>
    </w:p>
    <w:p w14:paraId="36866A5C" w14:textId="040EA411" w:rsidR="00B17C82" w:rsidRPr="00876519" w:rsidRDefault="00B17C82" w:rsidP="00B17C82">
      <w:r>
        <w:rPr>
          <w:lang w:val="en-US"/>
        </w:rPr>
        <w:t>In RAN#110 meeting, the following were agreed,</w:t>
      </w:r>
    </w:p>
    <w:tbl>
      <w:tblPr>
        <w:tblStyle w:val="af2"/>
        <w:tblW w:w="0" w:type="auto"/>
        <w:tblLook w:val="04A0" w:firstRow="1" w:lastRow="0" w:firstColumn="1" w:lastColumn="0" w:noHBand="0" w:noVBand="1"/>
      </w:tblPr>
      <w:tblGrid>
        <w:gridCol w:w="9954"/>
      </w:tblGrid>
      <w:tr w:rsidR="00B17C82" w14:paraId="6945573C" w14:textId="77777777" w:rsidTr="00B17C82">
        <w:tc>
          <w:tcPr>
            <w:tcW w:w="9954" w:type="dxa"/>
          </w:tcPr>
          <w:p w14:paraId="7584D94A" w14:textId="77777777" w:rsidR="00B17C82" w:rsidRPr="007814B3" w:rsidRDefault="00B17C82" w:rsidP="00B17C82">
            <w:pPr>
              <w:snapToGrid/>
              <w:spacing w:after="0" w:afterAutospacing="0"/>
              <w:jc w:val="left"/>
              <w:rPr>
                <w:rFonts w:ascii="Times" w:eastAsia="SimSun" w:hAnsi="Times"/>
                <w:szCs w:val="24"/>
                <w:lang w:eastAsia="zh-CN"/>
              </w:rPr>
            </w:pPr>
            <w:r w:rsidRPr="007814B3">
              <w:rPr>
                <w:rFonts w:ascii="Times" w:eastAsia="SimSun" w:hAnsi="Times"/>
                <w:szCs w:val="24"/>
                <w:highlight w:val="green"/>
                <w:lang w:eastAsia="zh-CN"/>
              </w:rPr>
              <w:t>Agreement</w:t>
            </w:r>
          </w:p>
          <w:p w14:paraId="0490DA08" w14:textId="77777777" w:rsidR="00B17C82" w:rsidRPr="007814B3" w:rsidRDefault="00B17C82" w:rsidP="00B17C82">
            <w:pPr>
              <w:snapToGrid/>
              <w:spacing w:after="0" w:afterAutospacing="0"/>
              <w:jc w:val="left"/>
              <w:rPr>
                <w:rFonts w:ascii="Times" w:eastAsia="Batang" w:hAnsi="Times"/>
                <w:szCs w:val="24"/>
                <w:lang w:eastAsia="en-US"/>
              </w:rPr>
            </w:pPr>
            <w:r w:rsidRPr="007814B3">
              <w:rPr>
                <w:rFonts w:ascii="Times" w:eastAsia="Batang" w:hAnsi="Times"/>
                <w:szCs w:val="24"/>
                <w:lang w:eastAsia="en-US"/>
              </w:rPr>
              <w:t>With regards to the SL Positioning resource allocation, one of the following alternatives should be introduced for supporting SL positioning/ranging:</w:t>
            </w:r>
          </w:p>
          <w:p w14:paraId="440918FB" w14:textId="77777777" w:rsidR="00B17C82" w:rsidRPr="007814B3" w:rsidRDefault="00B17C82" w:rsidP="00B17C82">
            <w:pPr>
              <w:numPr>
                <w:ilvl w:val="0"/>
                <w:numId w:val="37"/>
              </w:numPr>
              <w:snapToGrid/>
              <w:spacing w:after="0" w:afterAutospacing="0"/>
              <w:jc w:val="left"/>
              <w:rPr>
                <w:rFonts w:ascii="Times" w:eastAsia="Batang" w:hAnsi="Times"/>
                <w:szCs w:val="24"/>
                <w:lang w:eastAsia="en-US"/>
              </w:rPr>
            </w:pPr>
            <w:r w:rsidRPr="007814B3">
              <w:rPr>
                <w:rFonts w:ascii="Times" w:eastAsia="Batang" w:hAnsi="Times"/>
                <w:szCs w:val="24"/>
                <w:lang w:eastAsia="en-US"/>
              </w:rPr>
              <w:t>Alt. 1: only dedicated resource pool(s) can be (pre-)configured for SL-PRS</w:t>
            </w:r>
          </w:p>
          <w:p w14:paraId="2C10383E" w14:textId="77777777" w:rsidR="00B17C82" w:rsidRPr="007814B3" w:rsidRDefault="00B17C82" w:rsidP="00B17C82">
            <w:pPr>
              <w:numPr>
                <w:ilvl w:val="0"/>
                <w:numId w:val="37"/>
              </w:numPr>
              <w:snapToGrid/>
              <w:spacing w:after="0" w:afterAutospacing="0"/>
              <w:jc w:val="left"/>
              <w:rPr>
                <w:rFonts w:ascii="Times" w:eastAsia="Batang" w:hAnsi="Times"/>
                <w:szCs w:val="24"/>
                <w:lang w:eastAsia="en-US"/>
              </w:rPr>
            </w:pPr>
            <w:r w:rsidRPr="007814B3">
              <w:rPr>
                <w:rFonts w:ascii="Times" w:eastAsia="Batang" w:hAnsi="Times"/>
                <w:szCs w:val="24"/>
                <w:lang w:eastAsia="en-US"/>
              </w:rPr>
              <w:t xml:space="preserve">Alt. 2: either dedicated resource pool(s) and/or </w:t>
            </w:r>
            <w:r w:rsidRPr="007814B3">
              <w:rPr>
                <w:rFonts w:ascii="Times" w:eastAsia="Batang" w:hAnsi="Times"/>
                <w:strike/>
                <w:szCs w:val="24"/>
                <w:lang w:eastAsia="en-US"/>
              </w:rPr>
              <w:t xml:space="preserve">a </w:t>
            </w:r>
            <w:r w:rsidRPr="007814B3">
              <w:rPr>
                <w:rFonts w:ascii="Times" w:eastAsia="Batang" w:hAnsi="Times"/>
                <w:szCs w:val="24"/>
                <w:lang w:eastAsia="en-US"/>
              </w:rPr>
              <w:t xml:space="preserve">shared resource pool(s) with </w:t>
            </w:r>
            <w:proofErr w:type="spellStart"/>
            <w:r w:rsidRPr="007814B3">
              <w:rPr>
                <w:rFonts w:ascii="Times" w:eastAsia="Batang" w:hAnsi="Times"/>
                <w:szCs w:val="24"/>
                <w:lang w:eastAsia="en-US"/>
              </w:rPr>
              <w:t>sidelink</w:t>
            </w:r>
            <w:proofErr w:type="spellEnd"/>
            <w:r w:rsidRPr="007814B3">
              <w:rPr>
                <w:rFonts w:ascii="Times" w:eastAsia="Batang" w:hAnsi="Times"/>
                <w:szCs w:val="24"/>
                <w:lang w:eastAsia="en-US"/>
              </w:rPr>
              <w:t xml:space="preserve"> communication can be (pre-) configured for SL-PRS</w:t>
            </w:r>
          </w:p>
          <w:p w14:paraId="596A9790" w14:textId="6F049275" w:rsidR="00B17C82" w:rsidRPr="00B17C82" w:rsidRDefault="00B17C82" w:rsidP="00AD1D61">
            <w:pPr>
              <w:numPr>
                <w:ilvl w:val="0"/>
                <w:numId w:val="37"/>
              </w:numPr>
              <w:snapToGrid/>
              <w:spacing w:after="0" w:afterAutospacing="0"/>
              <w:jc w:val="left"/>
              <w:rPr>
                <w:rFonts w:ascii="Times" w:eastAsia="Batang" w:hAnsi="Times"/>
                <w:sz w:val="20"/>
                <w:szCs w:val="24"/>
                <w:lang w:eastAsia="en-US"/>
              </w:rPr>
            </w:pPr>
            <w:r w:rsidRPr="007814B3">
              <w:rPr>
                <w:rFonts w:ascii="Times" w:eastAsia="Batang" w:hAnsi="Times"/>
                <w:szCs w:val="24"/>
                <w:lang w:eastAsia="en-US"/>
              </w:rPr>
              <w:t>Note: whether other signals/channels can be present in the dedicated resource pool can be further discussed</w:t>
            </w:r>
          </w:p>
        </w:tc>
      </w:tr>
    </w:tbl>
    <w:p w14:paraId="701809A2" w14:textId="05BFAE21" w:rsidR="009534DD" w:rsidRDefault="00B17C82" w:rsidP="009534DD">
      <w:pPr>
        <w:spacing w:before="100" w:beforeAutospacing="1" w:after="0" w:afterAutospacing="0"/>
        <w:rPr>
          <w:rFonts w:eastAsia="SimSun"/>
          <w:lang w:eastAsia="zh-CN"/>
        </w:rPr>
      </w:pPr>
      <w:r>
        <w:rPr>
          <w:rFonts w:eastAsia="SimSun" w:hint="eastAsia"/>
          <w:lang w:eastAsia="zh-CN"/>
        </w:rPr>
        <w:t>I</w:t>
      </w:r>
      <w:r>
        <w:rPr>
          <w:rFonts w:eastAsia="SimSun"/>
          <w:lang w:eastAsia="zh-CN"/>
        </w:rPr>
        <w:t>n case of a dedicated resource pool for SL-PRS, and if no associated control signalling is present in the dedicated resource pool, the SL positioning related signalling (</w:t>
      </w:r>
      <w:proofErr w:type="gramStart"/>
      <w:r>
        <w:rPr>
          <w:rFonts w:eastAsia="SimSun"/>
          <w:lang w:eastAsia="zh-CN"/>
        </w:rPr>
        <w:t>e.g.</w:t>
      </w:r>
      <w:proofErr w:type="gramEnd"/>
      <w:r>
        <w:rPr>
          <w:rFonts w:eastAsia="SimSun"/>
          <w:lang w:eastAsia="zh-CN"/>
        </w:rPr>
        <w:t xml:space="preserve"> signalling for SL-PRS resource </w:t>
      </w:r>
      <w:r w:rsidR="006219F1">
        <w:rPr>
          <w:rFonts w:eastAsia="SimSun"/>
          <w:lang w:eastAsia="zh-CN"/>
        </w:rPr>
        <w:t>reservation</w:t>
      </w:r>
      <w:r>
        <w:rPr>
          <w:rFonts w:eastAsia="SimSun"/>
          <w:lang w:eastAsia="zh-CN"/>
        </w:rPr>
        <w:t>, or for scheduling SL-PRS transmission, or for triggering of SL-PRS measurem</w:t>
      </w:r>
      <w:r w:rsidR="006219F1">
        <w:rPr>
          <w:rFonts w:eastAsia="SimSun"/>
          <w:lang w:eastAsia="zh-CN"/>
        </w:rPr>
        <w:t>ent</w:t>
      </w:r>
      <w:r>
        <w:rPr>
          <w:rFonts w:eastAsia="SimSun"/>
          <w:lang w:eastAsia="zh-CN"/>
        </w:rPr>
        <w:t>) has to be transmitted in another resource pool (for SL communications)</w:t>
      </w:r>
      <w:r w:rsidR="009534DD">
        <w:rPr>
          <w:rFonts w:eastAsia="SimSun"/>
          <w:lang w:eastAsia="zh-CN"/>
        </w:rPr>
        <w:t xml:space="preserve">, in which case </w:t>
      </w:r>
      <w:r w:rsidR="00FD2621">
        <w:rPr>
          <w:rFonts w:eastAsia="SimSun"/>
          <w:lang w:eastAsia="zh-CN"/>
        </w:rPr>
        <w:t>some</w:t>
      </w:r>
      <w:r w:rsidR="009534DD">
        <w:rPr>
          <w:rFonts w:eastAsia="SimSun"/>
          <w:lang w:eastAsia="zh-CN"/>
        </w:rPr>
        <w:t xml:space="preserve"> issues may arise</w:t>
      </w:r>
      <w:r w:rsidR="00FD2621">
        <w:rPr>
          <w:rFonts w:eastAsia="SimSun"/>
          <w:lang w:eastAsia="zh-CN"/>
        </w:rPr>
        <w:t>, e.g.,</w:t>
      </w:r>
    </w:p>
    <w:p w14:paraId="5B8C8452" w14:textId="5F39A23D" w:rsidR="00FD2621" w:rsidRDefault="00FD2621" w:rsidP="009534DD">
      <w:pPr>
        <w:pStyle w:val="aff9"/>
        <w:numPr>
          <w:ilvl w:val="0"/>
          <w:numId w:val="13"/>
        </w:numPr>
        <w:snapToGrid/>
        <w:spacing w:line="252" w:lineRule="auto"/>
        <w:ind w:left="714" w:firstLineChars="0" w:hanging="357"/>
        <w:contextualSpacing/>
        <w:jc w:val="left"/>
        <w:rPr>
          <w:rFonts w:eastAsia="SimSun"/>
          <w:lang w:eastAsia="zh-CN"/>
        </w:rPr>
      </w:pPr>
      <w:r>
        <w:rPr>
          <w:rFonts w:eastAsia="SimSun" w:hint="eastAsia"/>
          <w:lang w:eastAsia="zh-CN"/>
        </w:rPr>
        <w:t>C</w:t>
      </w:r>
      <w:r>
        <w:rPr>
          <w:rFonts w:eastAsia="SimSun"/>
          <w:lang w:eastAsia="zh-CN"/>
        </w:rPr>
        <w:t>oupling of congestion situations. For example, in case of pre-emption of a resource for SL positioning signalling, even if there are a lot of unoccupied SL-PRS resources, the signalling cannot be transmitted.</w:t>
      </w:r>
    </w:p>
    <w:p w14:paraId="66CE0960" w14:textId="69EB57EE" w:rsidR="001461EC" w:rsidRDefault="009534DD" w:rsidP="009534DD">
      <w:pPr>
        <w:pStyle w:val="aff9"/>
        <w:numPr>
          <w:ilvl w:val="0"/>
          <w:numId w:val="13"/>
        </w:numPr>
        <w:snapToGrid/>
        <w:spacing w:line="252" w:lineRule="auto"/>
        <w:ind w:left="714" w:firstLineChars="0" w:hanging="357"/>
        <w:contextualSpacing/>
        <w:jc w:val="left"/>
        <w:rPr>
          <w:rFonts w:eastAsia="SimSun"/>
          <w:lang w:eastAsia="zh-CN"/>
        </w:rPr>
      </w:pPr>
      <w:r>
        <w:rPr>
          <w:rFonts w:eastAsia="SimSun"/>
          <w:lang w:eastAsia="zh-CN"/>
        </w:rPr>
        <w:t xml:space="preserve">Backward compatibility with UEs not supporting SL positioning. For example, resources for SL transmissions of such signalling have to be reserved in the same way as for SL data transmissions. In </w:t>
      </w:r>
      <w:r w:rsidR="00FD2621">
        <w:rPr>
          <w:rFonts w:eastAsia="SimSun"/>
          <w:lang w:eastAsia="zh-CN"/>
        </w:rPr>
        <w:t>that sense, design of SCI would have to be fully compatible with existing SCI formats (1-A/2-A/2-B/2-C), even for the fields irrelevant to SL positioning.</w:t>
      </w:r>
    </w:p>
    <w:p w14:paraId="049923F3" w14:textId="0B6A9154" w:rsidR="00FD2621" w:rsidRDefault="00FD2621" w:rsidP="00FD2621">
      <w:pPr>
        <w:spacing w:before="100" w:beforeAutospacing="1"/>
        <w:rPr>
          <w:rFonts w:eastAsia="SimSun"/>
          <w:lang w:eastAsia="zh-CN"/>
        </w:rPr>
      </w:pPr>
      <w:r>
        <w:rPr>
          <w:rFonts w:eastAsia="SimSun"/>
          <w:lang w:eastAsia="zh-CN"/>
        </w:rPr>
        <w:t xml:space="preserve">In order to simplify the design and to avoid impact to SL communications, we propose to support transmission of </w:t>
      </w:r>
      <w:r w:rsidR="006219F1">
        <w:rPr>
          <w:rFonts w:eastAsia="SimSun"/>
          <w:lang w:eastAsia="zh-CN"/>
        </w:rPr>
        <w:t xml:space="preserve">associated </w:t>
      </w:r>
      <w:r>
        <w:rPr>
          <w:rFonts w:eastAsia="SimSun"/>
          <w:lang w:eastAsia="zh-CN"/>
        </w:rPr>
        <w:t xml:space="preserve">control signalling in </w:t>
      </w:r>
      <w:r w:rsidR="006219F1">
        <w:rPr>
          <w:rFonts w:eastAsia="SimSun"/>
          <w:lang w:eastAsia="zh-CN"/>
        </w:rPr>
        <w:t>a dedicated resource pool for SL-PRS.</w:t>
      </w:r>
    </w:p>
    <w:p w14:paraId="605D577E" w14:textId="76E5E8BD" w:rsidR="006219F1" w:rsidRDefault="006219F1" w:rsidP="006219F1">
      <w:pPr>
        <w:spacing w:after="0" w:afterAutospacing="0"/>
        <w:rPr>
          <w:lang w:val="en-US"/>
        </w:rPr>
      </w:pPr>
      <w:r>
        <w:rPr>
          <w:b/>
          <w:bCs/>
          <w:u w:val="single"/>
          <w:lang w:val="en-US"/>
        </w:rPr>
        <w:t xml:space="preserve">Proposal </w:t>
      </w:r>
      <w:r w:rsidR="0071170A">
        <w:rPr>
          <w:b/>
          <w:bCs/>
          <w:u w:val="single"/>
          <w:lang w:val="en-US"/>
        </w:rPr>
        <w:t>1</w:t>
      </w:r>
      <w:r>
        <w:rPr>
          <w:b/>
          <w:bCs/>
          <w:u w:val="single"/>
          <w:lang w:val="en-US"/>
        </w:rPr>
        <w:t>:</w:t>
      </w:r>
      <w:r>
        <w:rPr>
          <w:lang w:val="en-US"/>
        </w:rPr>
        <w:t xml:space="preserve"> </w:t>
      </w:r>
    </w:p>
    <w:p w14:paraId="77F26CF0" w14:textId="015B0688" w:rsidR="006219F1" w:rsidRDefault="00AE6F4A" w:rsidP="006219F1">
      <w:pPr>
        <w:pStyle w:val="aff9"/>
        <w:numPr>
          <w:ilvl w:val="0"/>
          <w:numId w:val="29"/>
        </w:numPr>
        <w:ind w:firstLineChars="0"/>
        <w:rPr>
          <w:lang w:val="en-US"/>
        </w:rPr>
      </w:pPr>
      <w:r>
        <w:rPr>
          <w:lang w:val="en-US"/>
        </w:rPr>
        <w:t>A</w:t>
      </w:r>
      <w:r w:rsidR="006219F1">
        <w:rPr>
          <w:lang w:val="en-US"/>
        </w:rPr>
        <w:t xml:space="preserve"> dedicated resource pool for SL-PRS</w:t>
      </w:r>
      <w:r>
        <w:rPr>
          <w:lang w:val="en-US"/>
        </w:rPr>
        <w:t xml:space="preserve"> should be “self-contained”</w:t>
      </w:r>
      <w:r w:rsidR="006219F1">
        <w:rPr>
          <w:lang w:val="en-US"/>
        </w:rPr>
        <w:t xml:space="preserve">, </w:t>
      </w:r>
      <w:proofErr w:type="gramStart"/>
      <w:r>
        <w:rPr>
          <w:lang w:val="en-US"/>
        </w:rPr>
        <w:t>i.e.</w:t>
      </w:r>
      <w:proofErr w:type="gramEnd"/>
      <w:r>
        <w:rPr>
          <w:lang w:val="en-US"/>
        </w:rPr>
        <w:t xml:space="preserve"> </w:t>
      </w:r>
      <w:r w:rsidR="006219F1">
        <w:rPr>
          <w:lang w:val="en-US"/>
        </w:rPr>
        <w:t xml:space="preserve">control signaling </w:t>
      </w:r>
      <w:r>
        <w:rPr>
          <w:lang w:val="en-US"/>
        </w:rPr>
        <w:t xml:space="preserve">in a SL positioning procedure, e.g., </w:t>
      </w:r>
      <w:r>
        <w:rPr>
          <w:rFonts w:eastAsia="SimSun"/>
          <w:lang w:eastAsia="zh-CN"/>
        </w:rPr>
        <w:t>signalling for SL-PRS resource reservation, or for scheduling SL-PRS transmission, or for triggering of SL-PRS measurement,</w:t>
      </w:r>
      <w:r>
        <w:rPr>
          <w:lang w:val="en-US"/>
        </w:rPr>
        <w:t xml:space="preserve"> should be transmitted in </w:t>
      </w:r>
      <w:r w:rsidR="006219F1">
        <w:rPr>
          <w:lang w:val="en-US"/>
        </w:rPr>
        <w:t>the same re</w:t>
      </w:r>
      <w:r>
        <w:rPr>
          <w:lang w:val="en-US"/>
        </w:rPr>
        <w:t>source pool.</w:t>
      </w:r>
    </w:p>
    <w:p w14:paraId="1255EE74" w14:textId="7F6E7B79" w:rsidR="006219F1" w:rsidRDefault="00AE6F4A" w:rsidP="00FD2621">
      <w:pPr>
        <w:spacing w:before="100" w:beforeAutospacing="1"/>
        <w:rPr>
          <w:rFonts w:eastAsia="SimSun"/>
          <w:lang w:val="en-US" w:eastAsia="zh-CN"/>
        </w:rPr>
      </w:pPr>
      <w:r>
        <w:rPr>
          <w:rFonts w:eastAsia="SimSun"/>
          <w:lang w:val="en-US" w:eastAsia="zh-CN"/>
        </w:rPr>
        <w:t>With</w:t>
      </w:r>
      <w:r w:rsidR="006219F1">
        <w:rPr>
          <w:rFonts w:eastAsia="SimSun"/>
          <w:lang w:val="en-US" w:eastAsia="zh-CN"/>
        </w:rPr>
        <w:t xml:space="preserve"> </w:t>
      </w:r>
      <w:r>
        <w:rPr>
          <w:rFonts w:eastAsia="SimSun"/>
          <w:lang w:val="en-US" w:eastAsia="zh-CN"/>
        </w:rPr>
        <w:t>a fully or partially staggered structure of SL-PRS, a few SL-PRS resources can be configured in a slot. Assuming that the granularity of SL-PRS transmission is one SL-PRS resource, and following a similar design principle in SL communications, multiple PSCCHs can be present in the same slot, each mapped to a SL-PRS resource in the slot.</w:t>
      </w:r>
    </w:p>
    <w:p w14:paraId="6957ACD2" w14:textId="6D1E934B" w:rsidR="00AE6F4A" w:rsidRDefault="00AE6F4A" w:rsidP="00AE6F4A">
      <w:pPr>
        <w:spacing w:after="0" w:afterAutospacing="0"/>
        <w:rPr>
          <w:lang w:val="en-US"/>
        </w:rPr>
      </w:pPr>
      <w:r>
        <w:rPr>
          <w:b/>
          <w:bCs/>
          <w:u w:val="single"/>
          <w:lang w:val="en-US"/>
        </w:rPr>
        <w:t xml:space="preserve">Proposal </w:t>
      </w:r>
      <w:r w:rsidR="0071170A">
        <w:rPr>
          <w:b/>
          <w:bCs/>
          <w:u w:val="single"/>
          <w:lang w:val="en-US"/>
        </w:rPr>
        <w:t>2</w:t>
      </w:r>
      <w:r>
        <w:rPr>
          <w:b/>
          <w:bCs/>
          <w:u w:val="single"/>
          <w:lang w:val="en-US"/>
        </w:rPr>
        <w:t>:</w:t>
      </w:r>
      <w:r>
        <w:rPr>
          <w:lang w:val="en-US"/>
        </w:rPr>
        <w:t xml:space="preserve"> </w:t>
      </w:r>
    </w:p>
    <w:p w14:paraId="638DDF49" w14:textId="705DF916" w:rsidR="00AE6F4A" w:rsidRDefault="0071170A" w:rsidP="00AE6F4A">
      <w:pPr>
        <w:pStyle w:val="aff9"/>
        <w:numPr>
          <w:ilvl w:val="0"/>
          <w:numId w:val="29"/>
        </w:numPr>
        <w:ind w:firstLineChars="0"/>
        <w:rPr>
          <w:lang w:val="en-US"/>
        </w:rPr>
      </w:pPr>
      <w:r>
        <w:rPr>
          <w:lang w:val="en-US"/>
        </w:rPr>
        <w:t>I</w:t>
      </w:r>
      <w:r w:rsidR="00AE6F4A">
        <w:rPr>
          <w:lang w:val="en-US"/>
        </w:rPr>
        <w:t>n a slot containing SL-PRS resources, each SL-PRS resource is mapped to a distinct PSCCH in the same slot.</w:t>
      </w:r>
    </w:p>
    <w:p w14:paraId="4C83C4DF" w14:textId="77777777" w:rsidR="00AE6F4A" w:rsidRPr="00AE6F4A" w:rsidRDefault="00AE6F4A" w:rsidP="00FD2621">
      <w:pPr>
        <w:spacing w:before="100" w:beforeAutospacing="1"/>
        <w:rPr>
          <w:rFonts w:eastAsia="SimSun"/>
          <w:lang w:val="en-US" w:eastAsia="zh-CN"/>
        </w:rPr>
      </w:pP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33C957BF" w14:textId="2CD9B6C1" w:rsidR="004407D4" w:rsidRDefault="004407D4" w:rsidP="004407D4">
      <w:pPr>
        <w:rPr>
          <w:rFonts w:eastAsiaTheme="minorEastAsia"/>
          <w:color w:val="000000" w:themeColor="text1"/>
        </w:rPr>
      </w:pPr>
      <w:r w:rsidRPr="007814B3">
        <w:rPr>
          <w:rFonts w:eastAsiaTheme="minorEastAsia" w:hint="eastAsia"/>
          <w:color w:val="000000" w:themeColor="text1"/>
        </w:rPr>
        <w:t>I</w:t>
      </w:r>
      <w:r w:rsidRPr="007814B3">
        <w:rPr>
          <w:rFonts w:eastAsiaTheme="minorEastAsia"/>
          <w:color w:val="000000" w:themeColor="text1"/>
        </w:rPr>
        <w:t>n this contribution, we have the following proposals:</w:t>
      </w:r>
    </w:p>
    <w:p w14:paraId="4B4A9020" w14:textId="77777777" w:rsidR="0071170A" w:rsidRPr="00445647" w:rsidRDefault="0071170A" w:rsidP="0071170A">
      <w:pPr>
        <w:rPr>
          <w:b/>
          <w:bCs/>
          <w:u w:val="single"/>
          <w:lang w:val="en-US"/>
        </w:rPr>
      </w:pPr>
      <w:r>
        <w:rPr>
          <w:b/>
          <w:bCs/>
          <w:u w:val="single"/>
          <w:lang w:val="en-US"/>
        </w:rPr>
        <w:t>Observation 1:</w:t>
      </w:r>
    </w:p>
    <w:p w14:paraId="0687E73B" w14:textId="77777777" w:rsidR="0071170A" w:rsidRDefault="0071170A" w:rsidP="0071170A">
      <w:r>
        <w:t xml:space="preserve">It was not clear which option is applicable for each link among </w:t>
      </w:r>
      <w:proofErr w:type="spellStart"/>
      <w:r>
        <w:t>gNB</w:t>
      </w:r>
      <w:proofErr w:type="spellEnd"/>
      <w:r>
        <w:t>, Tx UE and Rx UE.</w:t>
      </w:r>
    </w:p>
    <w:p w14:paraId="503D32E2" w14:textId="77777777" w:rsidR="0071170A" w:rsidRDefault="0071170A" w:rsidP="0071170A">
      <w:pPr>
        <w:spacing w:after="0" w:afterAutospacing="0"/>
        <w:rPr>
          <w:lang w:val="en-US"/>
        </w:rPr>
      </w:pPr>
      <w:r>
        <w:rPr>
          <w:b/>
          <w:bCs/>
          <w:u w:val="single"/>
          <w:lang w:val="en-US"/>
        </w:rPr>
        <w:t>Proposal 1:</w:t>
      </w:r>
      <w:r>
        <w:rPr>
          <w:lang w:val="en-US"/>
        </w:rPr>
        <w:t xml:space="preserve"> </w:t>
      </w:r>
    </w:p>
    <w:p w14:paraId="56D5F7F8" w14:textId="77777777" w:rsidR="0071170A" w:rsidRDefault="0071170A" w:rsidP="0071170A">
      <w:pPr>
        <w:pStyle w:val="aff9"/>
        <w:numPr>
          <w:ilvl w:val="0"/>
          <w:numId w:val="26"/>
        </w:numPr>
        <w:ind w:firstLineChars="0"/>
        <w:rPr>
          <w:lang w:val="en-US"/>
        </w:rPr>
      </w:pPr>
      <w:r>
        <w:rPr>
          <w:lang w:val="en-US"/>
        </w:rPr>
        <w:t xml:space="preserve">A dedicated resource pool for SL-PRS should be “self-contained”, </w:t>
      </w:r>
      <w:proofErr w:type="gramStart"/>
      <w:r>
        <w:rPr>
          <w:lang w:val="en-US"/>
        </w:rPr>
        <w:t>i.e.</w:t>
      </w:r>
      <w:proofErr w:type="gramEnd"/>
      <w:r>
        <w:rPr>
          <w:lang w:val="en-US"/>
        </w:rPr>
        <w:t xml:space="preserve"> control signaling in a SL positioning procedure, e.g., </w:t>
      </w:r>
      <w:r>
        <w:rPr>
          <w:rFonts w:eastAsia="SimSun"/>
          <w:lang w:eastAsia="zh-CN"/>
        </w:rPr>
        <w:t>signalling for SL-PRS resource reservation, or for scheduling SL-PRS transmission, or for triggering of SL-PRS measurement,</w:t>
      </w:r>
      <w:r>
        <w:rPr>
          <w:lang w:val="en-US"/>
        </w:rPr>
        <w:t xml:space="preserve"> should be transmitted in the same resource pool.</w:t>
      </w:r>
    </w:p>
    <w:p w14:paraId="32BEE654" w14:textId="77777777" w:rsidR="0071170A" w:rsidRDefault="0071170A" w:rsidP="0071170A">
      <w:pPr>
        <w:spacing w:after="0" w:afterAutospacing="0"/>
        <w:rPr>
          <w:lang w:val="en-US"/>
        </w:rPr>
      </w:pPr>
      <w:r>
        <w:rPr>
          <w:b/>
          <w:bCs/>
          <w:u w:val="single"/>
          <w:lang w:val="en-US"/>
        </w:rPr>
        <w:t>Proposal 2:</w:t>
      </w:r>
      <w:r>
        <w:rPr>
          <w:lang w:val="en-US"/>
        </w:rPr>
        <w:t xml:space="preserve"> </w:t>
      </w:r>
    </w:p>
    <w:p w14:paraId="60970000" w14:textId="77777777" w:rsidR="0071170A" w:rsidRDefault="0071170A" w:rsidP="0071170A">
      <w:pPr>
        <w:pStyle w:val="aff9"/>
        <w:numPr>
          <w:ilvl w:val="0"/>
          <w:numId w:val="26"/>
        </w:numPr>
        <w:ind w:firstLineChars="0"/>
        <w:rPr>
          <w:lang w:val="en-US"/>
        </w:rPr>
      </w:pPr>
      <w:r>
        <w:rPr>
          <w:lang w:val="en-US"/>
        </w:rPr>
        <w:t>In a slot containing SL-PRS resources, each SL-PRS resource is mapped to a distinct PSCCH in the same slot.</w:t>
      </w:r>
    </w:p>
    <w:p w14:paraId="3744D711" w14:textId="77777777" w:rsidR="009B6478" w:rsidRPr="009B6478" w:rsidRDefault="009B6478" w:rsidP="004407D4">
      <w:pPr>
        <w:rPr>
          <w:rFonts w:eastAsiaTheme="minorEastAsia"/>
          <w:color w:val="000000" w:themeColor="text1"/>
        </w:rPr>
      </w:pPr>
    </w:p>
    <w:bookmarkEnd w:id="3"/>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5B77069D" w14:textId="680E0A20" w:rsidR="00947C95" w:rsidRDefault="00947C95" w:rsidP="00947C95">
      <w:pPr>
        <w:pStyle w:val="textintend2"/>
        <w:rPr>
          <w:color w:val="000000" w:themeColor="text1"/>
          <w:szCs w:val="24"/>
        </w:rPr>
      </w:pPr>
      <w:r>
        <w:rPr>
          <w:rFonts w:hint="eastAsia"/>
          <w:color w:val="000000" w:themeColor="text1"/>
          <w:szCs w:val="24"/>
          <w:lang w:eastAsia="ja-JP"/>
        </w:rPr>
        <w:t>R</w:t>
      </w:r>
      <w:r>
        <w:rPr>
          <w:color w:val="000000" w:themeColor="text1"/>
          <w:szCs w:val="24"/>
          <w:lang w:eastAsia="ja-JP"/>
        </w:rPr>
        <w:t xml:space="preserve">P-213588, </w:t>
      </w:r>
      <w:r w:rsidR="00004150">
        <w:rPr>
          <w:color w:val="000000" w:themeColor="text1"/>
          <w:szCs w:val="24"/>
          <w:lang w:eastAsia="ja-JP"/>
        </w:rPr>
        <w:t>“</w:t>
      </w:r>
      <w:r w:rsidRPr="001038C3">
        <w:rPr>
          <w:color w:val="000000" w:themeColor="text1"/>
          <w:szCs w:val="24"/>
          <w:lang w:eastAsia="ja-JP"/>
        </w:rPr>
        <w:t>Revised SID on Study on expanded and improved NR positioning</w:t>
      </w:r>
      <w:r w:rsidR="00004150">
        <w:rPr>
          <w:color w:val="000000" w:themeColor="text1"/>
          <w:szCs w:val="24"/>
          <w:lang w:eastAsia="ja-JP"/>
        </w:rPr>
        <w:t>”</w:t>
      </w:r>
      <w:r>
        <w:rPr>
          <w:color w:val="000000" w:themeColor="text1"/>
          <w:szCs w:val="24"/>
          <w:lang w:eastAsia="ja-JP"/>
        </w:rPr>
        <w:t>, Intel, Dec. 2021</w:t>
      </w:r>
    </w:p>
    <w:p w14:paraId="1D843BB3" w14:textId="62E95218" w:rsidR="00004150" w:rsidRPr="00006ABC" w:rsidRDefault="00004150" w:rsidP="00004150">
      <w:pPr>
        <w:pStyle w:val="textintend2"/>
        <w:rPr>
          <w:color w:val="000000" w:themeColor="text1"/>
          <w:szCs w:val="24"/>
        </w:rPr>
      </w:pPr>
      <w:r>
        <w:rPr>
          <w:color w:val="000000" w:themeColor="text1"/>
          <w:szCs w:val="24"/>
          <w:lang w:eastAsia="ja-JP"/>
        </w:rPr>
        <w:t>“</w:t>
      </w:r>
      <w:r w:rsidRPr="00006ABC">
        <w:rPr>
          <w:color w:val="000000" w:themeColor="text1"/>
          <w:szCs w:val="24"/>
          <w:lang w:eastAsia="ja-JP"/>
        </w:rPr>
        <w:t xml:space="preserve">RAN1 Chairman’s Notes,” </w:t>
      </w:r>
      <w:r w:rsidRPr="00006ABC">
        <w:t>RAN</w:t>
      </w:r>
      <w:r w:rsidRPr="00006ABC">
        <w:rPr>
          <w:rFonts w:eastAsiaTheme="minorEastAsia" w:hint="eastAsia"/>
          <w:lang w:eastAsia="zh-CN"/>
        </w:rPr>
        <w:t>1</w:t>
      </w:r>
      <w:r w:rsidRPr="00006ABC">
        <w:t xml:space="preserve"> #1</w:t>
      </w:r>
      <w:r w:rsidR="00AB30FD">
        <w:rPr>
          <w:rFonts w:eastAsiaTheme="minorEastAsia"/>
          <w:lang w:eastAsia="zh-CN"/>
        </w:rPr>
        <w:t>10</w:t>
      </w:r>
      <w:r w:rsidRPr="00006ABC">
        <w:rPr>
          <w:rFonts w:eastAsiaTheme="minorEastAsia" w:hint="eastAsia"/>
          <w:lang w:eastAsia="zh-CN"/>
        </w:rPr>
        <w:t xml:space="preserve">, </w:t>
      </w:r>
      <w:r w:rsidR="00AB30FD">
        <w:rPr>
          <w:rFonts w:eastAsiaTheme="minorEastAsia"/>
          <w:lang w:eastAsia="zh-CN"/>
        </w:rPr>
        <w:t>Aug.</w:t>
      </w:r>
      <w:r w:rsidRPr="00006ABC">
        <w:t xml:space="preserve"> 202</w:t>
      </w:r>
      <w:r>
        <w:t>2</w:t>
      </w:r>
    </w:p>
    <w:sectPr w:rsidR="00004150" w:rsidRPr="00006ABC" w:rsidSect="00F542AD">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88348" w14:textId="77777777" w:rsidR="005A40E6" w:rsidRDefault="005A40E6">
      <w:r>
        <w:separator/>
      </w:r>
    </w:p>
  </w:endnote>
  <w:endnote w:type="continuationSeparator" w:id="0">
    <w:p w14:paraId="1A424AE2" w14:textId="77777777" w:rsidR="005A40E6" w:rsidRDefault="005A4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Ｐ明朝">
    <w:altName w:val="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3901E23B" w:rsidR="003928CD" w:rsidRDefault="003928CD">
    <w:pPr>
      <w:pStyle w:val="af"/>
      <w:jc w:val="center"/>
    </w:pPr>
    <w:r>
      <w:rPr>
        <w:b/>
      </w:rPr>
      <w:fldChar w:fldCharType="begin"/>
    </w:r>
    <w:r>
      <w:rPr>
        <w:b/>
      </w:rPr>
      <w:instrText>PAGE</w:instrText>
    </w:r>
    <w:r>
      <w:rPr>
        <w:b/>
      </w:rPr>
      <w:fldChar w:fldCharType="separate"/>
    </w:r>
    <w:r w:rsidR="00CD1031">
      <w:rPr>
        <w:b/>
        <w:noProof/>
      </w:rPr>
      <w:t>6</w:t>
    </w:r>
    <w:r>
      <w:rPr>
        <w:b/>
      </w:rPr>
      <w:fldChar w:fldCharType="end"/>
    </w:r>
  </w:p>
  <w:p w14:paraId="501A83DD" w14:textId="77777777" w:rsidR="003928CD" w:rsidRDefault="003928CD">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0B0B7" w14:textId="77777777" w:rsidR="005A40E6" w:rsidRDefault="005A40E6">
      <w:r>
        <w:separator/>
      </w:r>
    </w:p>
  </w:footnote>
  <w:footnote w:type="continuationSeparator" w:id="0">
    <w:p w14:paraId="78FECA11" w14:textId="77777777" w:rsidR="005A40E6" w:rsidRDefault="005A40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FE572C9"/>
    <w:multiLevelType w:val="hybridMultilevel"/>
    <w:tmpl w:val="298894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7944BE8"/>
    <w:multiLevelType w:val="hybridMultilevel"/>
    <w:tmpl w:val="9DFE9510"/>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1DFF6ED6"/>
    <w:multiLevelType w:val="hybridMultilevel"/>
    <w:tmpl w:val="97A8ADF6"/>
    <w:lvl w:ilvl="0" w:tplc="8E06F930">
      <w:start w:val="3"/>
      <w:numFmt w:val="bullet"/>
      <w:lvlText w:val="-"/>
      <w:lvlJc w:val="left"/>
      <w:pPr>
        <w:ind w:left="420" w:hanging="420"/>
      </w:pPr>
      <w:rPr>
        <w:rFonts w:ascii="Calibri" w:eastAsia="SimSun"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051FE"/>
    <w:multiLevelType w:val="multilevel"/>
    <w:tmpl w:val="589CCC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3BA48C7"/>
    <w:multiLevelType w:val="hybridMultilevel"/>
    <w:tmpl w:val="9434FB5E"/>
    <w:lvl w:ilvl="0" w:tplc="4E5CA9E4">
      <w:numFmt w:val="bullet"/>
      <w:lvlText w:val="-"/>
      <w:lvlJc w:val="left"/>
      <w:pPr>
        <w:ind w:left="840" w:hanging="420"/>
      </w:pPr>
      <w:rPr>
        <w:rFonts w:ascii="Times New Roman" w:eastAsia="ＭＳ 明朝" w:hAnsi="Times New Roman" w:cs="Times New Roman"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29611B64"/>
    <w:multiLevelType w:val="hybridMultilevel"/>
    <w:tmpl w:val="0B10D088"/>
    <w:lvl w:ilvl="0" w:tplc="71D8E946">
      <w:start w:val="1"/>
      <w:numFmt w:val="bullet"/>
      <w:lvlText w:val="•"/>
      <w:lvlJc w:val="left"/>
      <w:pPr>
        <w:tabs>
          <w:tab w:val="num" w:pos="720"/>
        </w:tabs>
        <w:ind w:left="720" w:hanging="360"/>
      </w:pPr>
      <w:rPr>
        <w:rFonts w:ascii="Arial" w:hAnsi="Arial" w:hint="default"/>
      </w:rPr>
    </w:lvl>
    <w:lvl w:ilvl="1" w:tplc="BAACFF5C">
      <w:numFmt w:val="bullet"/>
      <w:lvlText w:val="o"/>
      <w:lvlJc w:val="left"/>
      <w:pPr>
        <w:tabs>
          <w:tab w:val="num" w:pos="1440"/>
        </w:tabs>
        <w:ind w:left="1440" w:hanging="360"/>
      </w:pPr>
      <w:rPr>
        <w:rFonts w:ascii="Courier New" w:hAnsi="Courier New" w:hint="default"/>
      </w:rPr>
    </w:lvl>
    <w:lvl w:ilvl="2" w:tplc="EF10C706">
      <w:numFmt w:val="bullet"/>
      <w:lvlText w:val=""/>
      <w:lvlJc w:val="left"/>
      <w:pPr>
        <w:tabs>
          <w:tab w:val="num" w:pos="2160"/>
        </w:tabs>
        <w:ind w:left="2160" w:hanging="360"/>
      </w:pPr>
      <w:rPr>
        <w:rFonts w:ascii="Wingdings" w:hAnsi="Wingdings" w:hint="default"/>
      </w:rPr>
    </w:lvl>
    <w:lvl w:ilvl="3" w:tplc="E82C8470" w:tentative="1">
      <w:start w:val="1"/>
      <w:numFmt w:val="bullet"/>
      <w:lvlText w:val="•"/>
      <w:lvlJc w:val="left"/>
      <w:pPr>
        <w:tabs>
          <w:tab w:val="num" w:pos="2880"/>
        </w:tabs>
        <w:ind w:left="2880" w:hanging="360"/>
      </w:pPr>
      <w:rPr>
        <w:rFonts w:ascii="Arial" w:hAnsi="Arial" w:hint="default"/>
      </w:rPr>
    </w:lvl>
    <w:lvl w:ilvl="4" w:tplc="25661014" w:tentative="1">
      <w:start w:val="1"/>
      <w:numFmt w:val="bullet"/>
      <w:lvlText w:val="•"/>
      <w:lvlJc w:val="left"/>
      <w:pPr>
        <w:tabs>
          <w:tab w:val="num" w:pos="3600"/>
        </w:tabs>
        <w:ind w:left="3600" w:hanging="360"/>
      </w:pPr>
      <w:rPr>
        <w:rFonts w:ascii="Arial" w:hAnsi="Arial" w:hint="default"/>
      </w:rPr>
    </w:lvl>
    <w:lvl w:ilvl="5" w:tplc="23D4E2E2" w:tentative="1">
      <w:start w:val="1"/>
      <w:numFmt w:val="bullet"/>
      <w:lvlText w:val="•"/>
      <w:lvlJc w:val="left"/>
      <w:pPr>
        <w:tabs>
          <w:tab w:val="num" w:pos="4320"/>
        </w:tabs>
        <w:ind w:left="4320" w:hanging="360"/>
      </w:pPr>
      <w:rPr>
        <w:rFonts w:ascii="Arial" w:hAnsi="Arial" w:hint="default"/>
      </w:rPr>
    </w:lvl>
    <w:lvl w:ilvl="6" w:tplc="835CDC48" w:tentative="1">
      <w:start w:val="1"/>
      <w:numFmt w:val="bullet"/>
      <w:lvlText w:val="•"/>
      <w:lvlJc w:val="left"/>
      <w:pPr>
        <w:tabs>
          <w:tab w:val="num" w:pos="5040"/>
        </w:tabs>
        <w:ind w:left="5040" w:hanging="360"/>
      </w:pPr>
      <w:rPr>
        <w:rFonts w:ascii="Arial" w:hAnsi="Arial" w:hint="default"/>
      </w:rPr>
    </w:lvl>
    <w:lvl w:ilvl="7" w:tplc="6E4831C4" w:tentative="1">
      <w:start w:val="1"/>
      <w:numFmt w:val="bullet"/>
      <w:lvlText w:val="•"/>
      <w:lvlJc w:val="left"/>
      <w:pPr>
        <w:tabs>
          <w:tab w:val="num" w:pos="5760"/>
        </w:tabs>
        <w:ind w:left="5760" w:hanging="360"/>
      </w:pPr>
      <w:rPr>
        <w:rFonts w:ascii="Arial" w:hAnsi="Arial" w:hint="default"/>
      </w:rPr>
    </w:lvl>
    <w:lvl w:ilvl="8" w:tplc="94E836B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084DEE"/>
    <w:multiLevelType w:val="hybridMultilevel"/>
    <w:tmpl w:val="66149162"/>
    <w:lvl w:ilvl="0" w:tplc="B3F439CA">
      <w:start w:val="550"/>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CB7DB1"/>
    <w:multiLevelType w:val="hybridMultilevel"/>
    <w:tmpl w:val="9154B69A"/>
    <w:lvl w:ilvl="0" w:tplc="AE28C418">
      <w:start w:val="1"/>
      <w:numFmt w:val="bullet"/>
      <w:lvlText w:val=""/>
      <w:lvlJc w:val="left"/>
      <w:pPr>
        <w:tabs>
          <w:tab w:val="num" w:pos="720"/>
        </w:tabs>
        <w:ind w:left="720" w:hanging="360"/>
      </w:pPr>
      <w:rPr>
        <w:rFonts w:ascii="Wingdings" w:hAnsi="Wingdings" w:hint="default"/>
      </w:rPr>
    </w:lvl>
    <w:lvl w:ilvl="1" w:tplc="6DB65558">
      <w:numFmt w:val="bullet"/>
      <w:lvlText w:val="o"/>
      <w:lvlJc w:val="left"/>
      <w:pPr>
        <w:tabs>
          <w:tab w:val="num" w:pos="1440"/>
        </w:tabs>
        <w:ind w:left="1440" w:hanging="360"/>
      </w:pPr>
      <w:rPr>
        <w:rFonts w:ascii="Courier New" w:hAnsi="Courier New" w:hint="default"/>
      </w:rPr>
    </w:lvl>
    <w:lvl w:ilvl="2" w:tplc="7EDE980E">
      <w:numFmt w:val="bullet"/>
      <w:lvlText w:val=""/>
      <w:lvlJc w:val="left"/>
      <w:pPr>
        <w:tabs>
          <w:tab w:val="num" w:pos="2160"/>
        </w:tabs>
        <w:ind w:left="2160" w:hanging="360"/>
      </w:pPr>
      <w:rPr>
        <w:rFonts w:ascii="Wingdings" w:hAnsi="Wingdings" w:hint="default"/>
      </w:rPr>
    </w:lvl>
    <w:lvl w:ilvl="3" w:tplc="D13C9016" w:tentative="1">
      <w:start w:val="1"/>
      <w:numFmt w:val="bullet"/>
      <w:lvlText w:val=""/>
      <w:lvlJc w:val="left"/>
      <w:pPr>
        <w:tabs>
          <w:tab w:val="num" w:pos="2880"/>
        </w:tabs>
        <w:ind w:left="2880" w:hanging="360"/>
      </w:pPr>
      <w:rPr>
        <w:rFonts w:ascii="Wingdings" w:hAnsi="Wingdings" w:hint="default"/>
      </w:rPr>
    </w:lvl>
    <w:lvl w:ilvl="4" w:tplc="3238DE26" w:tentative="1">
      <w:start w:val="1"/>
      <w:numFmt w:val="bullet"/>
      <w:lvlText w:val=""/>
      <w:lvlJc w:val="left"/>
      <w:pPr>
        <w:tabs>
          <w:tab w:val="num" w:pos="3600"/>
        </w:tabs>
        <w:ind w:left="3600" w:hanging="360"/>
      </w:pPr>
      <w:rPr>
        <w:rFonts w:ascii="Wingdings" w:hAnsi="Wingdings" w:hint="default"/>
      </w:rPr>
    </w:lvl>
    <w:lvl w:ilvl="5" w:tplc="EECE1D58" w:tentative="1">
      <w:start w:val="1"/>
      <w:numFmt w:val="bullet"/>
      <w:lvlText w:val=""/>
      <w:lvlJc w:val="left"/>
      <w:pPr>
        <w:tabs>
          <w:tab w:val="num" w:pos="4320"/>
        </w:tabs>
        <w:ind w:left="4320" w:hanging="360"/>
      </w:pPr>
      <w:rPr>
        <w:rFonts w:ascii="Wingdings" w:hAnsi="Wingdings" w:hint="default"/>
      </w:rPr>
    </w:lvl>
    <w:lvl w:ilvl="6" w:tplc="0FAECDC0" w:tentative="1">
      <w:start w:val="1"/>
      <w:numFmt w:val="bullet"/>
      <w:lvlText w:val=""/>
      <w:lvlJc w:val="left"/>
      <w:pPr>
        <w:tabs>
          <w:tab w:val="num" w:pos="5040"/>
        </w:tabs>
        <w:ind w:left="5040" w:hanging="360"/>
      </w:pPr>
      <w:rPr>
        <w:rFonts w:ascii="Wingdings" w:hAnsi="Wingdings" w:hint="default"/>
      </w:rPr>
    </w:lvl>
    <w:lvl w:ilvl="7" w:tplc="BB204F80" w:tentative="1">
      <w:start w:val="1"/>
      <w:numFmt w:val="bullet"/>
      <w:lvlText w:val=""/>
      <w:lvlJc w:val="left"/>
      <w:pPr>
        <w:tabs>
          <w:tab w:val="num" w:pos="5760"/>
        </w:tabs>
        <w:ind w:left="5760" w:hanging="360"/>
      </w:pPr>
      <w:rPr>
        <w:rFonts w:ascii="Wingdings" w:hAnsi="Wingdings" w:hint="default"/>
      </w:rPr>
    </w:lvl>
    <w:lvl w:ilvl="8" w:tplc="5CE050A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ＭＳ 明朝"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15:restartNumberingAfterBreak="0">
    <w:nsid w:val="4313037F"/>
    <w:multiLevelType w:val="hybridMultilevel"/>
    <w:tmpl w:val="342CC44A"/>
    <w:lvl w:ilvl="0" w:tplc="82603C92">
      <w:start w:val="16"/>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465728E0"/>
    <w:multiLevelType w:val="hybridMultilevel"/>
    <w:tmpl w:val="AABA4492"/>
    <w:lvl w:ilvl="0" w:tplc="13AE7028">
      <w:start w:val="1"/>
      <w:numFmt w:val="bullet"/>
      <w:lvlText w:val=""/>
      <w:lvlJc w:val="left"/>
      <w:pPr>
        <w:tabs>
          <w:tab w:val="num" w:pos="720"/>
        </w:tabs>
        <w:ind w:left="720" w:hanging="360"/>
      </w:pPr>
      <w:rPr>
        <w:rFonts w:ascii="Symbol" w:hAnsi="Symbol" w:hint="default"/>
      </w:rPr>
    </w:lvl>
    <w:lvl w:ilvl="1" w:tplc="52BA0A0E">
      <w:numFmt w:val="bullet"/>
      <w:lvlText w:val="o"/>
      <w:lvlJc w:val="left"/>
      <w:pPr>
        <w:tabs>
          <w:tab w:val="num" w:pos="1440"/>
        </w:tabs>
        <w:ind w:left="1440" w:hanging="360"/>
      </w:pPr>
      <w:rPr>
        <w:rFonts w:ascii="Courier New" w:hAnsi="Courier New" w:hint="default"/>
      </w:rPr>
    </w:lvl>
    <w:lvl w:ilvl="2" w:tplc="2F34492A" w:tentative="1">
      <w:start w:val="1"/>
      <w:numFmt w:val="bullet"/>
      <w:lvlText w:val=""/>
      <w:lvlJc w:val="left"/>
      <w:pPr>
        <w:tabs>
          <w:tab w:val="num" w:pos="2160"/>
        </w:tabs>
        <w:ind w:left="2160" w:hanging="360"/>
      </w:pPr>
      <w:rPr>
        <w:rFonts w:ascii="Symbol" w:hAnsi="Symbol" w:hint="default"/>
      </w:rPr>
    </w:lvl>
    <w:lvl w:ilvl="3" w:tplc="5A0CCFC6" w:tentative="1">
      <w:start w:val="1"/>
      <w:numFmt w:val="bullet"/>
      <w:lvlText w:val=""/>
      <w:lvlJc w:val="left"/>
      <w:pPr>
        <w:tabs>
          <w:tab w:val="num" w:pos="2880"/>
        </w:tabs>
        <w:ind w:left="2880" w:hanging="360"/>
      </w:pPr>
      <w:rPr>
        <w:rFonts w:ascii="Symbol" w:hAnsi="Symbol" w:hint="default"/>
      </w:rPr>
    </w:lvl>
    <w:lvl w:ilvl="4" w:tplc="88FCCEF2" w:tentative="1">
      <w:start w:val="1"/>
      <w:numFmt w:val="bullet"/>
      <w:lvlText w:val=""/>
      <w:lvlJc w:val="left"/>
      <w:pPr>
        <w:tabs>
          <w:tab w:val="num" w:pos="3600"/>
        </w:tabs>
        <w:ind w:left="3600" w:hanging="360"/>
      </w:pPr>
      <w:rPr>
        <w:rFonts w:ascii="Symbol" w:hAnsi="Symbol" w:hint="default"/>
      </w:rPr>
    </w:lvl>
    <w:lvl w:ilvl="5" w:tplc="A112CE5A" w:tentative="1">
      <w:start w:val="1"/>
      <w:numFmt w:val="bullet"/>
      <w:lvlText w:val=""/>
      <w:lvlJc w:val="left"/>
      <w:pPr>
        <w:tabs>
          <w:tab w:val="num" w:pos="4320"/>
        </w:tabs>
        <w:ind w:left="4320" w:hanging="360"/>
      </w:pPr>
      <w:rPr>
        <w:rFonts w:ascii="Symbol" w:hAnsi="Symbol" w:hint="default"/>
      </w:rPr>
    </w:lvl>
    <w:lvl w:ilvl="6" w:tplc="D0340366" w:tentative="1">
      <w:start w:val="1"/>
      <w:numFmt w:val="bullet"/>
      <w:lvlText w:val=""/>
      <w:lvlJc w:val="left"/>
      <w:pPr>
        <w:tabs>
          <w:tab w:val="num" w:pos="5040"/>
        </w:tabs>
        <w:ind w:left="5040" w:hanging="360"/>
      </w:pPr>
      <w:rPr>
        <w:rFonts w:ascii="Symbol" w:hAnsi="Symbol" w:hint="default"/>
      </w:rPr>
    </w:lvl>
    <w:lvl w:ilvl="7" w:tplc="9B4C23EA" w:tentative="1">
      <w:start w:val="1"/>
      <w:numFmt w:val="bullet"/>
      <w:lvlText w:val=""/>
      <w:lvlJc w:val="left"/>
      <w:pPr>
        <w:tabs>
          <w:tab w:val="num" w:pos="5760"/>
        </w:tabs>
        <w:ind w:left="5760" w:hanging="360"/>
      </w:pPr>
      <w:rPr>
        <w:rFonts w:ascii="Symbol" w:hAnsi="Symbol" w:hint="default"/>
      </w:rPr>
    </w:lvl>
    <w:lvl w:ilvl="8" w:tplc="4712FDF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2B07283"/>
    <w:multiLevelType w:val="hybridMultilevel"/>
    <w:tmpl w:val="CD9EC42C"/>
    <w:lvl w:ilvl="0" w:tplc="4E5CA9E4">
      <w:numFmt w:val="bullet"/>
      <w:lvlText w:val="-"/>
      <w:lvlJc w:val="left"/>
      <w:pPr>
        <w:ind w:left="840" w:hanging="420"/>
      </w:pPr>
      <w:rPr>
        <w:rFonts w:ascii="Times New Roman" w:eastAsia="ＭＳ 明朝"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6B7CBE"/>
    <w:multiLevelType w:val="hybridMultilevel"/>
    <w:tmpl w:val="C270D026"/>
    <w:lvl w:ilvl="0" w:tplc="71D8E94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C2A1306"/>
    <w:multiLevelType w:val="hybridMultilevel"/>
    <w:tmpl w:val="899A5962"/>
    <w:lvl w:ilvl="0" w:tplc="5B509690">
      <w:numFmt w:val="bullet"/>
      <w:lvlText w:val="-"/>
      <w:lvlJc w:val="left"/>
      <w:pPr>
        <w:ind w:left="480" w:hanging="360"/>
      </w:pPr>
      <w:rPr>
        <w:rFonts w:ascii="Times New Roman" w:eastAsia="ＭＳ ゴシック" w:hAnsi="Times New Roman" w:cs="Times New Roman"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703662"/>
    <w:multiLevelType w:val="hybridMultilevel"/>
    <w:tmpl w:val="0B88C7FA"/>
    <w:lvl w:ilvl="0" w:tplc="5A42242C">
      <w:start w:val="1"/>
      <w:numFmt w:val="bullet"/>
      <w:lvlText w:val=""/>
      <w:lvlJc w:val="left"/>
      <w:pPr>
        <w:tabs>
          <w:tab w:val="num" w:pos="720"/>
        </w:tabs>
        <w:ind w:left="720" w:hanging="360"/>
      </w:pPr>
      <w:rPr>
        <w:rFonts w:ascii="Symbol" w:hAnsi="Symbol" w:hint="default"/>
      </w:rPr>
    </w:lvl>
    <w:lvl w:ilvl="1" w:tplc="275E88FA">
      <w:numFmt w:val="bullet"/>
      <w:lvlText w:val="o"/>
      <w:lvlJc w:val="left"/>
      <w:pPr>
        <w:tabs>
          <w:tab w:val="num" w:pos="1440"/>
        </w:tabs>
        <w:ind w:left="1440" w:hanging="360"/>
      </w:pPr>
      <w:rPr>
        <w:rFonts w:ascii="Courier New" w:hAnsi="Courier New" w:hint="default"/>
      </w:rPr>
    </w:lvl>
    <w:lvl w:ilvl="2" w:tplc="71F2AC5C" w:tentative="1">
      <w:start w:val="1"/>
      <w:numFmt w:val="bullet"/>
      <w:lvlText w:val=""/>
      <w:lvlJc w:val="left"/>
      <w:pPr>
        <w:tabs>
          <w:tab w:val="num" w:pos="2160"/>
        </w:tabs>
        <w:ind w:left="2160" w:hanging="360"/>
      </w:pPr>
      <w:rPr>
        <w:rFonts w:ascii="Symbol" w:hAnsi="Symbol" w:hint="default"/>
      </w:rPr>
    </w:lvl>
    <w:lvl w:ilvl="3" w:tplc="D93A1BDC" w:tentative="1">
      <w:start w:val="1"/>
      <w:numFmt w:val="bullet"/>
      <w:lvlText w:val=""/>
      <w:lvlJc w:val="left"/>
      <w:pPr>
        <w:tabs>
          <w:tab w:val="num" w:pos="2880"/>
        </w:tabs>
        <w:ind w:left="2880" w:hanging="360"/>
      </w:pPr>
      <w:rPr>
        <w:rFonts w:ascii="Symbol" w:hAnsi="Symbol" w:hint="default"/>
      </w:rPr>
    </w:lvl>
    <w:lvl w:ilvl="4" w:tplc="233045F8" w:tentative="1">
      <w:start w:val="1"/>
      <w:numFmt w:val="bullet"/>
      <w:lvlText w:val=""/>
      <w:lvlJc w:val="left"/>
      <w:pPr>
        <w:tabs>
          <w:tab w:val="num" w:pos="3600"/>
        </w:tabs>
        <w:ind w:left="3600" w:hanging="360"/>
      </w:pPr>
      <w:rPr>
        <w:rFonts w:ascii="Symbol" w:hAnsi="Symbol" w:hint="default"/>
      </w:rPr>
    </w:lvl>
    <w:lvl w:ilvl="5" w:tplc="96AE3DEE" w:tentative="1">
      <w:start w:val="1"/>
      <w:numFmt w:val="bullet"/>
      <w:lvlText w:val=""/>
      <w:lvlJc w:val="left"/>
      <w:pPr>
        <w:tabs>
          <w:tab w:val="num" w:pos="4320"/>
        </w:tabs>
        <w:ind w:left="4320" w:hanging="360"/>
      </w:pPr>
      <w:rPr>
        <w:rFonts w:ascii="Symbol" w:hAnsi="Symbol" w:hint="default"/>
      </w:rPr>
    </w:lvl>
    <w:lvl w:ilvl="6" w:tplc="390CD4D2" w:tentative="1">
      <w:start w:val="1"/>
      <w:numFmt w:val="bullet"/>
      <w:lvlText w:val=""/>
      <w:lvlJc w:val="left"/>
      <w:pPr>
        <w:tabs>
          <w:tab w:val="num" w:pos="5040"/>
        </w:tabs>
        <w:ind w:left="5040" w:hanging="360"/>
      </w:pPr>
      <w:rPr>
        <w:rFonts w:ascii="Symbol" w:hAnsi="Symbol" w:hint="default"/>
      </w:rPr>
    </w:lvl>
    <w:lvl w:ilvl="7" w:tplc="06FEB14E" w:tentative="1">
      <w:start w:val="1"/>
      <w:numFmt w:val="bullet"/>
      <w:lvlText w:val=""/>
      <w:lvlJc w:val="left"/>
      <w:pPr>
        <w:tabs>
          <w:tab w:val="num" w:pos="5760"/>
        </w:tabs>
        <w:ind w:left="5760" w:hanging="360"/>
      </w:pPr>
      <w:rPr>
        <w:rFonts w:ascii="Symbol" w:hAnsi="Symbol" w:hint="default"/>
      </w:rPr>
    </w:lvl>
    <w:lvl w:ilvl="8" w:tplc="7B76E6D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8A420A4"/>
    <w:multiLevelType w:val="hybridMultilevel"/>
    <w:tmpl w:val="BAC21D4A"/>
    <w:lvl w:ilvl="0" w:tplc="F30A6AD6">
      <w:start w:val="1"/>
      <w:numFmt w:val="bullet"/>
      <w:lvlText w:val="•"/>
      <w:lvlJc w:val="left"/>
      <w:pPr>
        <w:tabs>
          <w:tab w:val="num" w:pos="720"/>
        </w:tabs>
        <w:ind w:left="720" w:hanging="360"/>
      </w:pPr>
      <w:rPr>
        <w:rFonts w:ascii="Arial" w:hAnsi="Arial" w:hint="default"/>
      </w:rPr>
    </w:lvl>
    <w:lvl w:ilvl="1" w:tplc="F2D6B73E" w:tentative="1">
      <w:start w:val="1"/>
      <w:numFmt w:val="bullet"/>
      <w:lvlText w:val="•"/>
      <w:lvlJc w:val="left"/>
      <w:pPr>
        <w:tabs>
          <w:tab w:val="num" w:pos="1440"/>
        </w:tabs>
        <w:ind w:left="1440" w:hanging="360"/>
      </w:pPr>
      <w:rPr>
        <w:rFonts w:ascii="Arial" w:hAnsi="Arial" w:hint="default"/>
      </w:rPr>
    </w:lvl>
    <w:lvl w:ilvl="2" w:tplc="60783FB6" w:tentative="1">
      <w:start w:val="1"/>
      <w:numFmt w:val="bullet"/>
      <w:lvlText w:val="•"/>
      <w:lvlJc w:val="left"/>
      <w:pPr>
        <w:tabs>
          <w:tab w:val="num" w:pos="2160"/>
        </w:tabs>
        <w:ind w:left="2160" w:hanging="360"/>
      </w:pPr>
      <w:rPr>
        <w:rFonts w:ascii="Arial" w:hAnsi="Arial" w:hint="default"/>
      </w:rPr>
    </w:lvl>
    <w:lvl w:ilvl="3" w:tplc="A692B368" w:tentative="1">
      <w:start w:val="1"/>
      <w:numFmt w:val="bullet"/>
      <w:lvlText w:val="•"/>
      <w:lvlJc w:val="left"/>
      <w:pPr>
        <w:tabs>
          <w:tab w:val="num" w:pos="2880"/>
        </w:tabs>
        <w:ind w:left="2880" w:hanging="360"/>
      </w:pPr>
      <w:rPr>
        <w:rFonts w:ascii="Arial" w:hAnsi="Arial" w:hint="default"/>
      </w:rPr>
    </w:lvl>
    <w:lvl w:ilvl="4" w:tplc="4CA00416" w:tentative="1">
      <w:start w:val="1"/>
      <w:numFmt w:val="bullet"/>
      <w:lvlText w:val="•"/>
      <w:lvlJc w:val="left"/>
      <w:pPr>
        <w:tabs>
          <w:tab w:val="num" w:pos="3600"/>
        </w:tabs>
        <w:ind w:left="3600" w:hanging="360"/>
      </w:pPr>
      <w:rPr>
        <w:rFonts w:ascii="Arial" w:hAnsi="Arial" w:hint="default"/>
      </w:rPr>
    </w:lvl>
    <w:lvl w:ilvl="5" w:tplc="033C50B4" w:tentative="1">
      <w:start w:val="1"/>
      <w:numFmt w:val="bullet"/>
      <w:lvlText w:val="•"/>
      <w:lvlJc w:val="left"/>
      <w:pPr>
        <w:tabs>
          <w:tab w:val="num" w:pos="4320"/>
        </w:tabs>
        <w:ind w:left="4320" w:hanging="360"/>
      </w:pPr>
      <w:rPr>
        <w:rFonts w:ascii="Arial" w:hAnsi="Arial" w:hint="default"/>
      </w:rPr>
    </w:lvl>
    <w:lvl w:ilvl="6" w:tplc="94806234" w:tentative="1">
      <w:start w:val="1"/>
      <w:numFmt w:val="bullet"/>
      <w:lvlText w:val="•"/>
      <w:lvlJc w:val="left"/>
      <w:pPr>
        <w:tabs>
          <w:tab w:val="num" w:pos="5040"/>
        </w:tabs>
        <w:ind w:left="5040" w:hanging="360"/>
      </w:pPr>
      <w:rPr>
        <w:rFonts w:ascii="Arial" w:hAnsi="Arial" w:hint="default"/>
      </w:rPr>
    </w:lvl>
    <w:lvl w:ilvl="7" w:tplc="CDCCAC22" w:tentative="1">
      <w:start w:val="1"/>
      <w:numFmt w:val="bullet"/>
      <w:lvlText w:val="•"/>
      <w:lvlJc w:val="left"/>
      <w:pPr>
        <w:tabs>
          <w:tab w:val="num" w:pos="5760"/>
        </w:tabs>
        <w:ind w:left="5760" w:hanging="360"/>
      </w:pPr>
      <w:rPr>
        <w:rFonts w:ascii="Arial" w:hAnsi="Arial" w:hint="default"/>
      </w:rPr>
    </w:lvl>
    <w:lvl w:ilvl="8" w:tplc="255CB16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B57B4E"/>
    <w:multiLevelType w:val="hybridMultilevel"/>
    <w:tmpl w:val="4E08091A"/>
    <w:lvl w:ilvl="0" w:tplc="4E5CA9E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DBC0412"/>
    <w:multiLevelType w:val="hybridMultilevel"/>
    <w:tmpl w:val="9BD23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EEE61D3"/>
    <w:multiLevelType w:val="hybridMultilevel"/>
    <w:tmpl w:val="426A26DE"/>
    <w:lvl w:ilvl="0" w:tplc="76F04072">
      <w:start w:val="1"/>
      <w:numFmt w:val="bullet"/>
      <w:lvlText w:val=""/>
      <w:lvlJc w:val="left"/>
      <w:pPr>
        <w:tabs>
          <w:tab w:val="num" w:pos="720"/>
        </w:tabs>
        <w:ind w:left="720" w:hanging="360"/>
      </w:pPr>
      <w:rPr>
        <w:rFonts w:ascii="Wingdings" w:hAnsi="Wingdings" w:hint="default"/>
      </w:rPr>
    </w:lvl>
    <w:lvl w:ilvl="1" w:tplc="DE922C2C">
      <w:numFmt w:val="bullet"/>
      <w:lvlText w:val="o"/>
      <w:lvlJc w:val="left"/>
      <w:pPr>
        <w:tabs>
          <w:tab w:val="num" w:pos="1440"/>
        </w:tabs>
        <w:ind w:left="1440" w:hanging="360"/>
      </w:pPr>
      <w:rPr>
        <w:rFonts w:ascii="Courier New" w:hAnsi="Courier New" w:hint="default"/>
      </w:rPr>
    </w:lvl>
    <w:lvl w:ilvl="2" w:tplc="F4F4FEB0" w:tentative="1">
      <w:start w:val="1"/>
      <w:numFmt w:val="bullet"/>
      <w:lvlText w:val=""/>
      <w:lvlJc w:val="left"/>
      <w:pPr>
        <w:tabs>
          <w:tab w:val="num" w:pos="2160"/>
        </w:tabs>
        <w:ind w:left="2160" w:hanging="360"/>
      </w:pPr>
      <w:rPr>
        <w:rFonts w:ascii="Wingdings" w:hAnsi="Wingdings" w:hint="default"/>
      </w:rPr>
    </w:lvl>
    <w:lvl w:ilvl="3" w:tplc="622A6BBE" w:tentative="1">
      <w:start w:val="1"/>
      <w:numFmt w:val="bullet"/>
      <w:lvlText w:val=""/>
      <w:lvlJc w:val="left"/>
      <w:pPr>
        <w:tabs>
          <w:tab w:val="num" w:pos="2880"/>
        </w:tabs>
        <w:ind w:left="2880" w:hanging="360"/>
      </w:pPr>
      <w:rPr>
        <w:rFonts w:ascii="Wingdings" w:hAnsi="Wingdings" w:hint="default"/>
      </w:rPr>
    </w:lvl>
    <w:lvl w:ilvl="4" w:tplc="FAD8D212" w:tentative="1">
      <w:start w:val="1"/>
      <w:numFmt w:val="bullet"/>
      <w:lvlText w:val=""/>
      <w:lvlJc w:val="left"/>
      <w:pPr>
        <w:tabs>
          <w:tab w:val="num" w:pos="3600"/>
        </w:tabs>
        <w:ind w:left="3600" w:hanging="360"/>
      </w:pPr>
      <w:rPr>
        <w:rFonts w:ascii="Wingdings" w:hAnsi="Wingdings" w:hint="default"/>
      </w:rPr>
    </w:lvl>
    <w:lvl w:ilvl="5" w:tplc="7548DAE4" w:tentative="1">
      <w:start w:val="1"/>
      <w:numFmt w:val="bullet"/>
      <w:lvlText w:val=""/>
      <w:lvlJc w:val="left"/>
      <w:pPr>
        <w:tabs>
          <w:tab w:val="num" w:pos="4320"/>
        </w:tabs>
        <w:ind w:left="4320" w:hanging="360"/>
      </w:pPr>
      <w:rPr>
        <w:rFonts w:ascii="Wingdings" w:hAnsi="Wingdings" w:hint="default"/>
      </w:rPr>
    </w:lvl>
    <w:lvl w:ilvl="6" w:tplc="E7CE5E9E" w:tentative="1">
      <w:start w:val="1"/>
      <w:numFmt w:val="bullet"/>
      <w:lvlText w:val=""/>
      <w:lvlJc w:val="left"/>
      <w:pPr>
        <w:tabs>
          <w:tab w:val="num" w:pos="5040"/>
        </w:tabs>
        <w:ind w:left="5040" w:hanging="360"/>
      </w:pPr>
      <w:rPr>
        <w:rFonts w:ascii="Wingdings" w:hAnsi="Wingdings" w:hint="default"/>
      </w:rPr>
    </w:lvl>
    <w:lvl w:ilvl="7" w:tplc="6AF0DC16" w:tentative="1">
      <w:start w:val="1"/>
      <w:numFmt w:val="bullet"/>
      <w:lvlText w:val=""/>
      <w:lvlJc w:val="left"/>
      <w:pPr>
        <w:tabs>
          <w:tab w:val="num" w:pos="5760"/>
        </w:tabs>
        <w:ind w:left="5760" w:hanging="360"/>
      </w:pPr>
      <w:rPr>
        <w:rFonts w:ascii="Wingdings" w:hAnsi="Wingdings" w:hint="default"/>
      </w:rPr>
    </w:lvl>
    <w:lvl w:ilvl="8" w:tplc="BA26F9F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03157D4"/>
    <w:multiLevelType w:val="multilevel"/>
    <w:tmpl w:val="4B7EA064"/>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lvlRestart w:val="0"/>
      <w:pStyle w:val="20"/>
      <w:lvlText w:val="%1.%2."/>
      <w:lvlJc w:val="left"/>
      <w:pPr>
        <w:ind w:left="0" w:firstLine="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AF27B8C"/>
    <w:multiLevelType w:val="hybridMultilevel"/>
    <w:tmpl w:val="4AACFFA0"/>
    <w:lvl w:ilvl="0" w:tplc="71D8E94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1"/>
  </w:num>
  <w:num w:numId="2">
    <w:abstractNumId w:val="3"/>
  </w:num>
  <w:num w:numId="3">
    <w:abstractNumId w:val="8"/>
  </w:num>
  <w:num w:numId="4">
    <w:abstractNumId w:val="32"/>
  </w:num>
  <w:num w:numId="5">
    <w:abstractNumId w:val="18"/>
  </w:num>
  <w:num w:numId="6">
    <w:abstractNumId w:val="19"/>
  </w:num>
  <w:num w:numId="7">
    <w:abstractNumId w:val="16"/>
  </w:num>
  <w:num w:numId="8">
    <w:abstractNumId w:val="2"/>
  </w:num>
  <w:num w:numId="9">
    <w:abstractNumId w:val="33"/>
  </w:num>
  <w:num w:numId="10">
    <w:abstractNumId w:val="14"/>
  </w:num>
  <w:num w:numId="11">
    <w:abstractNumId w:val="24"/>
  </w:num>
  <w:num w:numId="12">
    <w:abstractNumId w:val="29"/>
  </w:num>
  <w:num w:numId="13">
    <w:abstractNumId w:val="17"/>
  </w:num>
  <w:num w:numId="14">
    <w:abstractNumId w:val="25"/>
  </w:num>
  <w:num w:numId="15">
    <w:abstractNumId w:val="26"/>
  </w:num>
  <w:num w:numId="16">
    <w:abstractNumId w:val="12"/>
  </w:num>
  <w:num w:numId="17">
    <w:abstractNumId w:val="10"/>
  </w:num>
  <w:num w:numId="18">
    <w:abstractNumId w:val="21"/>
  </w:num>
  <w:num w:numId="19">
    <w:abstractNumId w:val="13"/>
  </w:num>
  <w:num w:numId="20">
    <w:abstractNumId w:val="28"/>
  </w:num>
  <w:num w:numId="21">
    <w:abstractNumId w:val="23"/>
  </w:num>
  <w:num w:numId="22">
    <w:abstractNumId w:val="20"/>
  </w:num>
  <w:num w:numId="23">
    <w:abstractNumId w:val="9"/>
  </w:num>
  <w:num w:numId="24">
    <w:abstractNumId w:val="27"/>
  </w:num>
  <w:num w:numId="25">
    <w:abstractNumId w:val="6"/>
  </w:num>
  <w:num w:numId="26">
    <w:abstractNumId w:val="34"/>
  </w:num>
  <w:num w:numId="27">
    <w:abstractNumId w:val="5"/>
  </w:num>
  <w:num w:numId="28">
    <w:abstractNumId w:val="22"/>
  </w:num>
  <w:num w:numId="29">
    <w:abstractNumId w:val="34"/>
  </w:num>
  <w:num w:numId="30">
    <w:abstractNumId w:val="1"/>
  </w:num>
  <w:num w:numId="31">
    <w:abstractNumId w:val="21"/>
  </w:num>
  <w:num w:numId="32">
    <w:abstractNumId w:val="0"/>
  </w:num>
  <w:num w:numId="33">
    <w:abstractNumId w:val="30"/>
  </w:num>
  <w:num w:numId="34">
    <w:abstractNumId w:val="21"/>
  </w:num>
  <w:num w:numId="35">
    <w:abstractNumId w:val="15"/>
  </w:num>
  <w:num w:numId="36">
    <w:abstractNumId w:val="4"/>
  </w:num>
  <w:num w:numId="37">
    <w:abstractNumId w:val="7"/>
  </w:num>
  <w:num w:numId="38">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2E6"/>
    <w:rsid w:val="0000065C"/>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A89"/>
    <w:rsid w:val="00003DDB"/>
    <w:rsid w:val="00004150"/>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0FD5"/>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62B"/>
    <w:rsid w:val="0003072F"/>
    <w:rsid w:val="0003088A"/>
    <w:rsid w:val="000308B4"/>
    <w:rsid w:val="00030B56"/>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3A31"/>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2F35"/>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234"/>
    <w:rsid w:val="00082FD1"/>
    <w:rsid w:val="00083011"/>
    <w:rsid w:val="000839A3"/>
    <w:rsid w:val="000843BE"/>
    <w:rsid w:val="0008503D"/>
    <w:rsid w:val="000851FC"/>
    <w:rsid w:val="000852CE"/>
    <w:rsid w:val="00085385"/>
    <w:rsid w:val="000854D2"/>
    <w:rsid w:val="00085803"/>
    <w:rsid w:val="0008593D"/>
    <w:rsid w:val="00085FFE"/>
    <w:rsid w:val="00086310"/>
    <w:rsid w:val="0008647D"/>
    <w:rsid w:val="0008673A"/>
    <w:rsid w:val="000868ED"/>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531C"/>
    <w:rsid w:val="000A5E31"/>
    <w:rsid w:val="000A7B40"/>
    <w:rsid w:val="000A7C46"/>
    <w:rsid w:val="000B10E5"/>
    <w:rsid w:val="000B1622"/>
    <w:rsid w:val="000B1B7D"/>
    <w:rsid w:val="000B1C17"/>
    <w:rsid w:val="000B1C38"/>
    <w:rsid w:val="000B1D67"/>
    <w:rsid w:val="000B2106"/>
    <w:rsid w:val="000B22F4"/>
    <w:rsid w:val="000B2ABE"/>
    <w:rsid w:val="000B2CFA"/>
    <w:rsid w:val="000B2D1F"/>
    <w:rsid w:val="000B3121"/>
    <w:rsid w:val="000B32E4"/>
    <w:rsid w:val="000B35E3"/>
    <w:rsid w:val="000B3D0B"/>
    <w:rsid w:val="000B407F"/>
    <w:rsid w:val="000B4578"/>
    <w:rsid w:val="000B5B15"/>
    <w:rsid w:val="000B6E4C"/>
    <w:rsid w:val="000B6E61"/>
    <w:rsid w:val="000B7C4D"/>
    <w:rsid w:val="000C0725"/>
    <w:rsid w:val="000C0EDD"/>
    <w:rsid w:val="000C1B4B"/>
    <w:rsid w:val="000C1C18"/>
    <w:rsid w:val="000C24F6"/>
    <w:rsid w:val="000C2A4A"/>
    <w:rsid w:val="000C2F83"/>
    <w:rsid w:val="000C3750"/>
    <w:rsid w:val="000C3E9A"/>
    <w:rsid w:val="000C3F22"/>
    <w:rsid w:val="000C46F8"/>
    <w:rsid w:val="000C4E1E"/>
    <w:rsid w:val="000C532C"/>
    <w:rsid w:val="000C6237"/>
    <w:rsid w:val="000C637C"/>
    <w:rsid w:val="000C6425"/>
    <w:rsid w:val="000C6AC0"/>
    <w:rsid w:val="000C6B76"/>
    <w:rsid w:val="000C78B1"/>
    <w:rsid w:val="000C7A70"/>
    <w:rsid w:val="000C7CDF"/>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167A"/>
    <w:rsid w:val="000E2107"/>
    <w:rsid w:val="000E229C"/>
    <w:rsid w:val="000E25A0"/>
    <w:rsid w:val="000E2AC6"/>
    <w:rsid w:val="000E2B78"/>
    <w:rsid w:val="000E3548"/>
    <w:rsid w:val="000E3591"/>
    <w:rsid w:val="000E3DC5"/>
    <w:rsid w:val="000E4717"/>
    <w:rsid w:val="000E4BFB"/>
    <w:rsid w:val="000E4DD1"/>
    <w:rsid w:val="000E5A18"/>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1E0D"/>
    <w:rsid w:val="000F2C64"/>
    <w:rsid w:val="000F3312"/>
    <w:rsid w:val="000F34B0"/>
    <w:rsid w:val="000F3C2D"/>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F03"/>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6E1"/>
    <w:rsid w:val="001107AF"/>
    <w:rsid w:val="00110CB4"/>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9FB"/>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3A"/>
    <w:rsid w:val="001279BF"/>
    <w:rsid w:val="00127AD8"/>
    <w:rsid w:val="00127DF2"/>
    <w:rsid w:val="001300AB"/>
    <w:rsid w:val="001304B5"/>
    <w:rsid w:val="00130F4D"/>
    <w:rsid w:val="00130F81"/>
    <w:rsid w:val="0013175C"/>
    <w:rsid w:val="00131799"/>
    <w:rsid w:val="00131A92"/>
    <w:rsid w:val="00131C49"/>
    <w:rsid w:val="00131E4C"/>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5E40"/>
    <w:rsid w:val="00136762"/>
    <w:rsid w:val="00136890"/>
    <w:rsid w:val="00137635"/>
    <w:rsid w:val="0013771D"/>
    <w:rsid w:val="0013785E"/>
    <w:rsid w:val="00137BD7"/>
    <w:rsid w:val="00137C24"/>
    <w:rsid w:val="00140592"/>
    <w:rsid w:val="00140655"/>
    <w:rsid w:val="001406CE"/>
    <w:rsid w:val="0014090F"/>
    <w:rsid w:val="00140D7D"/>
    <w:rsid w:val="00141907"/>
    <w:rsid w:val="001419AB"/>
    <w:rsid w:val="00141D89"/>
    <w:rsid w:val="00141E74"/>
    <w:rsid w:val="00142050"/>
    <w:rsid w:val="001421CA"/>
    <w:rsid w:val="0014246B"/>
    <w:rsid w:val="00142611"/>
    <w:rsid w:val="00142CB7"/>
    <w:rsid w:val="00142DA1"/>
    <w:rsid w:val="0014340C"/>
    <w:rsid w:val="0014383E"/>
    <w:rsid w:val="001442B5"/>
    <w:rsid w:val="00144E44"/>
    <w:rsid w:val="0014540E"/>
    <w:rsid w:val="00145675"/>
    <w:rsid w:val="00145C3D"/>
    <w:rsid w:val="001461EC"/>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DF3"/>
    <w:rsid w:val="00151FAA"/>
    <w:rsid w:val="001521B7"/>
    <w:rsid w:val="001525C8"/>
    <w:rsid w:val="00152884"/>
    <w:rsid w:val="00152982"/>
    <w:rsid w:val="00152AE8"/>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8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7BD"/>
    <w:rsid w:val="00174F6A"/>
    <w:rsid w:val="0017505A"/>
    <w:rsid w:val="00175133"/>
    <w:rsid w:val="0017514E"/>
    <w:rsid w:val="00175494"/>
    <w:rsid w:val="001761ED"/>
    <w:rsid w:val="001765C8"/>
    <w:rsid w:val="00176907"/>
    <w:rsid w:val="00176A6F"/>
    <w:rsid w:val="00176F9A"/>
    <w:rsid w:val="00177182"/>
    <w:rsid w:val="00177971"/>
    <w:rsid w:val="00177C06"/>
    <w:rsid w:val="0018048F"/>
    <w:rsid w:val="001804A1"/>
    <w:rsid w:val="00180A51"/>
    <w:rsid w:val="001816B4"/>
    <w:rsid w:val="001818D9"/>
    <w:rsid w:val="0018219A"/>
    <w:rsid w:val="0018287A"/>
    <w:rsid w:val="00182A0A"/>
    <w:rsid w:val="001837AA"/>
    <w:rsid w:val="001838B1"/>
    <w:rsid w:val="00183F4C"/>
    <w:rsid w:val="00184593"/>
    <w:rsid w:val="00184681"/>
    <w:rsid w:val="00184AC5"/>
    <w:rsid w:val="00184C43"/>
    <w:rsid w:val="00184DF1"/>
    <w:rsid w:val="00185888"/>
    <w:rsid w:val="00185A6C"/>
    <w:rsid w:val="00185C13"/>
    <w:rsid w:val="00185E4E"/>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E57"/>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A7D33"/>
    <w:rsid w:val="001B00D7"/>
    <w:rsid w:val="001B09EF"/>
    <w:rsid w:val="001B0C47"/>
    <w:rsid w:val="001B0E6E"/>
    <w:rsid w:val="001B0FC9"/>
    <w:rsid w:val="001B12B9"/>
    <w:rsid w:val="001B1453"/>
    <w:rsid w:val="001B167E"/>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166A"/>
    <w:rsid w:val="001D1932"/>
    <w:rsid w:val="001D1B8F"/>
    <w:rsid w:val="001D1FAF"/>
    <w:rsid w:val="001D29D1"/>
    <w:rsid w:val="001D2ED6"/>
    <w:rsid w:val="001D3BBE"/>
    <w:rsid w:val="001D3F80"/>
    <w:rsid w:val="001D421B"/>
    <w:rsid w:val="001D42DB"/>
    <w:rsid w:val="001D47FE"/>
    <w:rsid w:val="001D4D76"/>
    <w:rsid w:val="001D531B"/>
    <w:rsid w:val="001D560F"/>
    <w:rsid w:val="001D57D2"/>
    <w:rsid w:val="001D5F3E"/>
    <w:rsid w:val="001D62C4"/>
    <w:rsid w:val="001D673C"/>
    <w:rsid w:val="001D6ADA"/>
    <w:rsid w:val="001D6F1E"/>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4B31"/>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EB5"/>
    <w:rsid w:val="001F41CD"/>
    <w:rsid w:val="001F49DD"/>
    <w:rsid w:val="001F4A7E"/>
    <w:rsid w:val="001F55E0"/>
    <w:rsid w:val="001F60F3"/>
    <w:rsid w:val="001F6A6B"/>
    <w:rsid w:val="001F735A"/>
    <w:rsid w:val="001F7AA9"/>
    <w:rsid w:val="002003CC"/>
    <w:rsid w:val="00200C9A"/>
    <w:rsid w:val="00200C9D"/>
    <w:rsid w:val="00201283"/>
    <w:rsid w:val="00201AA7"/>
    <w:rsid w:val="0020246A"/>
    <w:rsid w:val="00203143"/>
    <w:rsid w:val="0020316A"/>
    <w:rsid w:val="00203705"/>
    <w:rsid w:val="00203DC5"/>
    <w:rsid w:val="0020411E"/>
    <w:rsid w:val="00204181"/>
    <w:rsid w:val="00204834"/>
    <w:rsid w:val="00204E96"/>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2B7"/>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163"/>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1E3"/>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E37"/>
    <w:rsid w:val="00235F78"/>
    <w:rsid w:val="00236094"/>
    <w:rsid w:val="00236CD1"/>
    <w:rsid w:val="00237062"/>
    <w:rsid w:val="00237113"/>
    <w:rsid w:val="002377B5"/>
    <w:rsid w:val="00237A75"/>
    <w:rsid w:val="00237E17"/>
    <w:rsid w:val="00240437"/>
    <w:rsid w:val="00240DBF"/>
    <w:rsid w:val="00241B7E"/>
    <w:rsid w:val="00241BE2"/>
    <w:rsid w:val="00241DF0"/>
    <w:rsid w:val="00242BB1"/>
    <w:rsid w:val="00243559"/>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0AE6"/>
    <w:rsid w:val="002512A3"/>
    <w:rsid w:val="0025152F"/>
    <w:rsid w:val="0025194F"/>
    <w:rsid w:val="00251AD8"/>
    <w:rsid w:val="00251B51"/>
    <w:rsid w:val="00252133"/>
    <w:rsid w:val="002522C7"/>
    <w:rsid w:val="00252FCC"/>
    <w:rsid w:val="0025364B"/>
    <w:rsid w:val="002539C5"/>
    <w:rsid w:val="00253DD9"/>
    <w:rsid w:val="00254FE2"/>
    <w:rsid w:val="00254FFA"/>
    <w:rsid w:val="00255B35"/>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1CE"/>
    <w:rsid w:val="00270AED"/>
    <w:rsid w:val="00270D9E"/>
    <w:rsid w:val="00270FEE"/>
    <w:rsid w:val="002711DF"/>
    <w:rsid w:val="0027184B"/>
    <w:rsid w:val="00271D80"/>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4B7"/>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5D"/>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6BB"/>
    <w:rsid w:val="0029577A"/>
    <w:rsid w:val="00295FE7"/>
    <w:rsid w:val="00296485"/>
    <w:rsid w:val="00296E15"/>
    <w:rsid w:val="0029712D"/>
    <w:rsid w:val="0029739B"/>
    <w:rsid w:val="00297D4C"/>
    <w:rsid w:val="00297DCE"/>
    <w:rsid w:val="002A01B3"/>
    <w:rsid w:val="002A03DC"/>
    <w:rsid w:val="002A0A42"/>
    <w:rsid w:val="002A130C"/>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82E"/>
    <w:rsid w:val="002B1E42"/>
    <w:rsid w:val="002B2479"/>
    <w:rsid w:val="002B29BC"/>
    <w:rsid w:val="002B2EB9"/>
    <w:rsid w:val="002B3B69"/>
    <w:rsid w:val="002B3E62"/>
    <w:rsid w:val="002B3F10"/>
    <w:rsid w:val="002B400E"/>
    <w:rsid w:val="002B4E38"/>
    <w:rsid w:val="002B51DB"/>
    <w:rsid w:val="002B60A3"/>
    <w:rsid w:val="002B650D"/>
    <w:rsid w:val="002B68AF"/>
    <w:rsid w:val="002B6D0E"/>
    <w:rsid w:val="002B6E9C"/>
    <w:rsid w:val="002B71A0"/>
    <w:rsid w:val="002B734E"/>
    <w:rsid w:val="002B7406"/>
    <w:rsid w:val="002B7614"/>
    <w:rsid w:val="002B7A9F"/>
    <w:rsid w:val="002B7DBF"/>
    <w:rsid w:val="002C0138"/>
    <w:rsid w:val="002C0281"/>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3EB"/>
    <w:rsid w:val="002E47CA"/>
    <w:rsid w:val="002E49A9"/>
    <w:rsid w:val="002E51ED"/>
    <w:rsid w:val="002E53A2"/>
    <w:rsid w:val="002E5575"/>
    <w:rsid w:val="002E5C88"/>
    <w:rsid w:val="002E71AB"/>
    <w:rsid w:val="002E7664"/>
    <w:rsid w:val="002E7724"/>
    <w:rsid w:val="002E7B0A"/>
    <w:rsid w:val="002E7DD4"/>
    <w:rsid w:val="002F06BC"/>
    <w:rsid w:val="002F06E5"/>
    <w:rsid w:val="002F0958"/>
    <w:rsid w:val="002F0966"/>
    <w:rsid w:val="002F0CAA"/>
    <w:rsid w:val="002F0EDB"/>
    <w:rsid w:val="002F10D3"/>
    <w:rsid w:val="002F18C2"/>
    <w:rsid w:val="002F1AF9"/>
    <w:rsid w:val="002F1E64"/>
    <w:rsid w:val="002F23F6"/>
    <w:rsid w:val="002F28F0"/>
    <w:rsid w:val="002F2A26"/>
    <w:rsid w:val="002F3156"/>
    <w:rsid w:val="002F31B1"/>
    <w:rsid w:val="002F3974"/>
    <w:rsid w:val="002F3CC2"/>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1B20"/>
    <w:rsid w:val="003125BC"/>
    <w:rsid w:val="00312758"/>
    <w:rsid w:val="00312946"/>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4E7"/>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075"/>
    <w:rsid w:val="00344193"/>
    <w:rsid w:val="0034492A"/>
    <w:rsid w:val="00344FD9"/>
    <w:rsid w:val="00345381"/>
    <w:rsid w:val="00345432"/>
    <w:rsid w:val="003459E9"/>
    <w:rsid w:val="00345ECF"/>
    <w:rsid w:val="003469D6"/>
    <w:rsid w:val="00346C66"/>
    <w:rsid w:val="003471CA"/>
    <w:rsid w:val="003473F2"/>
    <w:rsid w:val="0034753E"/>
    <w:rsid w:val="003476FD"/>
    <w:rsid w:val="00347837"/>
    <w:rsid w:val="0034789B"/>
    <w:rsid w:val="00347A6B"/>
    <w:rsid w:val="00347C2C"/>
    <w:rsid w:val="00347D9A"/>
    <w:rsid w:val="0035008B"/>
    <w:rsid w:val="003507A4"/>
    <w:rsid w:val="00350D04"/>
    <w:rsid w:val="0035122B"/>
    <w:rsid w:val="00351289"/>
    <w:rsid w:val="00351360"/>
    <w:rsid w:val="003514E4"/>
    <w:rsid w:val="00351894"/>
    <w:rsid w:val="003519E7"/>
    <w:rsid w:val="00351A50"/>
    <w:rsid w:val="00351FB4"/>
    <w:rsid w:val="003520E7"/>
    <w:rsid w:val="00352175"/>
    <w:rsid w:val="00352336"/>
    <w:rsid w:val="0035236C"/>
    <w:rsid w:val="003526A9"/>
    <w:rsid w:val="00352733"/>
    <w:rsid w:val="003529AA"/>
    <w:rsid w:val="00352A63"/>
    <w:rsid w:val="00352EB3"/>
    <w:rsid w:val="00352EC8"/>
    <w:rsid w:val="00352F58"/>
    <w:rsid w:val="003534DC"/>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AF"/>
    <w:rsid w:val="003674CF"/>
    <w:rsid w:val="00367E36"/>
    <w:rsid w:val="00367EA7"/>
    <w:rsid w:val="00367FD9"/>
    <w:rsid w:val="003706E3"/>
    <w:rsid w:val="003708F4"/>
    <w:rsid w:val="00370B2B"/>
    <w:rsid w:val="00370C98"/>
    <w:rsid w:val="00370E48"/>
    <w:rsid w:val="00370F0D"/>
    <w:rsid w:val="003730F2"/>
    <w:rsid w:val="00373839"/>
    <w:rsid w:val="003739A7"/>
    <w:rsid w:val="00373E0B"/>
    <w:rsid w:val="00374078"/>
    <w:rsid w:val="003747F4"/>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A21"/>
    <w:rsid w:val="00381C29"/>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B26"/>
    <w:rsid w:val="00390D27"/>
    <w:rsid w:val="00391674"/>
    <w:rsid w:val="003918EE"/>
    <w:rsid w:val="0039231E"/>
    <w:rsid w:val="00392465"/>
    <w:rsid w:val="00392676"/>
    <w:rsid w:val="0039281F"/>
    <w:rsid w:val="003928CD"/>
    <w:rsid w:val="00393103"/>
    <w:rsid w:val="003935EB"/>
    <w:rsid w:val="00393AE9"/>
    <w:rsid w:val="00393B86"/>
    <w:rsid w:val="003945BD"/>
    <w:rsid w:val="00394AD3"/>
    <w:rsid w:val="00394E81"/>
    <w:rsid w:val="00395C5E"/>
    <w:rsid w:val="00396054"/>
    <w:rsid w:val="0039630B"/>
    <w:rsid w:val="003967C7"/>
    <w:rsid w:val="00396F16"/>
    <w:rsid w:val="003971A1"/>
    <w:rsid w:val="0039776C"/>
    <w:rsid w:val="003978B4"/>
    <w:rsid w:val="00397A1E"/>
    <w:rsid w:val="00397A2F"/>
    <w:rsid w:val="003A00F5"/>
    <w:rsid w:val="003A019F"/>
    <w:rsid w:val="003A06EB"/>
    <w:rsid w:val="003A0F35"/>
    <w:rsid w:val="003A18FA"/>
    <w:rsid w:val="003A1AC6"/>
    <w:rsid w:val="003A2212"/>
    <w:rsid w:val="003A2260"/>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612B"/>
    <w:rsid w:val="003B634A"/>
    <w:rsid w:val="003B6442"/>
    <w:rsid w:val="003B7351"/>
    <w:rsid w:val="003B76E4"/>
    <w:rsid w:val="003C02E8"/>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A02"/>
    <w:rsid w:val="003C5F3D"/>
    <w:rsid w:val="003C6050"/>
    <w:rsid w:val="003C61A4"/>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ADF"/>
    <w:rsid w:val="003E5D66"/>
    <w:rsid w:val="003E67EF"/>
    <w:rsid w:val="003E7F21"/>
    <w:rsid w:val="003F073C"/>
    <w:rsid w:val="003F09C1"/>
    <w:rsid w:val="003F0B1F"/>
    <w:rsid w:val="003F0B92"/>
    <w:rsid w:val="003F0BD3"/>
    <w:rsid w:val="003F0CFA"/>
    <w:rsid w:val="003F11BC"/>
    <w:rsid w:val="003F163E"/>
    <w:rsid w:val="003F1B7B"/>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8"/>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2E77"/>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3E6"/>
    <w:rsid w:val="00416770"/>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34F"/>
    <w:rsid w:val="00424513"/>
    <w:rsid w:val="00424F64"/>
    <w:rsid w:val="00425667"/>
    <w:rsid w:val="00425E3A"/>
    <w:rsid w:val="00426960"/>
    <w:rsid w:val="004308AE"/>
    <w:rsid w:val="00430932"/>
    <w:rsid w:val="00430DFD"/>
    <w:rsid w:val="00431386"/>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7AC"/>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21F0"/>
    <w:rsid w:val="00442319"/>
    <w:rsid w:val="004429DB"/>
    <w:rsid w:val="00442A16"/>
    <w:rsid w:val="00442D22"/>
    <w:rsid w:val="00443075"/>
    <w:rsid w:val="004430CC"/>
    <w:rsid w:val="00443AE7"/>
    <w:rsid w:val="00444C2B"/>
    <w:rsid w:val="00445647"/>
    <w:rsid w:val="00445C54"/>
    <w:rsid w:val="00445D97"/>
    <w:rsid w:val="0044634A"/>
    <w:rsid w:val="00446629"/>
    <w:rsid w:val="00446784"/>
    <w:rsid w:val="004468EC"/>
    <w:rsid w:val="00446971"/>
    <w:rsid w:val="0044701F"/>
    <w:rsid w:val="00447194"/>
    <w:rsid w:val="00450311"/>
    <w:rsid w:val="00450456"/>
    <w:rsid w:val="004508E4"/>
    <w:rsid w:val="004509D6"/>
    <w:rsid w:val="004516C1"/>
    <w:rsid w:val="00451E5A"/>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0BC7"/>
    <w:rsid w:val="00481959"/>
    <w:rsid w:val="004819A1"/>
    <w:rsid w:val="00481BB9"/>
    <w:rsid w:val="00481F80"/>
    <w:rsid w:val="00482107"/>
    <w:rsid w:val="00482456"/>
    <w:rsid w:val="00482487"/>
    <w:rsid w:val="004826D5"/>
    <w:rsid w:val="0048284A"/>
    <w:rsid w:val="00482942"/>
    <w:rsid w:val="00483B0F"/>
    <w:rsid w:val="00483C3A"/>
    <w:rsid w:val="00483D3F"/>
    <w:rsid w:val="0048401C"/>
    <w:rsid w:val="0048420D"/>
    <w:rsid w:val="00484441"/>
    <w:rsid w:val="0048490A"/>
    <w:rsid w:val="00484A9F"/>
    <w:rsid w:val="00485177"/>
    <w:rsid w:val="00485A4F"/>
    <w:rsid w:val="00485EE4"/>
    <w:rsid w:val="00486129"/>
    <w:rsid w:val="0048660C"/>
    <w:rsid w:val="00486916"/>
    <w:rsid w:val="00486A1E"/>
    <w:rsid w:val="00487039"/>
    <w:rsid w:val="004872D6"/>
    <w:rsid w:val="0048756A"/>
    <w:rsid w:val="00487FA8"/>
    <w:rsid w:val="00490051"/>
    <w:rsid w:val="00490A63"/>
    <w:rsid w:val="00490C19"/>
    <w:rsid w:val="00492124"/>
    <w:rsid w:val="004922AB"/>
    <w:rsid w:val="00492608"/>
    <w:rsid w:val="0049362E"/>
    <w:rsid w:val="00493636"/>
    <w:rsid w:val="0049392B"/>
    <w:rsid w:val="0049421E"/>
    <w:rsid w:val="00494355"/>
    <w:rsid w:val="004945BD"/>
    <w:rsid w:val="00494846"/>
    <w:rsid w:val="00494E6C"/>
    <w:rsid w:val="00495089"/>
    <w:rsid w:val="004953F0"/>
    <w:rsid w:val="0049549E"/>
    <w:rsid w:val="004954B9"/>
    <w:rsid w:val="00495694"/>
    <w:rsid w:val="00495763"/>
    <w:rsid w:val="00495799"/>
    <w:rsid w:val="0049596C"/>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4E4E"/>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6E8"/>
    <w:rsid w:val="004C0755"/>
    <w:rsid w:val="004C07D9"/>
    <w:rsid w:val="004C0B1E"/>
    <w:rsid w:val="004C0D5C"/>
    <w:rsid w:val="004C10BE"/>
    <w:rsid w:val="004C125A"/>
    <w:rsid w:val="004C19C9"/>
    <w:rsid w:val="004C1C44"/>
    <w:rsid w:val="004C23B4"/>
    <w:rsid w:val="004C27C8"/>
    <w:rsid w:val="004C2ACB"/>
    <w:rsid w:val="004C3411"/>
    <w:rsid w:val="004C3606"/>
    <w:rsid w:val="004C364F"/>
    <w:rsid w:val="004C4374"/>
    <w:rsid w:val="004C4643"/>
    <w:rsid w:val="004C4C7E"/>
    <w:rsid w:val="004C6CFC"/>
    <w:rsid w:val="004C7697"/>
    <w:rsid w:val="004C7877"/>
    <w:rsid w:val="004D0853"/>
    <w:rsid w:val="004D0B71"/>
    <w:rsid w:val="004D149D"/>
    <w:rsid w:val="004D14B4"/>
    <w:rsid w:val="004D14DF"/>
    <w:rsid w:val="004D1552"/>
    <w:rsid w:val="004D1A9D"/>
    <w:rsid w:val="004D1C92"/>
    <w:rsid w:val="004D1CA1"/>
    <w:rsid w:val="004D28E7"/>
    <w:rsid w:val="004D2BFC"/>
    <w:rsid w:val="004D37E4"/>
    <w:rsid w:val="004D3B15"/>
    <w:rsid w:val="004D3EB8"/>
    <w:rsid w:val="004D4547"/>
    <w:rsid w:val="004D48AE"/>
    <w:rsid w:val="004D4927"/>
    <w:rsid w:val="004D49C1"/>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CAD"/>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01"/>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1D22"/>
    <w:rsid w:val="005020CF"/>
    <w:rsid w:val="005020DC"/>
    <w:rsid w:val="00503546"/>
    <w:rsid w:val="005035A4"/>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2590"/>
    <w:rsid w:val="005134E0"/>
    <w:rsid w:val="005134EE"/>
    <w:rsid w:val="005136E6"/>
    <w:rsid w:val="00513FEA"/>
    <w:rsid w:val="00514200"/>
    <w:rsid w:val="005143CA"/>
    <w:rsid w:val="0051457C"/>
    <w:rsid w:val="005149CD"/>
    <w:rsid w:val="00515A93"/>
    <w:rsid w:val="00516BA6"/>
    <w:rsid w:val="005175C0"/>
    <w:rsid w:val="00517940"/>
    <w:rsid w:val="00517ACE"/>
    <w:rsid w:val="005207C6"/>
    <w:rsid w:val="00520FAC"/>
    <w:rsid w:val="00521A75"/>
    <w:rsid w:val="00521C35"/>
    <w:rsid w:val="00521C73"/>
    <w:rsid w:val="005220C5"/>
    <w:rsid w:val="00522491"/>
    <w:rsid w:val="00522CFA"/>
    <w:rsid w:val="005233B3"/>
    <w:rsid w:val="005239C0"/>
    <w:rsid w:val="00523C77"/>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D52"/>
    <w:rsid w:val="00533DCC"/>
    <w:rsid w:val="005343E9"/>
    <w:rsid w:val="00534422"/>
    <w:rsid w:val="00534A7C"/>
    <w:rsid w:val="00534B31"/>
    <w:rsid w:val="00534E25"/>
    <w:rsid w:val="00535202"/>
    <w:rsid w:val="00535C17"/>
    <w:rsid w:val="00535E04"/>
    <w:rsid w:val="00536105"/>
    <w:rsid w:val="00536CA4"/>
    <w:rsid w:val="00536FCB"/>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08"/>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05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A92"/>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5E2"/>
    <w:rsid w:val="00583D21"/>
    <w:rsid w:val="00583E03"/>
    <w:rsid w:val="00584E44"/>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145"/>
    <w:rsid w:val="005A0A95"/>
    <w:rsid w:val="005A0F7E"/>
    <w:rsid w:val="005A0FF1"/>
    <w:rsid w:val="005A1031"/>
    <w:rsid w:val="005A1F4B"/>
    <w:rsid w:val="005A211C"/>
    <w:rsid w:val="005A23E0"/>
    <w:rsid w:val="005A24A7"/>
    <w:rsid w:val="005A2DC1"/>
    <w:rsid w:val="005A2FF8"/>
    <w:rsid w:val="005A32B9"/>
    <w:rsid w:val="005A344A"/>
    <w:rsid w:val="005A3490"/>
    <w:rsid w:val="005A359A"/>
    <w:rsid w:val="005A37A9"/>
    <w:rsid w:val="005A3B7A"/>
    <w:rsid w:val="005A3F25"/>
    <w:rsid w:val="005A40E6"/>
    <w:rsid w:val="005A4543"/>
    <w:rsid w:val="005A4841"/>
    <w:rsid w:val="005A4B1F"/>
    <w:rsid w:val="005A4D61"/>
    <w:rsid w:val="005A5004"/>
    <w:rsid w:val="005A50C0"/>
    <w:rsid w:val="005A5B46"/>
    <w:rsid w:val="005A5CF3"/>
    <w:rsid w:val="005A63C9"/>
    <w:rsid w:val="005A68D7"/>
    <w:rsid w:val="005A6998"/>
    <w:rsid w:val="005A6ED0"/>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AE2"/>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28B"/>
    <w:rsid w:val="005B79B6"/>
    <w:rsid w:val="005B7A4B"/>
    <w:rsid w:val="005B7A4F"/>
    <w:rsid w:val="005B7E6E"/>
    <w:rsid w:val="005C0196"/>
    <w:rsid w:val="005C01A3"/>
    <w:rsid w:val="005C0287"/>
    <w:rsid w:val="005C086C"/>
    <w:rsid w:val="005C0C47"/>
    <w:rsid w:val="005C1030"/>
    <w:rsid w:val="005C13F9"/>
    <w:rsid w:val="005C14BC"/>
    <w:rsid w:val="005C1BAA"/>
    <w:rsid w:val="005C291D"/>
    <w:rsid w:val="005C2AE6"/>
    <w:rsid w:val="005C2BF4"/>
    <w:rsid w:val="005C2D6A"/>
    <w:rsid w:val="005C2D97"/>
    <w:rsid w:val="005C31A5"/>
    <w:rsid w:val="005C31E4"/>
    <w:rsid w:val="005C32B7"/>
    <w:rsid w:val="005C34D5"/>
    <w:rsid w:val="005C34F9"/>
    <w:rsid w:val="005C38D3"/>
    <w:rsid w:val="005C3C58"/>
    <w:rsid w:val="005C3F78"/>
    <w:rsid w:val="005C4E71"/>
    <w:rsid w:val="005C541B"/>
    <w:rsid w:val="005C54AE"/>
    <w:rsid w:val="005C5733"/>
    <w:rsid w:val="005C5736"/>
    <w:rsid w:val="005C5B1C"/>
    <w:rsid w:val="005C5C84"/>
    <w:rsid w:val="005C5CED"/>
    <w:rsid w:val="005C60B9"/>
    <w:rsid w:val="005C63F4"/>
    <w:rsid w:val="005C668E"/>
    <w:rsid w:val="005C6C09"/>
    <w:rsid w:val="005C6F2A"/>
    <w:rsid w:val="005C7DE1"/>
    <w:rsid w:val="005D0241"/>
    <w:rsid w:val="005D02FF"/>
    <w:rsid w:val="005D0BE4"/>
    <w:rsid w:val="005D0E70"/>
    <w:rsid w:val="005D128A"/>
    <w:rsid w:val="005D165A"/>
    <w:rsid w:val="005D1DD7"/>
    <w:rsid w:val="005D209C"/>
    <w:rsid w:val="005D2212"/>
    <w:rsid w:val="005D3038"/>
    <w:rsid w:val="005D3961"/>
    <w:rsid w:val="005D3D17"/>
    <w:rsid w:val="005D3D18"/>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5DA"/>
    <w:rsid w:val="005E4816"/>
    <w:rsid w:val="005E48A7"/>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D47"/>
    <w:rsid w:val="0060163B"/>
    <w:rsid w:val="00602426"/>
    <w:rsid w:val="00602457"/>
    <w:rsid w:val="00602956"/>
    <w:rsid w:val="00602B7B"/>
    <w:rsid w:val="00602DD2"/>
    <w:rsid w:val="006032A9"/>
    <w:rsid w:val="00603CAE"/>
    <w:rsid w:val="00603F94"/>
    <w:rsid w:val="0060441A"/>
    <w:rsid w:val="006044D5"/>
    <w:rsid w:val="006057CF"/>
    <w:rsid w:val="00605919"/>
    <w:rsid w:val="00605B90"/>
    <w:rsid w:val="00605F60"/>
    <w:rsid w:val="006062FE"/>
    <w:rsid w:val="0060644B"/>
    <w:rsid w:val="0060661B"/>
    <w:rsid w:val="00607120"/>
    <w:rsid w:val="0060799C"/>
    <w:rsid w:val="00607D37"/>
    <w:rsid w:val="0061011F"/>
    <w:rsid w:val="0061038A"/>
    <w:rsid w:val="00610553"/>
    <w:rsid w:val="006109F7"/>
    <w:rsid w:val="00610CB8"/>
    <w:rsid w:val="006114EA"/>
    <w:rsid w:val="006115B1"/>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9F1"/>
    <w:rsid w:val="00621FE5"/>
    <w:rsid w:val="00622479"/>
    <w:rsid w:val="00622568"/>
    <w:rsid w:val="00622703"/>
    <w:rsid w:val="0062292D"/>
    <w:rsid w:val="00623C4C"/>
    <w:rsid w:val="00624140"/>
    <w:rsid w:val="00624588"/>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0F17"/>
    <w:rsid w:val="00631405"/>
    <w:rsid w:val="00631C65"/>
    <w:rsid w:val="00631FB9"/>
    <w:rsid w:val="006320DB"/>
    <w:rsid w:val="006321EF"/>
    <w:rsid w:val="00632270"/>
    <w:rsid w:val="0063286F"/>
    <w:rsid w:val="00632EE2"/>
    <w:rsid w:val="00632F6B"/>
    <w:rsid w:val="00632F81"/>
    <w:rsid w:val="006331A9"/>
    <w:rsid w:val="006339DB"/>
    <w:rsid w:val="00633A78"/>
    <w:rsid w:val="00633E04"/>
    <w:rsid w:val="00633EC4"/>
    <w:rsid w:val="0063402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AD0"/>
    <w:rsid w:val="00642D30"/>
    <w:rsid w:val="00643B34"/>
    <w:rsid w:val="00643C32"/>
    <w:rsid w:val="00643E13"/>
    <w:rsid w:val="00644219"/>
    <w:rsid w:val="0064448B"/>
    <w:rsid w:val="006446FA"/>
    <w:rsid w:val="00644C5E"/>
    <w:rsid w:val="00645243"/>
    <w:rsid w:val="006456B1"/>
    <w:rsid w:val="00645BFC"/>
    <w:rsid w:val="00645F17"/>
    <w:rsid w:val="00646469"/>
    <w:rsid w:val="00646519"/>
    <w:rsid w:val="006472F5"/>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E99"/>
    <w:rsid w:val="00656F6D"/>
    <w:rsid w:val="00657266"/>
    <w:rsid w:val="00657B32"/>
    <w:rsid w:val="00657D3A"/>
    <w:rsid w:val="00657F6F"/>
    <w:rsid w:val="00660319"/>
    <w:rsid w:val="006606CE"/>
    <w:rsid w:val="0066090C"/>
    <w:rsid w:val="00660944"/>
    <w:rsid w:val="00660AD4"/>
    <w:rsid w:val="00660F51"/>
    <w:rsid w:val="0066144F"/>
    <w:rsid w:val="006619A4"/>
    <w:rsid w:val="00662038"/>
    <w:rsid w:val="0066224D"/>
    <w:rsid w:val="006632A6"/>
    <w:rsid w:val="00663A2F"/>
    <w:rsid w:val="00664181"/>
    <w:rsid w:val="00664FB9"/>
    <w:rsid w:val="00665A84"/>
    <w:rsid w:val="00665D95"/>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848"/>
    <w:rsid w:val="0068093A"/>
    <w:rsid w:val="00680A34"/>
    <w:rsid w:val="00680E3F"/>
    <w:rsid w:val="00680F69"/>
    <w:rsid w:val="006819FE"/>
    <w:rsid w:val="00681B8D"/>
    <w:rsid w:val="0068203E"/>
    <w:rsid w:val="0068231D"/>
    <w:rsid w:val="006824A6"/>
    <w:rsid w:val="00682775"/>
    <w:rsid w:val="0068357C"/>
    <w:rsid w:val="006837EC"/>
    <w:rsid w:val="006839B1"/>
    <w:rsid w:val="006839DD"/>
    <w:rsid w:val="00683BA3"/>
    <w:rsid w:val="00683FDE"/>
    <w:rsid w:val="0068444E"/>
    <w:rsid w:val="00684616"/>
    <w:rsid w:val="00684906"/>
    <w:rsid w:val="00685B08"/>
    <w:rsid w:val="00686550"/>
    <w:rsid w:val="006865BF"/>
    <w:rsid w:val="006866F3"/>
    <w:rsid w:val="00687001"/>
    <w:rsid w:val="00687395"/>
    <w:rsid w:val="00687441"/>
    <w:rsid w:val="00687529"/>
    <w:rsid w:val="0068755A"/>
    <w:rsid w:val="00687F33"/>
    <w:rsid w:val="00690C25"/>
    <w:rsid w:val="00690E1B"/>
    <w:rsid w:val="00691433"/>
    <w:rsid w:val="00691660"/>
    <w:rsid w:val="00691D19"/>
    <w:rsid w:val="00691F81"/>
    <w:rsid w:val="006920D5"/>
    <w:rsid w:val="00692231"/>
    <w:rsid w:val="00694253"/>
    <w:rsid w:val="0069566E"/>
    <w:rsid w:val="006958AA"/>
    <w:rsid w:val="00695E1A"/>
    <w:rsid w:val="00695E83"/>
    <w:rsid w:val="006964EA"/>
    <w:rsid w:val="00696634"/>
    <w:rsid w:val="00697023"/>
    <w:rsid w:val="0069718D"/>
    <w:rsid w:val="006A0627"/>
    <w:rsid w:val="006A11D9"/>
    <w:rsid w:val="006A145C"/>
    <w:rsid w:val="006A260F"/>
    <w:rsid w:val="006A2C1A"/>
    <w:rsid w:val="006A30CC"/>
    <w:rsid w:val="006A3859"/>
    <w:rsid w:val="006A46DF"/>
    <w:rsid w:val="006A4C0E"/>
    <w:rsid w:val="006A4F2D"/>
    <w:rsid w:val="006A514B"/>
    <w:rsid w:val="006A5A3B"/>
    <w:rsid w:val="006A5B5B"/>
    <w:rsid w:val="006A6C74"/>
    <w:rsid w:val="006A6F7A"/>
    <w:rsid w:val="006A77E3"/>
    <w:rsid w:val="006A7F8D"/>
    <w:rsid w:val="006B0BB8"/>
    <w:rsid w:val="006B0D73"/>
    <w:rsid w:val="006B1201"/>
    <w:rsid w:val="006B171C"/>
    <w:rsid w:val="006B1B2A"/>
    <w:rsid w:val="006B1D93"/>
    <w:rsid w:val="006B25C7"/>
    <w:rsid w:val="006B261C"/>
    <w:rsid w:val="006B2E8B"/>
    <w:rsid w:val="006B310D"/>
    <w:rsid w:val="006B35C0"/>
    <w:rsid w:val="006B3AD7"/>
    <w:rsid w:val="006B3F94"/>
    <w:rsid w:val="006B4043"/>
    <w:rsid w:val="006B4247"/>
    <w:rsid w:val="006B476D"/>
    <w:rsid w:val="006B47AF"/>
    <w:rsid w:val="006B4B50"/>
    <w:rsid w:val="006B4B9A"/>
    <w:rsid w:val="006B4F72"/>
    <w:rsid w:val="006B5C1C"/>
    <w:rsid w:val="006B64AF"/>
    <w:rsid w:val="006B653B"/>
    <w:rsid w:val="006B695C"/>
    <w:rsid w:val="006B6E03"/>
    <w:rsid w:val="006B7045"/>
    <w:rsid w:val="006B732A"/>
    <w:rsid w:val="006B7423"/>
    <w:rsid w:val="006B799B"/>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0EC"/>
    <w:rsid w:val="006C72E0"/>
    <w:rsid w:val="006C7691"/>
    <w:rsid w:val="006C7875"/>
    <w:rsid w:val="006C7D83"/>
    <w:rsid w:val="006D037E"/>
    <w:rsid w:val="006D04AD"/>
    <w:rsid w:val="006D08F5"/>
    <w:rsid w:val="006D11C3"/>
    <w:rsid w:val="006D12DA"/>
    <w:rsid w:val="006D1B1C"/>
    <w:rsid w:val="006D1D36"/>
    <w:rsid w:val="006D2024"/>
    <w:rsid w:val="006D228F"/>
    <w:rsid w:val="006D27FA"/>
    <w:rsid w:val="006D2F35"/>
    <w:rsid w:val="006D321F"/>
    <w:rsid w:val="006D3853"/>
    <w:rsid w:val="006D3952"/>
    <w:rsid w:val="006D3A37"/>
    <w:rsid w:val="006D42E4"/>
    <w:rsid w:val="006D4360"/>
    <w:rsid w:val="006D4A8C"/>
    <w:rsid w:val="006D4EB6"/>
    <w:rsid w:val="006D5233"/>
    <w:rsid w:val="006D533E"/>
    <w:rsid w:val="006D568C"/>
    <w:rsid w:val="006D600D"/>
    <w:rsid w:val="006D6138"/>
    <w:rsid w:val="006D6171"/>
    <w:rsid w:val="006D630C"/>
    <w:rsid w:val="006D6504"/>
    <w:rsid w:val="006D661D"/>
    <w:rsid w:val="006D684E"/>
    <w:rsid w:val="006D6BB5"/>
    <w:rsid w:val="006D6FEA"/>
    <w:rsid w:val="006D7299"/>
    <w:rsid w:val="006D748F"/>
    <w:rsid w:val="006E0275"/>
    <w:rsid w:val="006E0C8B"/>
    <w:rsid w:val="006E0D02"/>
    <w:rsid w:val="006E0D61"/>
    <w:rsid w:val="006E1029"/>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4C7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67A"/>
    <w:rsid w:val="006F6768"/>
    <w:rsid w:val="006F6D50"/>
    <w:rsid w:val="006F6E4A"/>
    <w:rsid w:val="006F6EF3"/>
    <w:rsid w:val="006F706E"/>
    <w:rsid w:val="006F78A3"/>
    <w:rsid w:val="006F7F54"/>
    <w:rsid w:val="006F7FD6"/>
    <w:rsid w:val="00700265"/>
    <w:rsid w:val="007003DE"/>
    <w:rsid w:val="007007B7"/>
    <w:rsid w:val="00700C1E"/>
    <w:rsid w:val="00700C4A"/>
    <w:rsid w:val="0070113F"/>
    <w:rsid w:val="00701B48"/>
    <w:rsid w:val="00701B75"/>
    <w:rsid w:val="007025E8"/>
    <w:rsid w:val="00702E74"/>
    <w:rsid w:val="00702FC6"/>
    <w:rsid w:val="0070325A"/>
    <w:rsid w:val="007041C9"/>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079AF"/>
    <w:rsid w:val="0071026A"/>
    <w:rsid w:val="00710310"/>
    <w:rsid w:val="00710AD3"/>
    <w:rsid w:val="00710DA5"/>
    <w:rsid w:val="007115D9"/>
    <w:rsid w:val="0071170A"/>
    <w:rsid w:val="00711CA1"/>
    <w:rsid w:val="00711F10"/>
    <w:rsid w:val="00711F69"/>
    <w:rsid w:val="007123BB"/>
    <w:rsid w:val="0071245B"/>
    <w:rsid w:val="007125B2"/>
    <w:rsid w:val="00712C54"/>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30A9"/>
    <w:rsid w:val="007231FF"/>
    <w:rsid w:val="00723783"/>
    <w:rsid w:val="007238F0"/>
    <w:rsid w:val="007239C5"/>
    <w:rsid w:val="007239CB"/>
    <w:rsid w:val="00723BA7"/>
    <w:rsid w:val="007249C4"/>
    <w:rsid w:val="00724FC8"/>
    <w:rsid w:val="0072506B"/>
    <w:rsid w:val="007250D0"/>
    <w:rsid w:val="00725117"/>
    <w:rsid w:val="0072560A"/>
    <w:rsid w:val="00725A56"/>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13"/>
    <w:rsid w:val="00745199"/>
    <w:rsid w:val="0074566F"/>
    <w:rsid w:val="007457FA"/>
    <w:rsid w:val="00745F0E"/>
    <w:rsid w:val="0074645C"/>
    <w:rsid w:val="00746887"/>
    <w:rsid w:val="00746919"/>
    <w:rsid w:val="00747528"/>
    <w:rsid w:val="007479A1"/>
    <w:rsid w:val="00747B98"/>
    <w:rsid w:val="00747C1A"/>
    <w:rsid w:val="0075048D"/>
    <w:rsid w:val="00750703"/>
    <w:rsid w:val="00750A29"/>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751"/>
    <w:rsid w:val="0075782F"/>
    <w:rsid w:val="007579DF"/>
    <w:rsid w:val="00757E67"/>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CFC"/>
    <w:rsid w:val="00766E50"/>
    <w:rsid w:val="00767156"/>
    <w:rsid w:val="00767A14"/>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4B3"/>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28"/>
    <w:rsid w:val="0079315C"/>
    <w:rsid w:val="00793530"/>
    <w:rsid w:val="007936AA"/>
    <w:rsid w:val="00793973"/>
    <w:rsid w:val="007940CD"/>
    <w:rsid w:val="00794343"/>
    <w:rsid w:val="00794743"/>
    <w:rsid w:val="00794BE0"/>
    <w:rsid w:val="00795049"/>
    <w:rsid w:val="0079571A"/>
    <w:rsid w:val="00795721"/>
    <w:rsid w:val="007957EC"/>
    <w:rsid w:val="00795CBF"/>
    <w:rsid w:val="007962AA"/>
    <w:rsid w:val="00796701"/>
    <w:rsid w:val="00796C57"/>
    <w:rsid w:val="00796C8D"/>
    <w:rsid w:val="00797573"/>
    <w:rsid w:val="007977B1"/>
    <w:rsid w:val="00797D72"/>
    <w:rsid w:val="007A0664"/>
    <w:rsid w:val="007A06A7"/>
    <w:rsid w:val="007A074C"/>
    <w:rsid w:val="007A0930"/>
    <w:rsid w:val="007A1799"/>
    <w:rsid w:val="007A202C"/>
    <w:rsid w:val="007A2BA8"/>
    <w:rsid w:val="007A2DA1"/>
    <w:rsid w:val="007A2F82"/>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31F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3E3D"/>
    <w:rsid w:val="007C40DC"/>
    <w:rsid w:val="007C44A4"/>
    <w:rsid w:val="007C47EF"/>
    <w:rsid w:val="007C48B5"/>
    <w:rsid w:val="007C4B72"/>
    <w:rsid w:val="007C4E9C"/>
    <w:rsid w:val="007C562E"/>
    <w:rsid w:val="007C57C7"/>
    <w:rsid w:val="007C5D58"/>
    <w:rsid w:val="007C5E0B"/>
    <w:rsid w:val="007C5E6B"/>
    <w:rsid w:val="007C61FF"/>
    <w:rsid w:val="007C68E5"/>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31D"/>
    <w:rsid w:val="007D7A99"/>
    <w:rsid w:val="007E02A2"/>
    <w:rsid w:val="007E0489"/>
    <w:rsid w:val="007E0898"/>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E7B41"/>
    <w:rsid w:val="007F0268"/>
    <w:rsid w:val="007F05D5"/>
    <w:rsid w:val="007F0A9E"/>
    <w:rsid w:val="007F0EAE"/>
    <w:rsid w:val="007F14C1"/>
    <w:rsid w:val="007F1AC8"/>
    <w:rsid w:val="007F1C23"/>
    <w:rsid w:val="007F1F11"/>
    <w:rsid w:val="007F27E4"/>
    <w:rsid w:val="007F2D74"/>
    <w:rsid w:val="007F3CA0"/>
    <w:rsid w:val="007F443B"/>
    <w:rsid w:val="007F44C8"/>
    <w:rsid w:val="007F4593"/>
    <w:rsid w:val="007F4E77"/>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AE"/>
    <w:rsid w:val="008142F8"/>
    <w:rsid w:val="00814347"/>
    <w:rsid w:val="00814535"/>
    <w:rsid w:val="008147E6"/>
    <w:rsid w:val="00814B10"/>
    <w:rsid w:val="00814D5C"/>
    <w:rsid w:val="00815589"/>
    <w:rsid w:val="00815B43"/>
    <w:rsid w:val="00815B9F"/>
    <w:rsid w:val="0081625E"/>
    <w:rsid w:val="0081632C"/>
    <w:rsid w:val="00816836"/>
    <w:rsid w:val="008174A8"/>
    <w:rsid w:val="00817AFE"/>
    <w:rsid w:val="00817D22"/>
    <w:rsid w:val="00817DF2"/>
    <w:rsid w:val="00817F7E"/>
    <w:rsid w:val="008201BD"/>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BC6"/>
    <w:rsid w:val="00827EE9"/>
    <w:rsid w:val="00830003"/>
    <w:rsid w:val="008301DA"/>
    <w:rsid w:val="008308EA"/>
    <w:rsid w:val="00830ABE"/>
    <w:rsid w:val="00830E8C"/>
    <w:rsid w:val="008316DC"/>
    <w:rsid w:val="008320B9"/>
    <w:rsid w:val="008322B3"/>
    <w:rsid w:val="008322F5"/>
    <w:rsid w:val="00832B6F"/>
    <w:rsid w:val="00832CBD"/>
    <w:rsid w:val="00833209"/>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28E"/>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8A8"/>
    <w:rsid w:val="00851959"/>
    <w:rsid w:val="008526AC"/>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0BA"/>
    <w:rsid w:val="008641FB"/>
    <w:rsid w:val="0086435E"/>
    <w:rsid w:val="00864A4C"/>
    <w:rsid w:val="00864C4C"/>
    <w:rsid w:val="0086695E"/>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519"/>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918"/>
    <w:rsid w:val="00887AD5"/>
    <w:rsid w:val="00887D5A"/>
    <w:rsid w:val="00887F6A"/>
    <w:rsid w:val="00890808"/>
    <w:rsid w:val="00890F62"/>
    <w:rsid w:val="0089116E"/>
    <w:rsid w:val="00891248"/>
    <w:rsid w:val="008913EE"/>
    <w:rsid w:val="0089184D"/>
    <w:rsid w:val="00891AEB"/>
    <w:rsid w:val="00891CEC"/>
    <w:rsid w:val="00891F6B"/>
    <w:rsid w:val="0089207D"/>
    <w:rsid w:val="00892466"/>
    <w:rsid w:val="00892518"/>
    <w:rsid w:val="0089255F"/>
    <w:rsid w:val="00892989"/>
    <w:rsid w:val="0089318B"/>
    <w:rsid w:val="0089399F"/>
    <w:rsid w:val="0089402F"/>
    <w:rsid w:val="00894406"/>
    <w:rsid w:val="008952E6"/>
    <w:rsid w:val="008955B8"/>
    <w:rsid w:val="00895707"/>
    <w:rsid w:val="008959F8"/>
    <w:rsid w:val="00895EAC"/>
    <w:rsid w:val="00896920"/>
    <w:rsid w:val="008969C0"/>
    <w:rsid w:val="00896A44"/>
    <w:rsid w:val="00896BBC"/>
    <w:rsid w:val="00896D7F"/>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AF6"/>
    <w:rsid w:val="008A3F2C"/>
    <w:rsid w:val="008A40D1"/>
    <w:rsid w:val="008A41F8"/>
    <w:rsid w:val="008A4916"/>
    <w:rsid w:val="008A4C3E"/>
    <w:rsid w:val="008A5001"/>
    <w:rsid w:val="008A5153"/>
    <w:rsid w:val="008A5240"/>
    <w:rsid w:val="008A569F"/>
    <w:rsid w:val="008A5A36"/>
    <w:rsid w:val="008A5EFF"/>
    <w:rsid w:val="008A6004"/>
    <w:rsid w:val="008A6425"/>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12B"/>
    <w:rsid w:val="008B3265"/>
    <w:rsid w:val="008B3461"/>
    <w:rsid w:val="008B38B5"/>
    <w:rsid w:val="008B3CBA"/>
    <w:rsid w:val="008B436E"/>
    <w:rsid w:val="008B4795"/>
    <w:rsid w:val="008B47AA"/>
    <w:rsid w:val="008B4910"/>
    <w:rsid w:val="008B4CAB"/>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5E3"/>
    <w:rsid w:val="008C6A7F"/>
    <w:rsid w:val="008C6B4B"/>
    <w:rsid w:val="008C711B"/>
    <w:rsid w:val="008C7147"/>
    <w:rsid w:val="008C71B0"/>
    <w:rsid w:val="008C72A0"/>
    <w:rsid w:val="008C7C30"/>
    <w:rsid w:val="008C7CE0"/>
    <w:rsid w:val="008D03D8"/>
    <w:rsid w:val="008D0F18"/>
    <w:rsid w:val="008D12D6"/>
    <w:rsid w:val="008D20CE"/>
    <w:rsid w:val="008D21D0"/>
    <w:rsid w:val="008D2710"/>
    <w:rsid w:val="008D2965"/>
    <w:rsid w:val="008D331E"/>
    <w:rsid w:val="008D3637"/>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2EE6"/>
    <w:rsid w:val="008F3034"/>
    <w:rsid w:val="008F339E"/>
    <w:rsid w:val="008F3702"/>
    <w:rsid w:val="008F376B"/>
    <w:rsid w:val="008F3B0D"/>
    <w:rsid w:val="008F3E98"/>
    <w:rsid w:val="008F3F8B"/>
    <w:rsid w:val="008F5338"/>
    <w:rsid w:val="008F567F"/>
    <w:rsid w:val="008F5699"/>
    <w:rsid w:val="008F5EDF"/>
    <w:rsid w:val="008F5FCC"/>
    <w:rsid w:val="008F6AD0"/>
    <w:rsid w:val="008F6F50"/>
    <w:rsid w:val="008F6F83"/>
    <w:rsid w:val="008F7128"/>
    <w:rsid w:val="008F72E8"/>
    <w:rsid w:val="008F77E9"/>
    <w:rsid w:val="008F7A70"/>
    <w:rsid w:val="008F7BBF"/>
    <w:rsid w:val="00900059"/>
    <w:rsid w:val="0090044C"/>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AD2"/>
    <w:rsid w:val="00911D06"/>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6BD7"/>
    <w:rsid w:val="009173E1"/>
    <w:rsid w:val="00920066"/>
    <w:rsid w:val="00920208"/>
    <w:rsid w:val="009205CD"/>
    <w:rsid w:val="00920668"/>
    <w:rsid w:val="00920669"/>
    <w:rsid w:val="009208F5"/>
    <w:rsid w:val="009209E3"/>
    <w:rsid w:val="00920E97"/>
    <w:rsid w:val="00920EE7"/>
    <w:rsid w:val="0092104C"/>
    <w:rsid w:val="009210F5"/>
    <w:rsid w:val="0092121D"/>
    <w:rsid w:val="009218EB"/>
    <w:rsid w:val="00921999"/>
    <w:rsid w:val="00921E93"/>
    <w:rsid w:val="00922512"/>
    <w:rsid w:val="00922A4F"/>
    <w:rsid w:val="00922F5B"/>
    <w:rsid w:val="00923695"/>
    <w:rsid w:val="009236D5"/>
    <w:rsid w:val="00923AFE"/>
    <w:rsid w:val="00923E41"/>
    <w:rsid w:val="0092519E"/>
    <w:rsid w:val="009257BF"/>
    <w:rsid w:val="00925C00"/>
    <w:rsid w:val="00925C8D"/>
    <w:rsid w:val="00925F0C"/>
    <w:rsid w:val="009260F4"/>
    <w:rsid w:val="0092655A"/>
    <w:rsid w:val="0092768A"/>
    <w:rsid w:val="00927B95"/>
    <w:rsid w:val="00927BB7"/>
    <w:rsid w:val="00927DE3"/>
    <w:rsid w:val="0093033A"/>
    <w:rsid w:val="00930712"/>
    <w:rsid w:val="00930920"/>
    <w:rsid w:val="009314C9"/>
    <w:rsid w:val="00931B33"/>
    <w:rsid w:val="00931EDE"/>
    <w:rsid w:val="00932672"/>
    <w:rsid w:val="009326DA"/>
    <w:rsid w:val="009328CE"/>
    <w:rsid w:val="009331FB"/>
    <w:rsid w:val="0093351E"/>
    <w:rsid w:val="00933815"/>
    <w:rsid w:val="009339A5"/>
    <w:rsid w:val="00933A32"/>
    <w:rsid w:val="00933FD0"/>
    <w:rsid w:val="009347FF"/>
    <w:rsid w:val="009349DE"/>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31"/>
    <w:rsid w:val="009408C3"/>
    <w:rsid w:val="009411B1"/>
    <w:rsid w:val="009416D8"/>
    <w:rsid w:val="009417CA"/>
    <w:rsid w:val="00941981"/>
    <w:rsid w:val="00941A7F"/>
    <w:rsid w:val="009420B0"/>
    <w:rsid w:val="009423D6"/>
    <w:rsid w:val="00942D68"/>
    <w:rsid w:val="00943487"/>
    <w:rsid w:val="009439FB"/>
    <w:rsid w:val="00943AE6"/>
    <w:rsid w:val="00943C52"/>
    <w:rsid w:val="00943DDA"/>
    <w:rsid w:val="0094400E"/>
    <w:rsid w:val="0094422B"/>
    <w:rsid w:val="009444E0"/>
    <w:rsid w:val="00944CB0"/>
    <w:rsid w:val="00944D15"/>
    <w:rsid w:val="00944E03"/>
    <w:rsid w:val="00944E54"/>
    <w:rsid w:val="00944ECA"/>
    <w:rsid w:val="009451DE"/>
    <w:rsid w:val="0094547C"/>
    <w:rsid w:val="00945565"/>
    <w:rsid w:val="0094584A"/>
    <w:rsid w:val="00945E00"/>
    <w:rsid w:val="00945E9F"/>
    <w:rsid w:val="0094792D"/>
    <w:rsid w:val="009479F6"/>
    <w:rsid w:val="00947C7F"/>
    <w:rsid w:val="00947C95"/>
    <w:rsid w:val="00947D61"/>
    <w:rsid w:val="009506E1"/>
    <w:rsid w:val="00950D0B"/>
    <w:rsid w:val="00950FE5"/>
    <w:rsid w:val="009510CF"/>
    <w:rsid w:val="00951403"/>
    <w:rsid w:val="0095150D"/>
    <w:rsid w:val="00951E37"/>
    <w:rsid w:val="009528D1"/>
    <w:rsid w:val="00952993"/>
    <w:rsid w:val="009532CF"/>
    <w:rsid w:val="009534DD"/>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1DFD"/>
    <w:rsid w:val="009627B1"/>
    <w:rsid w:val="00962BB1"/>
    <w:rsid w:val="00962CFA"/>
    <w:rsid w:val="00963484"/>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98E"/>
    <w:rsid w:val="00975A39"/>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4C2"/>
    <w:rsid w:val="00987929"/>
    <w:rsid w:val="00990584"/>
    <w:rsid w:val="00990AB3"/>
    <w:rsid w:val="00990D85"/>
    <w:rsid w:val="0099127C"/>
    <w:rsid w:val="0099218B"/>
    <w:rsid w:val="00992724"/>
    <w:rsid w:val="00992911"/>
    <w:rsid w:val="00992A09"/>
    <w:rsid w:val="00993190"/>
    <w:rsid w:val="00993408"/>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38C"/>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2D39"/>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78"/>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3B72"/>
    <w:rsid w:val="009C4801"/>
    <w:rsid w:val="009C4BDD"/>
    <w:rsid w:val="009C5444"/>
    <w:rsid w:val="009C58CF"/>
    <w:rsid w:val="009C6487"/>
    <w:rsid w:val="009C66DD"/>
    <w:rsid w:val="009C6756"/>
    <w:rsid w:val="009C67F2"/>
    <w:rsid w:val="009C6858"/>
    <w:rsid w:val="009C78BF"/>
    <w:rsid w:val="009C7E91"/>
    <w:rsid w:val="009C7FD3"/>
    <w:rsid w:val="009D0110"/>
    <w:rsid w:val="009D1D90"/>
    <w:rsid w:val="009D21A0"/>
    <w:rsid w:val="009D2DEA"/>
    <w:rsid w:val="009D30C8"/>
    <w:rsid w:val="009D32C6"/>
    <w:rsid w:val="009D35E5"/>
    <w:rsid w:val="009D3BD2"/>
    <w:rsid w:val="009D3D70"/>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7DE"/>
    <w:rsid w:val="009F0804"/>
    <w:rsid w:val="009F0959"/>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23C1"/>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8A5"/>
    <w:rsid w:val="00A21948"/>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3E8"/>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20F"/>
    <w:rsid w:val="00A40FEE"/>
    <w:rsid w:val="00A416CA"/>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EB9"/>
    <w:rsid w:val="00A451F9"/>
    <w:rsid w:val="00A452B9"/>
    <w:rsid w:val="00A4535F"/>
    <w:rsid w:val="00A458B4"/>
    <w:rsid w:val="00A45F68"/>
    <w:rsid w:val="00A46710"/>
    <w:rsid w:val="00A468FB"/>
    <w:rsid w:val="00A46EC0"/>
    <w:rsid w:val="00A47233"/>
    <w:rsid w:val="00A477F4"/>
    <w:rsid w:val="00A505DC"/>
    <w:rsid w:val="00A509B0"/>
    <w:rsid w:val="00A5125C"/>
    <w:rsid w:val="00A512FE"/>
    <w:rsid w:val="00A51A12"/>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3"/>
    <w:rsid w:val="00A60627"/>
    <w:rsid w:val="00A61100"/>
    <w:rsid w:val="00A615F1"/>
    <w:rsid w:val="00A619D8"/>
    <w:rsid w:val="00A61E3F"/>
    <w:rsid w:val="00A62318"/>
    <w:rsid w:val="00A628A3"/>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37CB"/>
    <w:rsid w:val="00A73B58"/>
    <w:rsid w:val="00A740D0"/>
    <w:rsid w:val="00A74103"/>
    <w:rsid w:val="00A74C63"/>
    <w:rsid w:val="00A74DA6"/>
    <w:rsid w:val="00A76037"/>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2B2"/>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0FD"/>
    <w:rsid w:val="00AB3136"/>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78E"/>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D61"/>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B18"/>
    <w:rsid w:val="00AD6F5D"/>
    <w:rsid w:val="00AD755E"/>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847"/>
    <w:rsid w:val="00AE6C50"/>
    <w:rsid w:val="00AE6CA1"/>
    <w:rsid w:val="00AE6E44"/>
    <w:rsid w:val="00AE6F4A"/>
    <w:rsid w:val="00AE731C"/>
    <w:rsid w:val="00AE7DA3"/>
    <w:rsid w:val="00AE7F2D"/>
    <w:rsid w:val="00AF04C8"/>
    <w:rsid w:val="00AF0A2E"/>
    <w:rsid w:val="00AF12E0"/>
    <w:rsid w:val="00AF14EC"/>
    <w:rsid w:val="00AF1773"/>
    <w:rsid w:val="00AF1F52"/>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3E"/>
    <w:rsid w:val="00B01564"/>
    <w:rsid w:val="00B01E27"/>
    <w:rsid w:val="00B01FC0"/>
    <w:rsid w:val="00B023BB"/>
    <w:rsid w:val="00B02BFD"/>
    <w:rsid w:val="00B031C8"/>
    <w:rsid w:val="00B03967"/>
    <w:rsid w:val="00B03C2D"/>
    <w:rsid w:val="00B04797"/>
    <w:rsid w:val="00B04C84"/>
    <w:rsid w:val="00B052C4"/>
    <w:rsid w:val="00B05536"/>
    <w:rsid w:val="00B06185"/>
    <w:rsid w:val="00B066D4"/>
    <w:rsid w:val="00B06A53"/>
    <w:rsid w:val="00B06E0A"/>
    <w:rsid w:val="00B06FFF"/>
    <w:rsid w:val="00B079EE"/>
    <w:rsid w:val="00B101A9"/>
    <w:rsid w:val="00B1060E"/>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3A8"/>
    <w:rsid w:val="00B1740A"/>
    <w:rsid w:val="00B17C82"/>
    <w:rsid w:val="00B20DE4"/>
    <w:rsid w:val="00B21032"/>
    <w:rsid w:val="00B21035"/>
    <w:rsid w:val="00B21787"/>
    <w:rsid w:val="00B222AE"/>
    <w:rsid w:val="00B2251F"/>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0C8"/>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400B6"/>
    <w:rsid w:val="00B403FA"/>
    <w:rsid w:val="00B4165D"/>
    <w:rsid w:val="00B416C6"/>
    <w:rsid w:val="00B41E54"/>
    <w:rsid w:val="00B41ED8"/>
    <w:rsid w:val="00B42AC4"/>
    <w:rsid w:val="00B42AFB"/>
    <w:rsid w:val="00B42B98"/>
    <w:rsid w:val="00B433D1"/>
    <w:rsid w:val="00B437F0"/>
    <w:rsid w:val="00B43960"/>
    <w:rsid w:val="00B439BF"/>
    <w:rsid w:val="00B43B6E"/>
    <w:rsid w:val="00B44021"/>
    <w:rsid w:val="00B441EA"/>
    <w:rsid w:val="00B454CF"/>
    <w:rsid w:val="00B4585B"/>
    <w:rsid w:val="00B45C0A"/>
    <w:rsid w:val="00B45D5B"/>
    <w:rsid w:val="00B46088"/>
    <w:rsid w:val="00B460E6"/>
    <w:rsid w:val="00B4673D"/>
    <w:rsid w:val="00B46979"/>
    <w:rsid w:val="00B4754F"/>
    <w:rsid w:val="00B502AC"/>
    <w:rsid w:val="00B50350"/>
    <w:rsid w:val="00B50B04"/>
    <w:rsid w:val="00B51D7E"/>
    <w:rsid w:val="00B531C0"/>
    <w:rsid w:val="00B5400E"/>
    <w:rsid w:val="00B54254"/>
    <w:rsid w:val="00B542D6"/>
    <w:rsid w:val="00B54756"/>
    <w:rsid w:val="00B548AA"/>
    <w:rsid w:val="00B5523C"/>
    <w:rsid w:val="00B5545E"/>
    <w:rsid w:val="00B554A5"/>
    <w:rsid w:val="00B554EA"/>
    <w:rsid w:val="00B55E7B"/>
    <w:rsid w:val="00B5619D"/>
    <w:rsid w:val="00B56400"/>
    <w:rsid w:val="00B5691A"/>
    <w:rsid w:val="00B577D4"/>
    <w:rsid w:val="00B57837"/>
    <w:rsid w:val="00B5786C"/>
    <w:rsid w:val="00B579F1"/>
    <w:rsid w:val="00B57E8A"/>
    <w:rsid w:val="00B57FEC"/>
    <w:rsid w:val="00B60056"/>
    <w:rsid w:val="00B609D5"/>
    <w:rsid w:val="00B60BDB"/>
    <w:rsid w:val="00B611EC"/>
    <w:rsid w:val="00B612F6"/>
    <w:rsid w:val="00B61DBC"/>
    <w:rsid w:val="00B61EC2"/>
    <w:rsid w:val="00B626B7"/>
    <w:rsid w:val="00B62942"/>
    <w:rsid w:val="00B6297E"/>
    <w:rsid w:val="00B62D5D"/>
    <w:rsid w:val="00B62E98"/>
    <w:rsid w:val="00B6312F"/>
    <w:rsid w:val="00B6366D"/>
    <w:rsid w:val="00B63AA9"/>
    <w:rsid w:val="00B63BFD"/>
    <w:rsid w:val="00B64669"/>
    <w:rsid w:val="00B64A4A"/>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8FB"/>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65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4C0"/>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9C5"/>
    <w:rsid w:val="00BB221B"/>
    <w:rsid w:val="00BB2509"/>
    <w:rsid w:val="00BB282D"/>
    <w:rsid w:val="00BB2DC7"/>
    <w:rsid w:val="00BB3041"/>
    <w:rsid w:val="00BB30F7"/>
    <w:rsid w:val="00BB3410"/>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A5"/>
    <w:rsid w:val="00BC4AFB"/>
    <w:rsid w:val="00BC513E"/>
    <w:rsid w:val="00BC5889"/>
    <w:rsid w:val="00BC65DE"/>
    <w:rsid w:val="00BC6CCE"/>
    <w:rsid w:val="00BC7078"/>
    <w:rsid w:val="00BC7A01"/>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03"/>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4C09"/>
    <w:rsid w:val="00BE574C"/>
    <w:rsid w:val="00BE5E7A"/>
    <w:rsid w:val="00BE602C"/>
    <w:rsid w:val="00BE6EC1"/>
    <w:rsid w:val="00BE6FDE"/>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0CA"/>
    <w:rsid w:val="00BF6138"/>
    <w:rsid w:val="00BF62FD"/>
    <w:rsid w:val="00BF675A"/>
    <w:rsid w:val="00BF68D9"/>
    <w:rsid w:val="00C00030"/>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1AD"/>
    <w:rsid w:val="00C063C6"/>
    <w:rsid w:val="00C06A74"/>
    <w:rsid w:val="00C06AA9"/>
    <w:rsid w:val="00C06AF8"/>
    <w:rsid w:val="00C06F39"/>
    <w:rsid w:val="00C071F9"/>
    <w:rsid w:val="00C07313"/>
    <w:rsid w:val="00C0744F"/>
    <w:rsid w:val="00C07B4A"/>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7A7"/>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4FC"/>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2D3"/>
    <w:rsid w:val="00C27835"/>
    <w:rsid w:val="00C300B7"/>
    <w:rsid w:val="00C30168"/>
    <w:rsid w:val="00C303CE"/>
    <w:rsid w:val="00C304AC"/>
    <w:rsid w:val="00C3092C"/>
    <w:rsid w:val="00C30A8E"/>
    <w:rsid w:val="00C30C94"/>
    <w:rsid w:val="00C30CC0"/>
    <w:rsid w:val="00C31310"/>
    <w:rsid w:val="00C314B4"/>
    <w:rsid w:val="00C31CED"/>
    <w:rsid w:val="00C31FB1"/>
    <w:rsid w:val="00C3208F"/>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3453"/>
    <w:rsid w:val="00C43EFE"/>
    <w:rsid w:val="00C4425A"/>
    <w:rsid w:val="00C443C2"/>
    <w:rsid w:val="00C44865"/>
    <w:rsid w:val="00C45292"/>
    <w:rsid w:val="00C459E1"/>
    <w:rsid w:val="00C45F53"/>
    <w:rsid w:val="00C460DE"/>
    <w:rsid w:val="00C4649C"/>
    <w:rsid w:val="00C469C5"/>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AE1"/>
    <w:rsid w:val="00C53C03"/>
    <w:rsid w:val="00C545CA"/>
    <w:rsid w:val="00C547E9"/>
    <w:rsid w:val="00C5480A"/>
    <w:rsid w:val="00C54A42"/>
    <w:rsid w:val="00C54ABE"/>
    <w:rsid w:val="00C54AF7"/>
    <w:rsid w:val="00C54C97"/>
    <w:rsid w:val="00C54EAF"/>
    <w:rsid w:val="00C5551F"/>
    <w:rsid w:val="00C55A32"/>
    <w:rsid w:val="00C56724"/>
    <w:rsid w:val="00C60066"/>
    <w:rsid w:val="00C60D67"/>
    <w:rsid w:val="00C60E7A"/>
    <w:rsid w:val="00C611D2"/>
    <w:rsid w:val="00C612E1"/>
    <w:rsid w:val="00C6195F"/>
    <w:rsid w:val="00C61BE6"/>
    <w:rsid w:val="00C61C28"/>
    <w:rsid w:val="00C61FF9"/>
    <w:rsid w:val="00C62754"/>
    <w:rsid w:val="00C639F8"/>
    <w:rsid w:val="00C63DD1"/>
    <w:rsid w:val="00C63E00"/>
    <w:rsid w:val="00C64BB9"/>
    <w:rsid w:val="00C655BF"/>
    <w:rsid w:val="00C6591B"/>
    <w:rsid w:val="00C65C0F"/>
    <w:rsid w:val="00C65C8C"/>
    <w:rsid w:val="00C65DD9"/>
    <w:rsid w:val="00C665CD"/>
    <w:rsid w:val="00C66AF8"/>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2CD"/>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456"/>
    <w:rsid w:val="00C92585"/>
    <w:rsid w:val="00C92957"/>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484"/>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90B"/>
    <w:rsid w:val="00CA6A7B"/>
    <w:rsid w:val="00CA6F62"/>
    <w:rsid w:val="00CA6FAC"/>
    <w:rsid w:val="00CA72C4"/>
    <w:rsid w:val="00CB0200"/>
    <w:rsid w:val="00CB0296"/>
    <w:rsid w:val="00CB0616"/>
    <w:rsid w:val="00CB08CA"/>
    <w:rsid w:val="00CB0990"/>
    <w:rsid w:val="00CB1353"/>
    <w:rsid w:val="00CB1A83"/>
    <w:rsid w:val="00CB28C4"/>
    <w:rsid w:val="00CB2A64"/>
    <w:rsid w:val="00CB3698"/>
    <w:rsid w:val="00CB3D0D"/>
    <w:rsid w:val="00CB3E6D"/>
    <w:rsid w:val="00CB45E4"/>
    <w:rsid w:val="00CB4736"/>
    <w:rsid w:val="00CB498E"/>
    <w:rsid w:val="00CB49F5"/>
    <w:rsid w:val="00CB508D"/>
    <w:rsid w:val="00CB5ABC"/>
    <w:rsid w:val="00CB69D3"/>
    <w:rsid w:val="00CB6F1E"/>
    <w:rsid w:val="00CB6FA4"/>
    <w:rsid w:val="00CB76A4"/>
    <w:rsid w:val="00CB7D1A"/>
    <w:rsid w:val="00CC07E4"/>
    <w:rsid w:val="00CC0A60"/>
    <w:rsid w:val="00CC0EC9"/>
    <w:rsid w:val="00CC1901"/>
    <w:rsid w:val="00CC19ED"/>
    <w:rsid w:val="00CC1F71"/>
    <w:rsid w:val="00CC2558"/>
    <w:rsid w:val="00CC2C3C"/>
    <w:rsid w:val="00CC343D"/>
    <w:rsid w:val="00CC369C"/>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0F88"/>
    <w:rsid w:val="00CD1031"/>
    <w:rsid w:val="00CD1126"/>
    <w:rsid w:val="00CD11C3"/>
    <w:rsid w:val="00CD153B"/>
    <w:rsid w:val="00CD1EC5"/>
    <w:rsid w:val="00CD2414"/>
    <w:rsid w:val="00CD2771"/>
    <w:rsid w:val="00CD28AA"/>
    <w:rsid w:val="00CD2C12"/>
    <w:rsid w:val="00CD2DB3"/>
    <w:rsid w:val="00CD2DF2"/>
    <w:rsid w:val="00CD3529"/>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2FD"/>
    <w:rsid w:val="00CE1314"/>
    <w:rsid w:val="00CE15AC"/>
    <w:rsid w:val="00CE1AB8"/>
    <w:rsid w:val="00CE1BE3"/>
    <w:rsid w:val="00CE1F14"/>
    <w:rsid w:val="00CE2A27"/>
    <w:rsid w:val="00CE2B36"/>
    <w:rsid w:val="00CE2B74"/>
    <w:rsid w:val="00CE2D62"/>
    <w:rsid w:val="00CE2F15"/>
    <w:rsid w:val="00CE302F"/>
    <w:rsid w:val="00CE3AD9"/>
    <w:rsid w:val="00CE4500"/>
    <w:rsid w:val="00CE48A8"/>
    <w:rsid w:val="00CE4CD2"/>
    <w:rsid w:val="00CE5186"/>
    <w:rsid w:val="00CE5204"/>
    <w:rsid w:val="00CE5337"/>
    <w:rsid w:val="00CE5BFC"/>
    <w:rsid w:val="00CE621A"/>
    <w:rsid w:val="00CE623A"/>
    <w:rsid w:val="00CE6BB2"/>
    <w:rsid w:val="00CE73F2"/>
    <w:rsid w:val="00CE74F5"/>
    <w:rsid w:val="00CE7DD2"/>
    <w:rsid w:val="00CF0444"/>
    <w:rsid w:val="00CF0744"/>
    <w:rsid w:val="00CF0C4E"/>
    <w:rsid w:val="00CF0E7F"/>
    <w:rsid w:val="00CF0EC0"/>
    <w:rsid w:val="00CF12F8"/>
    <w:rsid w:val="00CF1AC9"/>
    <w:rsid w:val="00CF1C75"/>
    <w:rsid w:val="00CF2DE7"/>
    <w:rsid w:val="00CF302F"/>
    <w:rsid w:val="00CF4514"/>
    <w:rsid w:val="00CF4CCA"/>
    <w:rsid w:val="00CF5751"/>
    <w:rsid w:val="00CF5C62"/>
    <w:rsid w:val="00CF600A"/>
    <w:rsid w:val="00CF62B7"/>
    <w:rsid w:val="00CF667D"/>
    <w:rsid w:val="00CF6739"/>
    <w:rsid w:val="00CF6989"/>
    <w:rsid w:val="00CF6FC1"/>
    <w:rsid w:val="00CF75B4"/>
    <w:rsid w:val="00CF7859"/>
    <w:rsid w:val="00CF7BAC"/>
    <w:rsid w:val="00CF7D9B"/>
    <w:rsid w:val="00CF7DA4"/>
    <w:rsid w:val="00CF7F1D"/>
    <w:rsid w:val="00D008FA"/>
    <w:rsid w:val="00D00ABB"/>
    <w:rsid w:val="00D01B23"/>
    <w:rsid w:val="00D01BCA"/>
    <w:rsid w:val="00D022E1"/>
    <w:rsid w:val="00D026C1"/>
    <w:rsid w:val="00D02F75"/>
    <w:rsid w:val="00D03438"/>
    <w:rsid w:val="00D034FD"/>
    <w:rsid w:val="00D04196"/>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254"/>
    <w:rsid w:val="00D16408"/>
    <w:rsid w:val="00D16437"/>
    <w:rsid w:val="00D165C2"/>
    <w:rsid w:val="00D16D98"/>
    <w:rsid w:val="00D16F48"/>
    <w:rsid w:val="00D17134"/>
    <w:rsid w:val="00D1791D"/>
    <w:rsid w:val="00D179B4"/>
    <w:rsid w:val="00D17E85"/>
    <w:rsid w:val="00D20287"/>
    <w:rsid w:val="00D204EB"/>
    <w:rsid w:val="00D218FA"/>
    <w:rsid w:val="00D225AB"/>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D18"/>
    <w:rsid w:val="00D31067"/>
    <w:rsid w:val="00D3156B"/>
    <w:rsid w:val="00D319B2"/>
    <w:rsid w:val="00D31CC7"/>
    <w:rsid w:val="00D31E83"/>
    <w:rsid w:val="00D31EA9"/>
    <w:rsid w:val="00D32026"/>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6D3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1CC"/>
    <w:rsid w:val="00D45317"/>
    <w:rsid w:val="00D459CA"/>
    <w:rsid w:val="00D45DAE"/>
    <w:rsid w:val="00D460F8"/>
    <w:rsid w:val="00D46233"/>
    <w:rsid w:val="00D46364"/>
    <w:rsid w:val="00D4684B"/>
    <w:rsid w:val="00D46914"/>
    <w:rsid w:val="00D46C2C"/>
    <w:rsid w:val="00D470D7"/>
    <w:rsid w:val="00D4722C"/>
    <w:rsid w:val="00D47CCB"/>
    <w:rsid w:val="00D502A3"/>
    <w:rsid w:val="00D50784"/>
    <w:rsid w:val="00D50BBD"/>
    <w:rsid w:val="00D50D73"/>
    <w:rsid w:val="00D5109C"/>
    <w:rsid w:val="00D51F2B"/>
    <w:rsid w:val="00D520C1"/>
    <w:rsid w:val="00D521DD"/>
    <w:rsid w:val="00D523DA"/>
    <w:rsid w:val="00D52CB2"/>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6DBD"/>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49D3"/>
    <w:rsid w:val="00D651FD"/>
    <w:rsid w:val="00D65331"/>
    <w:rsid w:val="00D6544E"/>
    <w:rsid w:val="00D655DE"/>
    <w:rsid w:val="00D65A9F"/>
    <w:rsid w:val="00D65D50"/>
    <w:rsid w:val="00D66977"/>
    <w:rsid w:val="00D66A46"/>
    <w:rsid w:val="00D66D96"/>
    <w:rsid w:val="00D66EB9"/>
    <w:rsid w:val="00D67402"/>
    <w:rsid w:val="00D675B9"/>
    <w:rsid w:val="00D67737"/>
    <w:rsid w:val="00D677FA"/>
    <w:rsid w:val="00D67958"/>
    <w:rsid w:val="00D67D59"/>
    <w:rsid w:val="00D67EB1"/>
    <w:rsid w:val="00D7059A"/>
    <w:rsid w:val="00D70C7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FAA"/>
    <w:rsid w:val="00D80140"/>
    <w:rsid w:val="00D80B97"/>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6FFD"/>
    <w:rsid w:val="00D87100"/>
    <w:rsid w:val="00D873DC"/>
    <w:rsid w:val="00D87A07"/>
    <w:rsid w:val="00D87F43"/>
    <w:rsid w:val="00D90185"/>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185"/>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7E9"/>
    <w:rsid w:val="00DA7E40"/>
    <w:rsid w:val="00DB0368"/>
    <w:rsid w:val="00DB08A0"/>
    <w:rsid w:val="00DB0DFC"/>
    <w:rsid w:val="00DB0FD3"/>
    <w:rsid w:val="00DB171F"/>
    <w:rsid w:val="00DB1C1F"/>
    <w:rsid w:val="00DB1C81"/>
    <w:rsid w:val="00DB2237"/>
    <w:rsid w:val="00DB27C5"/>
    <w:rsid w:val="00DB28AA"/>
    <w:rsid w:val="00DB2B94"/>
    <w:rsid w:val="00DB332B"/>
    <w:rsid w:val="00DB3387"/>
    <w:rsid w:val="00DB38E5"/>
    <w:rsid w:val="00DB42AC"/>
    <w:rsid w:val="00DB45C7"/>
    <w:rsid w:val="00DB47AC"/>
    <w:rsid w:val="00DB4AA5"/>
    <w:rsid w:val="00DB4B90"/>
    <w:rsid w:val="00DB4E75"/>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6D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7052"/>
    <w:rsid w:val="00DE721D"/>
    <w:rsid w:val="00DE7AA8"/>
    <w:rsid w:val="00DE7EC1"/>
    <w:rsid w:val="00DE7F2D"/>
    <w:rsid w:val="00DF03FB"/>
    <w:rsid w:val="00DF0B37"/>
    <w:rsid w:val="00DF0E28"/>
    <w:rsid w:val="00DF148D"/>
    <w:rsid w:val="00DF1582"/>
    <w:rsid w:val="00DF26D7"/>
    <w:rsid w:val="00DF275A"/>
    <w:rsid w:val="00DF2B0D"/>
    <w:rsid w:val="00DF2F57"/>
    <w:rsid w:val="00DF3A95"/>
    <w:rsid w:val="00DF3B17"/>
    <w:rsid w:val="00DF3B92"/>
    <w:rsid w:val="00DF3DF1"/>
    <w:rsid w:val="00DF437E"/>
    <w:rsid w:val="00DF440D"/>
    <w:rsid w:val="00DF4652"/>
    <w:rsid w:val="00DF4911"/>
    <w:rsid w:val="00DF4BA0"/>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F25"/>
    <w:rsid w:val="00E111AB"/>
    <w:rsid w:val="00E125DC"/>
    <w:rsid w:val="00E1274B"/>
    <w:rsid w:val="00E1275C"/>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7165"/>
    <w:rsid w:val="00E2088D"/>
    <w:rsid w:val="00E208F8"/>
    <w:rsid w:val="00E209EC"/>
    <w:rsid w:val="00E20A30"/>
    <w:rsid w:val="00E21173"/>
    <w:rsid w:val="00E21764"/>
    <w:rsid w:val="00E21B4C"/>
    <w:rsid w:val="00E21C81"/>
    <w:rsid w:val="00E22094"/>
    <w:rsid w:val="00E22624"/>
    <w:rsid w:val="00E22A9E"/>
    <w:rsid w:val="00E23498"/>
    <w:rsid w:val="00E2380E"/>
    <w:rsid w:val="00E23E0B"/>
    <w:rsid w:val="00E23E12"/>
    <w:rsid w:val="00E24285"/>
    <w:rsid w:val="00E2429C"/>
    <w:rsid w:val="00E25071"/>
    <w:rsid w:val="00E25B95"/>
    <w:rsid w:val="00E25D24"/>
    <w:rsid w:val="00E25EBC"/>
    <w:rsid w:val="00E2623B"/>
    <w:rsid w:val="00E263D0"/>
    <w:rsid w:val="00E26A68"/>
    <w:rsid w:val="00E26AFD"/>
    <w:rsid w:val="00E27338"/>
    <w:rsid w:val="00E2751C"/>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63B"/>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035"/>
    <w:rsid w:val="00E47E73"/>
    <w:rsid w:val="00E47F64"/>
    <w:rsid w:val="00E5023B"/>
    <w:rsid w:val="00E502FB"/>
    <w:rsid w:val="00E50341"/>
    <w:rsid w:val="00E50ACE"/>
    <w:rsid w:val="00E51A91"/>
    <w:rsid w:val="00E51B16"/>
    <w:rsid w:val="00E51E05"/>
    <w:rsid w:val="00E51FA4"/>
    <w:rsid w:val="00E52788"/>
    <w:rsid w:val="00E527D1"/>
    <w:rsid w:val="00E52B4D"/>
    <w:rsid w:val="00E52C81"/>
    <w:rsid w:val="00E52D9A"/>
    <w:rsid w:val="00E53430"/>
    <w:rsid w:val="00E538D9"/>
    <w:rsid w:val="00E53AB7"/>
    <w:rsid w:val="00E53C5D"/>
    <w:rsid w:val="00E5447A"/>
    <w:rsid w:val="00E54953"/>
    <w:rsid w:val="00E54B2B"/>
    <w:rsid w:val="00E550AD"/>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09"/>
    <w:rsid w:val="00E74163"/>
    <w:rsid w:val="00E741B9"/>
    <w:rsid w:val="00E747F8"/>
    <w:rsid w:val="00E74984"/>
    <w:rsid w:val="00E75969"/>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2B7"/>
    <w:rsid w:val="00E9050E"/>
    <w:rsid w:val="00E91212"/>
    <w:rsid w:val="00E92023"/>
    <w:rsid w:val="00E923F6"/>
    <w:rsid w:val="00E92540"/>
    <w:rsid w:val="00E925D2"/>
    <w:rsid w:val="00E92648"/>
    <w:rsid w:val="00E9295C"/>
    <w:rsid w:val="00E92F2F"/>
    <w:rsid w:val="00E93914"/>
    <w:rsid w:val="00E93EA5"/>
    <w:rsid w:val="00E94401"/>
    <w:rsid w:val="00E9495B"/>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2E5A"/>
    <w:rsid w:val="00EA3249"/>
    <w:rsid w:val="00EA3256"/>
    <w:rsid w:val="00EA33D7"/>
    <w:rsid w:val="00EA345A"/>
    <w:rsid w:val="00EA3649"/>
    <w:rsid w:val="00EA37F3"/>
    <w:rsid w:val="00EA382E"/>
    <w:rsid w:val="00EA3AB1"/>
    <w:rsid w:val="00EA3D98"/>
    <w:rsid w:val="00EA3E1F"/>
    <w:rsid w:val="00EA4028"/>
    <w:rsid w:val="00EA5367"/>
    <w:rsid w:val="00EA5BD8"/>
    <w:rsid w:val="00EA5FC3"/>
    <w:rsid w:val="00EA6374"/>
    <w:rsid w:val="00EA66E2"/>
    <w:rsid w:val="00EA684B"/>
    <w:rsid w:val="00EA6865"/>
    <w:rsid w:val="00EA6AAD"/>
    <w:rsid w:val="00EA7021"/>
    <w:rsid w:val="00EA715E"/>
    <w:rsid w:val="00EA746C"/>
    <w:rsid w:val="00EA78F9"/>
    <w:rsid w:val="00EA791E"/>
    <w:rsid w:val="00EA7E9D"/>
    <w:rsid w:val="00EA7ED4"/>
    <w:rsid w:val="00EB06B7"/>
    <w:rsid w:val="00EB0D2E"/>
    <w:rsid w:val="00EB1BB3"/>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858"/>
    <w:rsid w:val="00EB7B6A"/>
    <w:rsid w:val="00EB7C58"/>
    <w:rsid w:val="00EB7DFA"/>
    <w:rsid w:val="00EB7F01"/>
    <w:rsid w:val="00EB7FD0"/>
    <w:rsid w:val="00EC0247"/>
    <w:rsid w:val="00EC05EA"/>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D7B"/>
    <w:rsid w:val="00ED2D87"/>
    <w:rsid w:val="00ED2FCD"/>
    <w:rsid w:val="00ED306B"/>
    <w:rsid w:val="00ED362E"/>
    <w:rsid w:val="00ED369F"/>
    <w:rsid w:val="00ED3772"/>
    <w:rsid w:val="00ED3DF4"/>
    <w:rsid w:val="00ED4006"/>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B6E"/>
    <w:rsid w:val="00EE5C79"/>
    <w:rsid w:val="00EE6DD6"/>
    <w:rsid w:val="00EE7222"/>
    <w:rsid w:val="00EF0024"/>
    <w:rsid w:val="00EF02A9"/>
    <w:rsid w:val="00EF0331"/>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F0C"/>
    <w:rsid w:val="00F02629"/>
    <w:rsid w:val="00F028DF"/>
    <w:rsid w:val="00F02ACC"/>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591"/>
    <w:rsid w:val="00F10841"/>
    <w:rsid w:val="00F1088E"/>
    <w:rsid w:val="00F109A4"/>
    <w:rsid w:val="00F10AC6"/>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4EDB"/>
    <w:rsid w:val="00F158F7"/>
    <w:rsid w:val="00F15A96"/>
    <w:rsid w:val="00F163EE"/>
    <w:rsid w:val="00F16439"/>
    <w:rsid w:val="00F16717"/>
    <w:rsid w:val="00F169ED"/>
    <w:rsid w:val="00F16E67"/>
    <w:rsid w:val="00F176D0"/>
    <w:rsid w:val="00F20297"/>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6FA0"/>
    <w:rsid w:val="00F27D00"/>
    <w:rsid w:val="00F27E06"/>
    <w:rsid w:val="00F30757"/>
    <w:rsid w:val="00F30F4F"/>
    <w:rsid w:val="00F31D49"/>
    <w:rsid w:val="00F31DB4"/>
    <w:rsid w:val="00F31E5E"/>
    <w:rsid w:val="00F3203C"/>
    <w:rsid w:val="00F32392"/>
    <w:rsid w:val="00F32490"/>
    <w:rsid w:val="00F32D71"/>
    <w:rsid w:val="00F33049"/>
    <w:rsid w:val="00F33319"/>
    <w:rsid w:val="00F362CD"/>
    <w:rsid w:val="00F36653"/>
    <w:rsid w:val="00F3682C"/>
    <w:rsid w:val="00F376A6"/>
    <w:rsid w:val="00F40571"/>
    <w:rsid w:val="00F4078B"/>
    <w:rsid w:val="00F40E62"/>
    <w:rsid w:val="00F41463"/>
    <w:rsid w:val="00F41EAC"/>
    <w:rsid w:val="00F42866"/>
    <w:rsid w:val="00F43504"/>
    <w:rsid w:val="00F43577"/>
    <w:rsid w:val="00F43596"/>
    <w:rsid w:val="00F43F2D"/>
    <w:rsid w:val="00F448A6"/>
    <w:rsid w:val="00F449BC"/>
    <w:rsid w:val="00F44F18"/>
    <w:rsid w:val="00F454C9"/>
    <w:rsid w:val="00F4586F"/>
    <w:rsid w:val="00F45BCD"/>
    <w:rsid w:val="00F45EA7"/>
    <w:rsid w:val="00F45F17"/>
    <w:rsid w:val="00F4644B"/>
    <w:rsid w:val="00F466DF"/>
    <w:rsid w:val="00F4705C"/>
    <w:rsid w:val="00F478D2"/>
    <w:rsid w:val="00F50C70"/>
    <w:rsid w:val="00F51F95"/>
    <w:rsid w:val="00F52547"/>
    <w:rsid w:val="00F529FF"/>
    <w:rsid w:val="00F52ABB"/>
    <w:rsid w:val="00F52B2F"/>
    <w:rsid w:val="00F538A5"/>
    <w:rsid w:val="00F53940"/>
    <w:rsid w:val="00F542AD"/>
    <w:rsid w:val="00F542CB"/>
    <w:rsid w:val="00F5468B"/>
    <w:rsid w:val="00F54A4E"/>
    <w:rsid w:val="00F54D54"/>
    <w:rsid w:val="00F54FC2"/>
    <w:rsid w:val="00F5523C"/>
    <w:rsid w:val="00F553EB"/>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81F"/>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5D2E"/>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22"/>
    <w:rsid w:val="00F71F29"/>
    <w:rsid w:val="00F71FB6"/>
    <w:rsid w:val="00F7298B"/>
    <w:rsid w:val="00F72ED3"/>
    <w:rsid w:val="00F7300A"/>
    <w:rsid w:val="00F734C0"/>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8744A"/>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904"/>
    <w:rsid w:val="00F97BAD"/>
    <w:rsid w:val="00F97F38"/>
    <w:rsid w:val="00FA020C"/>
    <w:rsid w:val="00FA0290"/>
    <w:rsid w:val="00FA05F5"/>
    <w:rsid w:val="00FA0A35"/>
    <w:rsid w:val="00FA0C43"/>
    <w:rsid w:val="00FA0FBB"/>
    <w:rsid w:val="00FA1161"/>
    <w:rsid w:val="00FA1592"/>
    <w:rsid w:val="00FA1AFB"/>
    <w:rsid w:val="00FA1FF1"/>
    <w:rsid w:val="00FA20BE"/>
    <w:rsid w:val="00FA22C3"/>
    <w:rsid w:val="00FA3562"/>
    <w:rsid w:val="00FA3980"/>
    <w:rsid w:val="00FA39BD"/>
    <w:rsid w:val="00FA3D95"/>
    <w:rsid w:val="00FA3E84"/>
    <w:rsid w:val="00FA47E9"/>
    <w:rsid w:val="00FA4A04"/>
    <w:rsid w:val="00FA4DB9"/>
    <w:rsid w:val="00FA5BC8"/>
    <w:rsid w:val="00FA5EF9"/>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2E"/>
    <w:rsid w:val="00FB7CF8"/>
    <w:rsid w:val="00FB7CF9"/>
    <w:rsid w:val="00FC0524"/>
    <w:rsid w:val="00FC150F"/>
    <w:rsid w:val="00FC1BB9"/>
    <w:rsid w:val="00FC1C27"/>
    <w:rsid w:val="00FC2079"/>
    <w:rsid w:val="00FC2A99"/>
    <w:rsid w:val="00FC2D0E"/>
    <w:rsid w:val="00FC38F6"/>
    <w:rsid w:val="00FC3B08"/>
    <w:rsid w:val="00FC4345"/>
    <w:rsid w:val="00FC478A"/>
    <w:rsid w:val="00FC4835"/>
    <w:rsid w:val="00FC4EBC"/>
    <w:rsid w:val="00FC4EDA"/>
    <w:rsid w:val="00FC5223"/>
    <w:rsid w:val="00FC52DE"/>
    <w:rsid w:val="00FC539B"/>
    <w:rsid w:val="00FC5ADB"/>
    <w:rsid w:val="00FC5F53"/>
    <w:rsid w:val="00FC6178"/>
    <w:rsid w:val="00FC61FD"/>
    <w:rsid w:val="00FC6F0A"/>
    <w:rsid w:val="00FD0132"/>
    <w:rsid w:val="00FD053F"/>
    <w:rsid w:val="00FD0B02"/>
    <w:rsid w:val="00FD0C0B"/>
    <w:rsid w:val="00FD1255"/>
    <w:rsid w:val="00FD155C"/>
    <w:rsid w:val="00FD1621"/>
    <w:rsid w:val="00FD1B20"/>
    <w:rsid w:val="00FD2621"/>
    <w:rsid w:val="00FD2853"/>
    <w:rsid w:val="00FD28B9"/>
    <w:rsid w:val="00FD2E75"/>
    <w:rsid w:val="00FD30A0"/>
    <w:rsid w:val="00FD3815"/>
    <w:rsid w:val="00FD3853"/>
    <w:rsid w:val="00FD389E"/>
    <w:rsid w:val="00FD3FE7"/>
    <w:rsid w:val="00FD441E"/>
    <w:rsid w:val="00FD4961"/>
    <w:rsid w:val="00FD5454"/>
    <w:rsid w:val="00FD5748"/>
    <w:rsid w:val="00FD581F"/>
    <w:rsid w:val="00FD6092"/>
    <w:rsid w:val="00FD6CD6"/>
    <w:rsid w:val="00FD73A1"/>
    <w:rsid w:val="00FD7C04"/>
    <w:rsid w:val="00FE039B"/>
    <w:rsid w:val="00FE1169"/>
    <w:rsid w:val="00FE215E"/>
    <w:rsid w:val="00FE243E"/>
    <w:rsid w:val="00FE257C"/>
    <w:rsid w:val="00FE2768"/>
    <w:rsid w:val="00FE2CBD"/>
    <w:rsid w:val="00FE353B"/>
    <w:rsid w:val="00FE382E"/>
    <w:rsid w:val="00FE3A75"/>
    <w:rsid w:val="00FE3F5D"/>
    <w:rsid w:val="00FE4583"/>
    <w:rsid w:val="00FE4D5F"/>
    <w:rsid w:val="00FE4FEF"/>
    <w:rsid w:val="00FE5131"/>
    <w:rsid w:val="00FE523C"/>
    <w:rsid w:val="00FE5B1A"/>
    <w:rsid w:val="00FE5CAA"/>
    <w:rsid w:val="00FE5D59"/>
    <w:rsid w:val="00FE631A"/>
    <w:rsid w:val="00FE7232"/>
    <w:rsid w:val="00FE73FC"/>
    <w:rsid w:val="00FE7A41"/>
    <w:rsid w:val="00FF0763"/>
    <w:rsid w:val="00FF0981"/>
    <w:rsid w:val="00FF0D4F"/>
    <w:rsid w:val="00FF0E4D"/>
    <w:rsid w:val="00FF1356"/>
    <w:rsid w:val="00FF170C"/>
    <w:rsid w:val="00FF2206"/>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170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Header 2,Header2,22,heading2,2nd level,H21,H22,H23,H24,H25,R2,E2,†berschrift 2,õberschrift 2"/>
    <w:basedOn w:val="a"/>
    <w:next w:val="a"/>
    <w:link w:val="21"/>
    <w:autoRedefine/>
    <w:uiPriority w:val="9"/>
    <w:qFormat/>
    <w:rsid w:val="0071170A"/>
    <w:pPr>
      <w:keepNext/>
      <w:numPr>
        <w:ilvl w:val="1"/>
        <w:numId w:val="1"/>
      </w:numPr>
      <w:spacing w:before="240"/>
      <w:jc w:val="left"/>
      <w:outlineLvl w:val="1"/>
    </w:pPr>
    <w:rPr>
      <w:rFonts w:ascii="Arial" w:eastAsia="ＭＳ 明朝" w:hAnsi="Arial"/>
      <w:b/>
      <w:sz w:val="28"/>
      <w:szCs w:val="28"/>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Memo Heading 3 Char Car"/>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link w:val="20"/>
    <w:uiPriority w:val="9"/>
    <w:locked/>
    <w:rsid w:val="0071170A"/>
    <w:rPr>
      <w:rFonts w:ascii="Arial" w:hAnsi="Arial"/>
      <w:b/>
      <w:sz w:val="28"/>
      <w:szCs w:val="28"/>
      <w:lang w:val="en-GB"/>
    </w:rPr>
  </w:style>
  <w:style w:type="character" w:customStyle="1" w:styleId="31">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paragraph" w:styleId="Web">
    <w:name w:val="Normal (Web)"/>
    <w:basedOn w:val="a"/>
    <w:uiPriority w:val="99"/>
    <w:semiHidden/>
    <w:unhideWhenUsed/>
    <w:rsid w:val="00344075"/>
    <w:pPr>
      <w:snapToGrid/>
      <w:spacing w:before="100" w:beforeAutospacing="1"/>
      <w:jc w:val="left"/>
    </w:pPr>
    <w:rPr>
      <w:rFonts w:ascii="ＭＳ Ｐゴシック" w:eastAsia="ＭＳ Ｐゴシック" w:hAnsi="ＭＳ Ｐゴシック" w:cs="ＭＳ Ｐゴシック"/>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44380638">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05534614">
      <w:bodyDiv w:val="1"/>
      <w:marLeft w:val="0"/>
      <w:marRight w:val="0"/>
      <w:marTop w:val="0"/>
      <w:marBottom w:val="0"/>
      <w:divBdr>
        <w:top w:val="none" w:sz="0" w:space="0" w:color="auto"/>
        <w:left w:val="none" w:sz="0" w:space="0" w:color="auto"/>
        <w:bottom w:val="none" w:sz="0" w:space="0" w:color="auto"/>
        <w:right w:val="none" w:sz="0" w:space="0" w:color="auto"/>
      </w:divBdr>
    </w:div>
    <w:div w:id="221140528">
      <w:bodyDiv w:val="1"/>
      <w:marLeft w:val="0"/>
      <w:marRight w:val="0"/>
      <w:marTop w:val="0"/>
      <w:marBottom w:val="0"/>
      <w:divBdr>
        <w:top w:val="none" w:sz="0" w:space="0" w:color="auto"/>
        <w:left w:val="none" w:sz="0" w:space="0" w:color="auto"/>
        <w:bottom w:val="none" w:sz="0" w:space="0" w:color="auto"/>
        <w:right w:val="none" w:sz="0" w:space="0" w:color="auto"/>
      </w:divBdr>
    </w:div>
    <w:div w:id="227955473">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38315336">
      <w:bodyDiv w:val="1"/>
      <w:marLeft w:val="0"/>
      <w:marRight w:val="0"/>
      <w:marTop w:val="0"/>
      <w:marBottom w:val="0"/>
      <w:divBdr>
        <w:top w:val="none" w:sz="0" w:space="0" w:color="auto"/>
        <w:left w:val="none" w:sz="0" w:space="0" w:color="auto"/>
        <w:bottom w:val="none" w:sz="0" w:space="0" w:color="auto"/>
        <w:right w:val="none" w:sz="0" w:space="0" w:color="auto"/>
      </w:divBdr>
      <w:divsChild>
        <w:div w:id="900021834">
          <w:marLeft w:val="360"/>
          <w:marRight w:val="0"/>
          <w:marTop w:val="200"/>
          <w:marBottom w:val="0"/>
          <w:divBdr>
            <w:top w:val="none" w:sz="0" w:space="0" w:color="auto"/>
            <w:left w:val="none" w:sz="0" w:space="0" w:color="auto"/>
            <w:bottom w:val="none" w:sz="0" w:space="0" w:color="auto"/>
            <w:right w:val="none" w:sz="0" w:space="0" w:color="auto"/>
          </w:divBdr>
        </w:div>
        <w:div w:id="1311246589">
          <w:marLeft w:val="1166"/>
          <w:marRight w:val="0"/>
          <w:marTop w:val="100"/>
          <w:marBottom w:val="0"/>
          <w:divBdr>
            <w:top w:val="none" w:sz="0" w:space="0" w:color="auto"/>
            <w:left w:val="none" w:sz="0" w:space="0" w:color="auto"/>
            <w:bottom w:val="none" w:sz="0" w:space="0" w:color="auto"/>
            <w:right w:val="none" w:sz="0" w:space="0" w:color="auto"/>
          </w:divBdr>
        </w:div>
        <w:div w:id="1657764602">
          <w:marLeft w:val="1800"/>
          <w:marRight w:val="0"/>
          <w:marTop w:val="100"/>
          <w:marBottom w:val="0"/>
          <w:divBdr>
            <w:top w:val="none" w:sz="0" w:space="0" w:color="auto"/>
            <w:left w:val="none" w:sz="0" w:space="0" w:color="auto"/>
            <w:bottom w:val="none" w:sz="0" w:space="0" w:color="auto"/>
            <w:right w:val="none" w:sz="0" w:space="0" w:color="auto"/>
          </w:divBdr>
        </w:div>
        <w:div w:id="636256086">
          <w:marLeft w:val="1166"/>
          <w:marRight w:val="0"/>
          <w:marTop w:val="100"/>
          <w:marBottom w:val="0"/>
          <w:divBdr>
            <w:top w:val="none" w:sz="0" w:space="0" w:color="auto"/>
            <w:left w:val="none" w:sz="0" w:space="0" w:color="auto"/>
            <w:bottom w:val="none" w:sz="0" w:space="0" w:color="auto"/>
            <w:right w:val="none" w:sz="0" w:space="0" w:color="auto"/>
          </w:divBdr>
        </w:div>
        <w:div w:id="883568350">
          <w:marLeft w:val="1800"/>
          <w:marRight w:val="0"/>
          <w:marTop w:val="100"/>
          <w:marBottom w:val="0"/>
          <w:divBdr>
            <w:top w:val="none" w:sz="0" w:space="0" w:color="auto"/>
            <w:left w:val="none" w:sz="0" w:space="0" w:color="auto"/>
            <w:bottom w:val="none" w:sz="0" w:space="0" w:color="auto"/>
            <w:right w:val="none" w:sz="0" w:space="0" w:color="auto"/>
          </w:divBdr>
        </w:div>
        <w:div w:id="217787938">
          <w:marLeft w:val="1166"/>
          <w:marRight w:val="0"/>
          <w:marTop w:val="100"/>
          <w:marBottom w:val="0"/>
          <w:divBdr>
            <w:top w:val="none" w:sz="0" w:space="0" w:color="auto"/>
            <w:left w:val="none" w:sz="0" w:space="0" w:color="auto"/>
            <w:bottom w:val="none" w:sz="0" w:space="0" w:color="auto"/>
            <w:right w:val="none" w:sz="0" w:space="0" w:color="auto"/>
          </w:divBdr>
        </w:div>
        <w:div w:id="986787512">
          <w:marLeft w:val="1166"/>
          <w:marRight w:val="0"/>
          <w:marTop w:val="100"/>
          <w:marBottom w:val="0"/>
          <w:divBdr>
            <w:top w:val="none" w:sz="0" w:space="0" w:color="auto"/>
            <w:left w:val="none" w:sz="0" w:space="0" w:color="auto"/>
            <w:bottom w:val="none" w:sz="0" w:space="0" w:color="auto"/>
            <w:right w:val="none" w:sz="0" w:space="0" w:color="auto"/>
          </w:divBdr>
        </w:div>
        <w:div w:id="1652977388">
          <w:marLeft w:val="1800"/>
          <w:marRight w:val="0"/>
          <w:marTop w:val="100"/>
          <w:marBottom w:val="0"/>
          <w:divBdr>
            <w:top w:val="none" w:sz="0" w:space="0" w:color="auto"/>
            <w:left w:val="none" w:sz="0" w:space="0" w:color="auto"/>
            <w:bottom w:val="none" w:sz="0" w:space="0" w:color="auto"/>
            <w:right w:val="none" w:sz="0" w:space="0" w:color="auto"/>
          </w:divBdr>
        </w:div>
        <w:div w:id="1456556568">
          <w:marLeft w:val="1800"/>
          <w:marRight w:val="0"/>
          <w:marTop w:val="100"/>
          <w:marBottom w:val="0"/>
          <w:divBdr>
            <w:top w:val="none" w:sz="0" w:space="0" w:color="auto"/>
            <w:left w:val="none" w:sz="0" w:space="0" w:color="auto"/>
            <w:bottom w:val="none" w:sz="0" w:space="0" w:color="auto"/>
            <w:right w:val="none" w:sz="0" w:space="0" w:color="auto"/>
          </w:divBdr>
        </w:div>
      </w:divsChild>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58442090">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67570334">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0521845">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42483781">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06976621">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0413449">
      <w:bodyDiv w:val="1"/>
      <w:marLeft w:val="0"/>
      <w:marRight w:val="0"/>
      <w:marTop w:val="0"/>
      <w:marBottom w:val="0"/>
      <w:divBdr>
        <w:top w:val="none" w:sz="0" w:space="0" w:color="auto"/>
        <w:left w:val="none" w:sz="0" w:space="0" w:color="auto"/>
        <w:bottom w:val="none" w:sz="0" w:space="0" w:color="auto"/>
        <w:right w:val="none" w:sz="0" w:space="0" w:color="auto"/>
      </w:divBdr>
      <w:divsChild>
        <w:div w:id="797531341">
          <w:marLeft w:val="360"/>
          <w:marRight w:val="0"/>
          <w:marTop w:val="200"/>
          <w:marBottom w:val="0"/>
          <w:divBdr>
            <w:top w:val="none" w:sz="0" w:space="0" w:color="auto"/>
            <w:left w:val="none" w:sz="0" w:space="0" w:color="auto"/>
            <w:bottom w:val="none" w:sz="0" w:space="0" w:color="auto"/>
            <w:right w:val="none" w:sz="0" w:space="0" w:color="auto"/>
          </w:divBdr>
        </w:div>
        <w:div w:id="930897557">
          <w:marLeft w:val="1166"/>
          <w:marRight w:val="0"/>
          <w:marTop w:val="100"/>
          <w:marBottom w:val="0"/>
          <w:divBdr>
            <w:top w:val="none" w:sz="0" w:space="0" w:color="auto"/>
            <w:left w:val="none" w:sz="0" w:space="0" w:color="auto"/>
            <w:bottom w:val="none" w:sz="0" w:space="0" w:color="auto"/>
            <w:right w:val="none" w:sz="0" w:space="0" w:color="auto"/>
          </w:divBdr>
        </w:div>
        <w:div w:id="1480920583">
          <w:marLeft w:val="1800"/>
          <w:marRight w:val="0"/>
          <w:marTop w:val="100"/>
          <w:marBottom w:val="0"/>
          <w:divBdr>
            <w:top w:val="none" w:sz="0" w:space="0" w:color="auto"/>
            <w:left w:val="none" w:sz="0" w:space="0" w:color="auto"/>
            <w:bottom w:val="none" w:sz="0" w:space="0" w:color="auto"/>
            <w:right w:val="none" w:sz="0" w:space="0" w:color="auto"/>
          </w:divBdr>
        </w:div>
        <w:div w:id="165096037">
          <w:marLeft w:val="1166"/>
          <w:marRight w:val="0"/>
          <w:marTop w:val="100"/>
          <w:marBottom w:val="0"/>
          <w:divBdr>
            <w:top w:val="none" w:sz="0" w:space="0" w:color="auto"/>
            <w:left w:val="none" w:sz="0" w:space="0" w:color="auto"/>
            <w:bottom w:val="none" w:sz="0" w:space="0" w:color="auto"/>
            <w:right w:val="none" w:sz="0" w:space="0" w:color="auto"/>
          </w:divBdr>
        </w:div>
        <w:div w:id="1958876857">
          <w:marLeft w:val="1800"/>
          <w:marRight w:val="0"/>
          <w:marTop w:val="100"/>
          <w:marBottom w:val="0"/>
          <w:divBdr>
            <w:top w:val="none" w:sz="0" w:space="0" w:color="auto"/>
            <w:left w:val="none" w:sz="0" w:space="0" w:color="auto"/>
            <w:bottom w:val="none" w:sz="0" w:space="0" w:color="auto"/>
            <w:right w:val="none" w:sz="0" w:space="0" w:color="auto"/>
          </w:divBdr>
        </w:div>
        <w:div w:id="49504414">
          <w:marLeft w:val="1166"/>
          <w:marRight w:val="0"/>
          <w:marTop w:val="100"/>
          <w:marBottom w:val="0"/>
          <w:divBdr>
            <w:top w:val="none" w:sz="0" w:space="0" w:color="auto"/>
            <w:left w:val="none" w:sz="0" w:space="0" w:color="auto"/>
            <w:bottom w:val="none" w:sz="0" w:space="0" w:color="auto"/>
            <w:right w:val="none" w:sz="0" w:space="0" w:color="auto"/>
          </w:divBdr>
        </w:div>
        <w:div w:id="1307051299">
          <w:marLeft w:val="1166"/>
          <w:marRight w:val="0"/>
          <w:marTop w:val="100"/>
          <w:marBottom w:val="0"/>
          <w:divBdr>
            <w:top w:val="none" w:sz="0" w:space="0" w:color="auto"/>
            <w:left w:val="none" w:sz="0" w:space="0" w:color="auto"/>
            <w:bottom w:val="none" w:sz="0" w:space="0" w:color="auto"/>
            <w:right w:val="none" w:sz="0" w:space="0" w:color="auto"/>
          </w:divBdr>
        </w:div>
        <w:div w:id="493376534">
          <w:marLeft w:val="1800"/>
          <w:marRight w:val="0"/>
          <w:marTop w:val="100"/>
          <w:marBottom w:val="0"/>
          <w:divBdr>
            <w:top w:val="none" w:sz="0" w:space="0" w:color="auto"/>
            <w:left w:val="none" w:sz="0" w:space="0" w:color="auto"/>
            <w:bottom w:val="none" w:sz="0" w:space="0" w:color="auto"/>
            <w:right w:val="none" w:sz="0" w:space="0" w:color="auto"/>
          </w:divBdr>
        </w:div>
        <w:div w:id="519704632">
          <w:marLeft w:val="1800"/>
          <w:marRight w:val="0"/>
          <w:marTop w:val="100"/>
          <w:marBottom w:val="0"/>
          <w:divBdr>
            <w:top w:val="none" w:sz="0" w:space="0" w:color="auto"/>
            <w:left w:val="none" w:sz="0" w:space="0" w:color="auto"/>
            <w:bottom w:val="none" w:sz="0" w:space="0" w:color="auto"/>
            <w:right w:val="none" w:sz="0" w:space="0" w:color="auto"/>
          </w:divBdr>
        </w:div>
      </w:divsChild>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4462403">
      <w:bodyDiv w:val="1"/>
      <w:marLeft w:val="0"/>
      <w:marRight w:val="0"/>
      <w:marTop w:val="0"/>
      <w:marBottom w:val="0"/>
      <w:divBdr>
        <w:top w:val="none" w:sz="0" w:space="0" w:color="auto"/>
        <w:left w:val="none" w:sz="0" w:space="0" w:color="auto"/>
        <w:bottom w:val="none" w:sz="0" w:space="0" w:color="auto"/>
        <w:right w:val="none" w:sz="0" w:space="0" w:color="auto"/>
      </w:divBdr>
      <w:divsChild>
        <w:div w:id="113910707">
          <w:marLeft w:val="547"/>
          <w:marRight w:val="0"/>
          <w:marTop w:val="200"/>
          <w:marBottom w:val="0"/>
          <w:divBdr>
            <w:top w:val="none" w:sz="0" w:space="0" w:color="auto"/>
            <w:left w:val="none" w:sz="0" w:space="0" w:color="auto"/>
            <w:bottom w:val="none" w:sz="0" w:space="0" w:color="auto"/>
            <w:right w:val="none" w:sz="0" w:space="0" w:color="auto"/>
          </w:divBdr>
        </w:div>
        <w:div w:id="566378240">
          <w:marLeft w:val="547"/>
          <w:marRight w:val="0"/>
          <w:marTop w:val="200"/>
          <w:marBottom w:val="0"/>
          <w:divBdr>
            <w:top w:val="none" w:sz="0" w:space="0" w:color="auto"/>
            <w:left w:val="none" w:sz="0" w:space="0" w:color="auto"/>
            <w:bottom w:val="none" w:sz="0" w:space="0" w:color="auto"/>
            <w:right w:val="none" w:sz="0" w:space="0" w:color="auto"/>
          </w:divBdr>
        </w:div>
        <w:div w:id="1380520965">
          <w:marLeft w:val="547"/>
          <w:marRight w:val="0"/>
          <w:marTop w:val="200"/>
          <w:marBottom w:val="0"/>
          <w:divBdr>
            <w:top w:val="none" w:sz="0" w:space="0" w:color="auto"/>
            <w:left w:val="none" w:sz="0" w:space="0" w:color="auto"/>
            <w:bottom w:val="none" w:sz="0" w:space="0" w:color="auto"/>
            <w:right w:val="none" w:sz="0" w:space="0" w:color="auto"/>
          </w:divBdr>
        </w:div>
        <w:div w:id="180051672">
          <w:marLeft w:val="547"/>
          <w:marRight w:val="0"/>
          <w:marTop w:val="200"/>
          <w:marBottom w:val="0"/>
          <w:divBdr>
            <w:top w:val="none" w:sz="0" w:space="0" w:color="auto"/>
            <w:left w:val="none" w:sz="0" w:space="0" w:color="auto"/>
            <w:bottom w:val="none" w:sz="0" w:space="0" w:color="auto"/>
            <w:right w:val="none" w:sz="0" w:space="0" w:color="auto"/>
          </w:divBdr>
        </w:div>
      </w:divsChild>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05090151">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19040189">
      <w:bodyDiv w:val="1"/>
      <w:marLeft w:val="0"/>
      <w:marRight w:val="0"/>
      <w:marTop w:val="0"/>
      <w:marBottom w:val="0"/>
      <w:divBdr>
        <w:top w:val="none" w:sz="0" w:space="0" w:color="auto"/>
        <w:left w:val="none" w:sz="0" w:space="0" w:color="auto"/>
        <w:bottom w:val="none" w:sz="0" w:space="0" w:color="auto"/>
        <w:right w:val="none" w:sz="0" w:space="0" w:color="auto"/>
      </w:divBdr>
      <w:divsChild>
        <w:div w:id="703284777">
          <w:marLeft w:val="547"/>
          <w:marRight w:val="0"/>
          <w:marTop w:val="200"/>
          <w:marBottom w:val="0"/>
          <w:divBdr>
            <w:top w:val="none" w:sz="0" w:space="0" w:color="auto"/>
            <w:left w:val="none" w:sz="0" w:space="0" w:color="auto"/>
            <w:bottom w:val="none" w:sz="0" w:space="0" w:color="auto"/>
            <w:right w:val="none" w:sz="0" w:space="0" w:color="auto"/>
          </w:divBdr>
        </w:div>
        <w:div w:id="958419753">
          <w:marLeft w:val="1166"/>
          <w:marRight w:val="0"/>
          <w:marTop w:val="100"/>
          <w:marBottom w:val="0"/>
          <w:divBdr>
            <w:top w:val="none" w:sz="0" w:space="0" w:color="auto"/>
            <w:left w:val="none" w:sz="0" w:space="0" w:color="auto"/>
            <w:bottom w:val="none" w:sz="0" w:space="0" w:color="auto"/>
            <w:right w:val="none" w:sz="0" w:space="0" w:color="auto"/>
          </w:divBdr>
        </w:div>
        <w:div w:id="867645699">
          <w:marLeft w:val="1166"/>
          <w:marRight w:val="0"/>
          <w:marTop w:val="100"/>
          <w:marBottom w:val="0"/>
          <w:divBdr>
            <w:top w:val="none" w:sz="0" w:space="0" w:color="auto"/>
            <w:left w:val="none" w:sz="0" w:space="0" w:color="auto"/>
            <w:bottom w:val="none" w:sz="0" w:space="0" w:color="auto"/>
            <w:right w:val="none" w:sz="0" w:space="0" w:color="auto"/>
          </w:divBdr>
        </w:div>
        <w:div w:id="869606530">
          <w:marLeft w:val="1800"/>
          <w:marRight w:val="0"/>
          <w:marTop w:val="100"/>
          <w:marBottom w:val="0"/>
          <w:divBdr>
            <w:top w:val="none" w:sz="0" w:space="0" w:color="auto"/>
            <w:left w:val="none" w:sz="0" w:space="0" w:color="auto"/>
            <w:bottom w:val="none" w:sz="0" w:space="0" w:color="auto"/>
            <w:right w:val="none" w:sz="0" w:space="0" w:color="auto"/>
          </w:divBdr>
        </w:div>
        <w:div w:id="50348654">
          <w:marLeft w:val="1800"/>
          <w:marRight w:val="0"/>
          <w:marTop w:val="100"/>
          <w:marBottom w:val="0"/>
          <w:divBdr>
            <w:top w:val="none" w:sz="0" w:space="0" w:color="auto"/>
            <w:left w:val="none" w:sz="0" w:space="0" w:color="auto"/>
            <w:bottom w:val="none" w:sz="0" w:space="0" w:color="auto"/>
            <w:right w:val="none" w:sz="0" w:space="0" w:color="auto"/>
          </w:divBdr>
        </w:div>
        <w:div w:id="467744532">
          <w:marLeft w:val="547"/>
          <w:marRight w:val="0"/>
          <w:marTop w:val="200"/>
          <w:marBottom w:val="0"/>
          <w:divBdr>
            <w:top w:val="none" w:sz="0" w:space="0" w:color="auto"/>
            <w:left w:val="none" w:sz="0" w:space="0" w:color="auto"/>
            <w:bottom w:val="none" w:sz="0" w:space="0" w:color="auto"/>
            <w:right w:val="none" w:sz="0" w:space="0" w:color="auto"/>
          </w:divBdr>
        </w:div>
        <w:div w:id="296567012">
          <w:marLeft w:val="1166"/>
          <w:marRight w:val="0"/>
          <w:marTop w:val="100"/>
          <w:marBottom w:val="0"/>
          <w:divBdr>
            <w:top w:val="none" w:sz="0" w:space="0" w:color="auto"/>
            <w:left w:val="none" w:sz="0" w:space="0" w:color="auto"/>
            <w:bottom w:val="none" w:sz="0" w:space="0" w:color="auto"/>
            <w:right w:val="none" w:sz="0" w:space="0" w:color="auto"/>
          </w:divBdr>
        </w:div>
        <w:div w:id="1912232116">
          <w:marLeft w:val="1166"/>
          <w:marRight w:val="0"/>
          <w:marTop w:val="100"/>
          <w:marBottom w:val="0"/>
          <w:divBdr>
            <w:top w:val="none" w:sz="0" w:space="0" w:color="auto"/>
            <w:left w:val="none" w:sz="0" w:space="0" w:color="auto"/>
            <w:bottom w:val="none" w:sz="0" w:space="0" w:color="auto"/>
            <w:right w:val="none" w:sz="0" w:space="0" w:color="auto"/>
          </w:divBdr>
        </w:div>
        <w:div w:id="161090144">
          <w:marLeft w:val="547"/>
          <w:marRight w:val="0"/>
          <w:marTop w:val="200"/>
          <w:marBottom w:val="0"/>
          <w:divBdr>
            <w:top w:val="none" w:sz="0" w:space="0" w:color="auto"/>
            <w:left w:val="none" w:sz="0" w:space="0" w:color="auto"/>
            <w:bottom w:val="none" w:sz="0" w:space="0" w:color="auto"/>
            <w:right w:val="none" w:sz="0" w:space="0" w:color="auto"/>
          </w:divBdr>
        </w:div>
        <w:div w:id="842160683">
          <w:marLeft w:val="1166"/>
          <w:marRight w:val="0"/>
          <w:marTop w:val="100"/>
          <w:marBottom w:val="0"/>
          <w:divBdr>
            <w:top w:val="none" w:sz="0" w:space="0" w:color="auto"/>
            <w:left w:val="none" w:sz="0" w:space="0" w:color="auto"/>
            <w:bottom w:val="none" w:sz="0" w:space="0" w:color="auto"/>
            <w:right w:val="none" w:sz="0" w:space="0" w:color="auto"/>
          </w:divBdr>
        </w:div>
      </w:divsChild>
    </w:div>
    <w:div w:id="1026372389">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1416139">
      <w:bodyDiv w:val="1"/>
      <w:marLeft w:val="0"/>
      <w:marRight w:val="0"/>
      <w:marTop w:val="0"/>
      <w:marBottom w:val="0"/>
      <w:divBdr>
        <w:top w:val="none" w:sz="0" w:space="0" w:color="auto"/>
        <w:left w:val="none" w:sz="0" w:space="0" w:color="auto"/>
        <w:bottom w:val="none" w:sz="0" w:space="0" w:color="auto"/>
        <w:right w:val="none" w:sz="0" w:space="0" w:color="auto"/>
      </w:divBdr>
    </w:div>
    <w:div w:id="1088426629">
      <w:bodyDiv w:val="1"/>
      <w:marLeft w:val="0"/>
      <w:marRight w:val="0"/>
      <w:marTop w:val="0"/>
      <w:marBottom w:val="0"/>
      <w:divBdr>
        <w:top w:val="none" w:sz="0" w:space="0" w:color="auto"/>
        <w:left w:val="none" w:sz="0" w:space="0" w:color="auto"/>
        <w:bottom w:val="none" w:sz="0" w:space="0" w:color="auto"/>
        <w:right w:val="none" w:sz="0" w:space="0" w:color="auto"/>
      </w:divBdr>
      <w:divsChild>
        <w:div w:id="2003586324">
          <w:marLeft w:val="360"/>
          <w:marRight w:val="0"/>
          <w:marTop w:val="200"/>
          <w:marBottom w:val="0"/>
          <w:divBdr>
            <w:top w:val="none" w:sz="0" w:space="0" w:color="auto"/>
            <w:left w:val="none" w:sz="0" w:space="0" w:color="auto"/>
            <w:bottom w:val="none" w:sz="0" w:space="0" w:color="auto"/>
            <w:right w:val="none" w:sz="0" w:space="0" w:color="auto"/>
          </w:divBdr>
        </w:div>
        <w:div w:id="593787170">
          <w:marLeft w:val="360"/>
          <w:marRight w:val="0"/>
          <w:marTop w:val="200"/>
          <w:marBottom w:val="0"/>
          <w:divBdr>
            <w:top w:val="none" w:sz="0" w:space="0" w:color="auto"/>
            <w:left w:val="none" w:sz="0" w:space="0" w:color="auto"/>
            <w:bottom w:val="none" w:sz="0" w:space="0" w:color="auto"/>
            <w:right w:val="none" w:sz="0" w:space="0" w:color="auto"/>
          </w:divBdr>
        </w:div>
      </w:divsChild>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34328015">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5286151">
      <w:bodyDiv w:val="1"/>
      <w:marLeft w:val="0"/>
      <w:marRight w:val="0"/>
      <w:marTop w:val="0"/>
      <w:marBottom w:val="0"/>
      <w:divBdr>
        <w:top w:val="none" w:sz="0" w:space="0" w:color="auto"/>
        <w:left w:val="none" w:sz="0" w:space="0" w:color="auto"/>
        <w:bottom w:val="none" w:sz="0" w:space="0" w:color="auto"/>
        <w:right w:val="none" w:sz="0" w:space="0" w:color="auto"/>
      </w:divBdr>
    </w:div>
    <w:div w:id="1332222512">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376812449">
      <w:bodyDiv w:val="1"/>
      <w:marLeft w:val="0"/>
      <w:marRight w:val="0"/>
      <w:marTop w:val="0"/>
      <w:marBottom w:val="0"/>
      <w:divBdr>
        <w:top w:val="none" w:sz="0" w:space="0" w:color="auto"/>
        <w:left w:val="none" w:sz="0" w:space="0" w:color="auto"/>
        <w:bottom w:val="none" w:sz="0" w:space="0" w:color="auto"/>
        <w:right w:val="none" w:sz="0" w:space="0" w:color="auto"/>
      </w:divBdr>
      <w:divsChild>
        <w:div w:id="1276137509">
          <w:marLeft w:val="360"/>
          <w:marRight w:val="0"/>
          <w:marTop w:val="200"/>
          <w:marBottom w:val="0"/>
          <w:divBdr>
            <w:top w:val="none" w:sz="0" w:space="0" w:color="auto"/>
            <w:left w:val="none" w:sz="0" w:space="0" w:color="auto"/>
            <w:bottom w:val="none" w:sz="0" w:space="0" w:color="auto"/>
            <w:right w:val="none" w:sz="0" w:space="0" w:color="auto"/>
          </w:divBdr>
        </w:div>
        <w:div w:id="1386830299">
          <w:marLeft w:val="1166"/>
          <w:marRight w:val="0"/>
          <w:marTop w:val="100"/>
          <w:marBottom w:val="0"/>
          <w:divBdr>
            <w:top w:val="none" w:sz="0" w:space="0" w:color="auto"/>
            <w:left w:val="none" w:sz="0" w:space="0" w:color="auto"/>
            <w:bottom w:val="none" w:sz="0" w:space="0" w:color="auto"/>
            <w:right w:val="none" w:sz="0" w:space="0" w:color="auto"/>
          </w:divBdr>
        </w:div>
        <w:div w:id="1490829731">
          <w:marLeft w:val="1800"/>
          <w:marRight w:val="0"/>
          <w:marTop w:val="100"/>
          <w:marBottom w:val="0"/>
          <w:divBdr>
            <w:top w:val="none" w:sz="0" w:space="0" w:color="auto"/>
            <w:left w:val="none" w:sz="0" w:space="0" w:color="auto"/>
            <w:bottom w:val="none" w:sz="0" w:space="0" w:color="auto"/>
            <w:right w:val="none" w:sz="0" w:space="0" w:color="auto"/>
          </w:divBdr>
        </w:div>
        <w:div w:id="1819609897">
          <w:marLeft w:val="1166"/>
          <w:marRight w:val="0"/>
          <w:marTop w:val="100"/>
          <w:marBottom w:val="0"/>
          <w:divBdr>
            <w:top w:val="none" w:sz="0" w:space="0" w:color="auto"/>
            <w:left w:val="none" w:sz="0" w:space="0" w:color="auto"/>
            <w:bottom w:val="none" w:sz="0" w:space="0" w:color="auto"/>
            <w:right w:val="none" w:sz="0" w:space="0" w:color="auto"/>
          </w:divBdr>
        </w:div>
        <w:div w:id="278756721">
          <w:marLeft w:val="1800"/>
          <w:marRight w:val="0"/>
          <w:marTop w:val="100"/>
          <w:marBottom w:val="0"/>
          <w:divBdr>
            <w:top w:val="none" w:sz="0" w:space="0" w:color="auto"/>
            <w:left w:val="none" w:sz="0" w:space="0" w:color="auto"/>
            <w:bottom w:val="none" w:sz="0" w:space="0" w:color="auto"/>
            <w:right w:val="none" w:sz="0" w:space="0" w:color="auto"/>
          </w:divBdr>
        </w:div>
        <w:div w:id="1000087572">
          <w:marLeft w:val="1166"/>
          <w:marRight w:val="0"/>
          <w:marTop w:val="100"/>
          <w:marBottom w:val="0"/>
          <w:divBdr>
            <w:top w:val="none" w:sz="0" w:space="0" w:color="auto"/>
            <w:left w:val="none" w:sz="0" w:space="0" w:color="auto"/>
            <w:bottom w:val="none" w:sz="0" w:space="0" w:color="auto"/>
            <w:right w:val="none" w:sz="0" w:space="0" w:color="auto"/>
          </w:divBdr>
        </w:div>
        <w:div w:id="1440832669">
          <w:marLeft w:val="1166"/>
          <w:marRight w:val="0"/>
          <w:marTop w:val="100"/>
          <w:marBottom w:val="0"/>
          <w:divBdr>
            <w:top w:val="none" w:sz="0" w:space="0" w:color="auto"/>
            <w:left w:val="none" w:sz="0" w:space="0" w:color="auto"/>
            <w:bottom w:val="none" w:sz="0" w:space="0" w:color="auto"/>
            <w:right w:val="none" w:sz="0" w:space="0" w:color="auto"/>
          </w:divBdr>
        </w:div>
        <w:div w:id="1710303536">
          <w:marLeft w:val="1800"/>
          <w:marRight w:val="0"/>
          <w:marTop w:val="100"/>
          <w:marBottom w:val="0"/>
          <w:divBdr>
            <w:top w:val="none" w:sz="0" w:space="0" w:color="auto"/>
            <w:left w:val="none" w:sz="0" w:space="0" w:color="auto"/>
            <w:bottom w:val="none" w:sz="0" w:space="0" w:color="auto"/>
            <w:right w:val="none" w:sz="0" w:space="0" w:color="auto"/>
          </w:divBdr>
        </w:div>
        <w:div w:id="1692799086">
          <w:marLeft w:val="1800"/>
          <w:marRight w:val="0"/>
          <w:marTop w:val="100"/>
          <w:marBottom w:val="0"/>
          <w:divBdr>
            <w:top w:val="none" w:sz="0" w:space="0" w:color="auto"/>
            <w:left w:val="none" w:sz="0" w:space="0" w:color="auto"/>
            <w:bottom w:val="none" w:sz="0" w:space="0" w:color="auto"/>
            <w:right w:val="none" w:sz="0" w:space="0" w:color="auto"/>
          </w:divBdr>
        </w:div>
      </w:divsChild>
    </w:div>
    <w:div w:id="138748731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09572965">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492139470">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15074980">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75506140">
      <w:bodyDiv w:val="1"/>
      <w:marLeft w:val="0"/>
      <w:marRight w:val="0"/>
      <w:marTop w:val="0"/>
      <w:marBottom w:val="0"/>
      <w:divBdr>
        <w:top w:val="none" w:sz="0" w:space="0" w:color="auto"/>
        <w:left w:val="none" w:sz="0" w:space="0" w:color="auto"/>
        <w:bottom w:val="none" w:sz="0" w:space="0" w:color="auto"/>
        <w:right w:val="none" w:sz="0" w:space="0" w:color="auto"/>
      </w:divBdr>
      <w:divsChild>
        <w:div w:id="807281133">
          <w:marLeft w:val="547"/>
          <w:marRight w:val="0"/>
          <w:marTop w:val="200"/>
          <w:marBottom w:val="0"/>
          <w:divBdr>
            <w:top w:val="none" w:sz="0" w:space="0" w:color="auto"/>
            <w:left w:val="none" w:sz="0" w:space="0" w:color="auto"/>
            <w:bottom w:val="none" w:sz="0" w:space="0" w:color="auto"/>
            <w:right w:val="none" w:sz="0" w:space="0" w:color="auto"/>
          </w:divBdr>
        </w:div>
        <w:div w:id="702482611">
          <w:marLeft w:val="1166"/>
          <w:marRight w:val="0"/>
          <w:marTop w:val="100"/>
          <w:marBottom w:val="0"/>
          <w:divBdr>
            <w:top w:val="none" w:sz="0" w:space="0" w:color="auto"/>
            <w:left w:val="none" w:sz="0" w:space="0" w:color="auto"/>
            <w:bottom w:val="none" w:sz="0" w:space="0" w:color="auto"/>
            <w:right w:val="none" w:sz="0" w:space="0" w:color="auto"/>
          </w:divBdr>
        </w:div>
        <w:div w:id="817842248">
          <w:marLeft w:val="547"/>
          <w:marRight w:val="0"/>
          <w:marTop w:val="200"/>
          <w:marBottom w:val="0"/>
          <w:divBdr>
            <w:top w:val="none" w:sz="0" w:space="0" w:color="auto"/>
            <w:left w:val="none" w:sz="0" w:space="0" w:color="auto"/>
            <w:bottom w:val="none" w:sz="0" w:space="0" w:color="auto"/>
            <w:right w:val="none" w:sz="0" w:space="0" w:color="auto"/>
          </w:divBdr>
        </w:div>
        <w:div w:id="312609459">
          <w:marLeft w:val="1166"/>
          <w:marRight w:val="0"/>
          <w:marTop w:val="100"/>
          <w:marBottom w:val="0"/>
          <w:divBdr>
            <w:top w:val="none" w:sz="0" w:space="0" w:color="auto"/>
            <w:left w:val="none" w:sz="0" w:space="0" w:color="auto"/>
            <w:bottom w:val="none" w:sz="0" w:space="0" w:color="auto"/>
            <w:right w:val="none" w:sz="0" w:space="0" w:color="auto"/>
          </w:divBdr>
        </w:div>
        <w:div w:id="278874050">
          <w:marLeft w:val="1166"/>
          <w:marRight w:val="0"/>
          <w:marTop w:val="100"/>
          <w:marBottom w:val="0"/>
          <w:divBdr>
            <w:top w:val="none" w:sz="0" w:space="0" w:color="auto"/>
            <w:left w:val="none" w:sz="0" w:space="0" w:color="auto"/>
            <w:bottom w:val="none" w:sz="0" w:space="0" w:color="auto"/>
            <w:right w:val="none" w:sz="0" w:space="0" w:color="auto"/>
          </w:divBdr>
        </w:div>
        <w:div w:id="492530471">
          <w:marLeft w:val="547"/>
          <w:marRight w:val="0"/>
          <w:marTop w:val="200"/>
          <w:marBottom w:val="160"/>
          <w:divBdr>
            <w:top w:val="none" w:sz="0" w:space="0" w:color="auto"/>
            <w:left w:val="none" w:sz="0" w:space="0" w:color="auto"/>
            <w:bottom w:val="none" w:sz="0" w:space="0" w:color="auto"/>
            <w:right w:val="none" w:sz="0" w:space="0" w:color="auto"/>
          </w:divBdr>
        </w:div>
        <w:div w:id="1114321672">
          <w:marLeft w:val="360"/>
          <w:marRight w:val="0"/>
          <w:marTop w:val="200"/>
          <w:marBottom w:val="0"/>
          <w:divBdr>
            <w:top w:val="none" w:sz="0" w:space="0" w:color="auto"/>
            <w:left w:val="none" w:sz="0" w:space="0" w:color="auto"/>
            <w:bottom w:val="none" w:sz="0" w:space="0" w:color="auto"/>
            <w:right w:val="none" w:sz="0" w:space="0" w:color="auto"/>
          </w:divBdr>
        </w:div>
      </w:divsChild>
    </w:div>
    <w:div w:id="1587496757">
      <w:bodyDiv w:val="1"/>
      <w:marLeft w:val="0"/>
      <w:marRight w:val="0"/>
      <w:marTop w:val="0"/>
      <w:marBottom w:val="0"/>
      <w:divBdr>
        <w:top w:val="none" w:sz="0" w:space="0" w:color="auto"/>
        <w:left w:val="none" w:sz="0" w:space="0" w:color="auto"/>
        <w:bottom w:val="none" w:sz="0" w:space="0" w:color="auto"/>
        <w:right w:val="none" w:sz="0" w:space="0" w:color="auto"/>
      </w:divBdr>
      <w:divsChild>
        <w:div w:id="1706253520">
          <w:marLeft w:val="360"/>
          <w:marRight w:val="0"/>
          <w:marTop w:val="200"/>
          <w:marBottom w:val="0"/>
          <w:divBdr>
            <w:top w:val="none" w:sz="0" w:space="0" w:color="auto"/>
            <w:left w:val="none" w:sz="0" w:space="0" w:color="auto"/>
            <w:bottom w:val="none" w:sz="0" w:space="0" w:color="auto"/>
            <w:right w:val="none" w:sz="0" w:space="0" w:color="auto"/>
          </w:divBdr>
        </w:div>
        <w:div w:id="1506092299">
          <w:marLeft w:val="547"/>
          <w:marRight w:val="0"/>
          <w:marTop w:val="200"/>
          <w:marBottom w:val="0"/>
          <w:divBdr>
            <w:top w:val="none" w:sz="0" w:space="0" w:color="auto"/>
            <w:left w:val="none" w:sz="0" w:space="0" w:color="auto"/>
            <w:bottom w:val="none" w:sz="0" w:space="0" w:color="auto"/>
            <w:right w:val="none" w:sz="0" w:space="0" w:color="auto"/>
          </w:divBdr>
        </w:div>
        <w:div w:id="882406994">
          <w:marLeft w:val="1166"/>
          <w:marRight w:val="0"/>
          <w:marTop w:val="100"/>
          <w:marBottom w:val="0"/>
          <w:divBdr>
            <w:top w:val="none" w:sz="0" w:space="0" w:color="auto"/>
            <w:left w:val="none" w:sz="0" w:space="0" w:color="auto"/>
            <w:bottom w:val="none" w:sz="0" w:space="0" w:color="auto"/>
            <w:right w:val="none" w:sz="0" w:space="0" w:color="auto"/>
          </w:divBdr>
        </w:div>
        <w:div w:id="1471023320">
          <w:marLeft w:val="547"/>
          <w:marRight w:val="0"/>
          <w:marTop w:val="200"/>
          <w:marBottom w:val="0"/>
          <w:divBdr>
            <w:top w:val="none" w:sz="0" w:space="0" w:color="auto"/>
            <w:left w:val="none" w:sz="0" w:space="0" w:color="auto"/>
            <w:bottom w:val="none" w:sz="0" w:space="0" w:color="auto"/>
            <w:right w:val="none" w:sz="0" w:space="0" w:color="auto"/>
          </w:divBdr>
        </w:div>
        <w:div w:id="1044400987">
          <w:marLeft w:val="1166"/>
          <w:marRight w:val="0"/>
          <w:marTop w:val="100"/>
          <w:marBottom w:val="0"/>
          <w:divBdr>
            <w:top w:val="none" w:sz="0" w:space="0" w:color="auto"/>
            <w:left w:val="none" w:sz="0" w:space="0" w:color="auto"/>
            <w:bottom w:val="none" w:sz="0" w:space="0" w:color="auto"/>
            <w:right w:val="none" w:sz="0" w:space="0" w:color="auto"/>
          </w:divBdr>
        </w:div>
        <w:div w:id="1429354661">
          <w:marLeft w:val="1166"/>
          <w:marRight w:val="0"/>
          <w:marTop w:val="100"/>
          <w:marBottom w:val="0"/>
          <w:divBdr>
            <w:top w:val="none" w:sz="0" w:space="0" w:color="auto"/>
            <w:left w:val="none" w:sz="0" w:space="0" w:color="auto"/>
            <w:bottom w:val="none" w:sz="0" w:space="0" w:color="auto"/>
            <w:right w:val="none" w:sz="0" w:space="0" w:color="auto"/>
          </w:divBdr>
        </w:div>
        <w:div w:id="398014231">
          <w:marLeft w:val="547"/>
          <w:marRight w:val="0"/>
          <w:marTop w:val="200"/>
          <w:marBottom w:val="0"/>
          <w:divBdr>
            <w:top w:val="none" w:sz="0" w:space="0" w:color="auto"/>
            <w:left w:val="none" w:sz="0" w:space="0" w:color="auto"/>
            <w:bottom w:val="none" w:sz="0" w:space="0" w:color="auto"/>
            <w:right w:val="none" w:sz="0" w:space="0" w:color="auto"/>
          </w:divBdr>
        </w:div>
        <w:div w:id="1652901254">
          <w:marLeft w:val="547"/>
          <w:marRight w:val="0"/>
          <w:marTop w:val="200"/>
          <w:marBottom w:val="0"/>
          <w:divBdr>
            <w:top w:val="none" w:sz="0" w:space="0" w:color="auto"/>
            <w:left w:val="none" w:sz="0" w:space="0" w:color="auto"/>
            <w:bottom w:val="none" w:sz="0" w:space="0" w:color="auto"/>
            <w:right w:val="none" w:sz="0" w:space="0" w:color="auto"/>
          </w:divBdr>
        </w:div>
        <w:div w:id="421028296">
          <w:marLeft w:val="547"/>
          <w:marRight w:val="0"/>
          <w:marTop w:val="200"/>
          <w:marBottom w:val="160"/>
          <w:divBdr>
            <w:top w:val="none" w:sz="0" w:space="0" w:color="auto"/>
            <w:left w:val="none" w:sz="0" w:space="0" w:color="auto"/>
            <w:bottom w:val="none" w:sz="0" w:space="0" w:color="auto"/>
            <w:right w:val="none" w:sz="0" w:space="0" w:color="auto"/>
          </w:divBdr>
        </w:div>
      </w:divsChild>
    </w:div>
    <w:div w:id="1588227744">
      <w:bodyDiv w:val="1"/>
      <w:marLeft w:val="0"/>
      <w:marRight w:val="0"/>
      <w:marTop w:val="0"/>
      <w:marBottom w:val="0"/>
      <w:divBdr>
        <w:top w:val="none" w:sz="0" w:space="0" w:color="auto"/>
        <w:left w:val="none" w:sz="0" w:space="0" w:color="auto"/>
        <w:bottom w:val="none" w:sz="0" w:space="0" w:color="auto"/>
        <w:right w:val="none" w:sz="0" w:space="0" w:color="auto"/>
      </w:divBdr>
    </w:div>
    <w:div w:id="1588690342">
      <w:bodyDiv w:val="1"/>
      <w:marLeft w:val="0"/>
      <w:marRight w:val="0"/>
      <w:marTop w:val="0"/>
      <w:marBottom w:val="0"/>
      <w:divBdr>
        <w:top w:val="none" w:sz="0" w:space="0" w:color="auto"/>
        <w:left w:val="none" w:sz="0" w:space="0" w:color="auto"/>
        <w:bottom w:val="none" w:sz="0" w:space="0" w:color="auto"/>
        <w:right w:val="none" w:sz="0" w:space="0" w:color="auto"/>
      </w:divBdr>
      <w:divsChild>
        <w:div w:id="1263806980">
          <w:marLeft w:val="547"/>
          <w:marRight w:val="0"/>
          <w:marTop w:val="200"/>
          <w:marBottom w:val="0"/>
          <w:divBdr>
            <w:top w:val="none" w:sz="0" w:space="0" w:color="auto"/>
            <w:left w:val="none" w:sz="0" w:space="0" w:color="auto"/>
            <w:bottom w:val="none" w:sz="0" w:space="0" w:color="auto"/>
            <w:right w:val="none" w:sz="0" w:space="0" w:color="auto"/>
          </w:divBdr>
        </w:div>
        <w:div w:id="1430009321">
          <w:marLeft w:val="1166"/>
          <w:marRight w:val="0"/>
          <w:marTop w:val="100"/>
          <w:marBottom w:val="0"/>
          <w:divBdr>
            <w:top w:val="none" w:sz="0" w:space="0" w:color="auto"/>
            <w:left w:val="none" w:sz="0" w:space="0" w:color="auto"/>
            <w:bottom w:val="none" w:sz="0" w:space="0" w:color="auto"/>
            <w:right w:val="none" w:sz="0" w:space="0" w:color="auto"/>
          </w:divBdr>
        </w:div>
        <w:div w:id="1127161541">
          <w:marLeft w:val="1166"/>
          <w:marRight w:val="0"/>
          <w:marTop w:val="100"/>
          <w:marBottom w:val="0"/>
          <w:divBdr>
            <w:top w:val="none" w:sz="0" w:space="0" w:color="auto"/>
            <w:left w:val="none" w:sz="0" w:space="0" w:color="auto"/>
            <w:bottom w:val="none" w:sz="0" w:space="0" w:color="auto"/>
            <w:right w:val="none" w:sz="0" w:space="0" w:color="auto"/>
          </w:divBdr>
        </w:div>
        <w:div w:id="22020872">
          <w:marLeft w:val="1166"/>
          <w:marRight w:val="0"/>
          <w:marTop w:val="100"/>
          <w:marBottom w:val="0"/>
          <w:divBdr>
            <w:top w:val="none" w:sz="0" w:space="0" w:color="auto"/>
            <w:left w:val="none" w:sz="0" w:space="0" w:color="auto"/>
            <w:bottom w:val="none" w:sz="0" w:space="0" w:color="auto"/>
            <w:right w:val="none" w:sz="0" w:space="0" w:color="auto"/>
          </w:divBdr>
        </w:div>
        <w:div w:id="496923304">
          <w:marLeft w:val="1166"/>
          <w:marRight w:val="0"/>
          <w:marTop w:val="100"/>
          <w:marBottom w:val="0"/>
          <w:divBdr>
            <w:top w:val="none" w:sz="0" w:space="0" w:color="auto"/>
            <w:left w:val="none" w:sz="0" w:space="0" w:color="auto"/>
            <w:bottom w:val="none" w:sz="0" w:space="0" w:color="auto"/>
            <w:right w:val="none" w:sz="0" w:space="0" w:color="auto"/>
          </w:divBdr>
        </w:div>
        <w:div w:id="2099137822">
          <w:marLeft w:val="1166"/>
          <w:marRight w:val="0"/>
          <w:marTop w:val="100"/>
          <w:marBottom w:val="0"/>
          <w:divBdr>
            <w:top w:val="none" w:sz="0" w:space="0" w:color="auto"/>
            <w:left w:val="none" w:sz="0" w:space="0" w:color="auto"/>
            <w:bottom w:val="none" w:sz="0" w:space="0" w:color="auto"/>
            <w:right w:val="none" w:sz="0" w:space="0" w:color="auto"/>
          </w:divBdr>
        </w:div>
        <w:div w:id="898785595">
          <w:marLeft w:val="1166"/>
          <w:marRight w:val="0"/>
          <w:marTop w:val="100"/>
          <w:marBottom w:val="0"/>
          <w:divBdr>
            <w:top w:val="none" w:sz="0" w:space="0" w:color="auto"/>
            <w:left w:val="none" w:sz="0" w:space="0" w:color="auto"/>
            <w:bottom w:val="none" w:sz="0" w:space="0" w:color="auto"/>
            <w:right w:val="none" w:sz="0" w:space="0" w:color="auto"/>
          </w:divBdr>
        </w:div>
        <w:div w:id="1869949205">
          <w:marLeft w:val="1166"/>
          <w:marRight w:val="0"/>
          <w:marTop w:val="100"/>
          <w:marBottom w:val="0"/>
          <w:divBdr>
            <w:top w:val="none" w:sz="0" w:space="0" w:color="auto"/>
            <w:left w:val="none" w:sz="0" w:space="0" w:color="auto"/>
            <w:bottom w:val="none" w:sz="0" w:space="0" w:color="auto"/>
            <w:right w:val="none" w:sz="0" w:space="0" w:color="auto"/>
          </w:divBdr>
        </w:div>
        <w:div w:id="2051764302">
          <w:marLeft w:val="547"/>
          <w:marRight w:val="0"/>
          <w:marTop w:val="200"/>
          <w:marBottom w:val="0"/>
          <w:divBdr>
            <w:top w:val="none" w:sz="0" w:space="0" w:color="auto"/>
            <w:left w:val="none" w:sz="0" w:space="0" w:color="auto"/>
            <w:bottom w:val="none" w:sz="0" w:space="0" w:color="auto"/>
            <w:right w:val="none" w:sz="0" w:space="0" w:color="auto"/>
          </w:divBdr>
        </w:div>
        <w:div w:id="88505912">
          <w:marLeft w:val="547"/>
          <w:marRight w:val="0"/>
          <w:marTop w:val="200"/>
          <w:marBottom w:val="160"/>
          <w:divBdr>
            <w:top w:val="none" w:sz="0" w:space="0" w:color="auto"/>
            <w:left w:val="none" w:sz="0" w:space="0" w:color="auto"/>
            <w:bottom w:val="none" w:sz="0" w:space="0" w:color="auto"/>
            <w:right w:val="none" w:sz="0" w:space="0" w:color="auto"/>
          </w:divBdr>
        </w:div>
      </w:divsChild>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14551945">
      <w:bodyDiv w:val="1"/>
      <w:marLeft w:val="0"/>
      <w:marRight w:val="0"/>
      <w:marTop w:val="0"/>
      <w:marBottom w:val="0"/>
      <w:divBdr>
        <w:top w:val="none" w:sz="0" w:space="0" w:color="auto"/>
        <w:left w:val="none" w:sz="0" w:space="0" w:color="auto"/>
        <w:bottom w:val="none" w:sz="0" w:space="0" w:color="auto"/>
        <w:right w:val="none" w:sz="0" w:space="0" w:color="auto"/>
      </w:divBdr>
    </w:div>
    <w:div w:id="1615743603">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01318712">
      <w:bodyDiv w:val="1"/>
      <w:marLeft w:val="0"/>
      <w:marRight w:val="0"/>
      <w:marTop w:val="0"/>
      <w:marBottom w:val="0"/>
      <w:divBdr>
        <w:top w:val="none" w:sz="0" w:space="0" w:color="auto"/>
        <w:left w:val="none" w:sz="0" w:space="0" w:color="auto"/>
        <w:bottom w:val="none" w:sz="0" w:space="0" w:color="auto"/>
        <w:right w:val="none" w:sz="0" w:space="0" w:color="auto"/>
      </w:divBdr>
      <w:divsChild>
        <w:div w:id="1861970025">
          <w:marLeft w:val="547"/>
          <w:marRight w:val="0"/>
          <w:marTop w:val="200"/>
          <w:marBottom w:val="0"/>
          <w:divBdr>
            <w:top w:val="none" w:sz="0" w:space="0" w:color="auto"/>
            <w:left w:val="none" w:sz="0" w:space="0" w:color="auto"/>
            <w:bottom w:val="none" w:sz="0" w:space="0" w:color="auto"/>
            <w:right w:val="none" w:sz="0" w:space="0" w:color="auto"/>
          </w:divBdr>
        </w:div>
        <w:div w:id="251356196">
          <w:marLeft w:val="547"/>
          <w:marRight w:val="0"/>
          <w:marTop w:val="200"/>
          <w:marBottom w:val="0"/>
          <w:divBdr>
            <w:top w:val="none" w:sz="0" w:space="0" w:color="auto"/>
            <w:left w:val="none" w:sz="0" w:space="0" w:color="auto"/>
            <w:bottom w:val="none" w:sz="0" w:space="0" w:color="auto"/>
            <w:right w:val="none" w:sz="0" w:space="0" w:color="auto"/>
          </w:divBdr>
        </w:div>
        <w:div w:id="1835338578">
          <w:marLeft w:val="1166"/>
          <w:marRight w:val="0"/>
          <w:marTop w:val="100"/>
          <w:marBottom w:val="0"/>
          <w:divBdr>
            <w:top w:val="none" w:sz="0" w:space="0" w:color="auto"/>
            <w:left w:val="none" w:sz="0" w:space="0" w:color="auto"/>
            <w:bottom w:val="none" w:sz="0" w:space="0" w:color="auto"/>
            <w:right w:val="none" w:sz="0" w:space="0" w:color="auto"/>
          </w:divBdr>
        </w:div>
        <w:div w:id="953949495">
          <w:marLeft w:val="1166"/>
          <w:marRight w:val="0"/>
          <w:marTop w:val="100"/>
          <w:marBottom w:val="160"/>
          <w:divBdr>
            <w:top w:val="none" w:sz="0" w:space="0" w:color="auto"/>
            <w:left w:val="none" w:sz="0" w:space="0" w:color="auto"/>
            <w:bottom w:val="none" w:sz="0" w:space="0" w:color="auto"/>
            <w:right w:val="none" w:sz="0" w:space="0" w:color="auto"/>
          </w:divBdr>
        </w:div>
      </w:divsChild>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502029">
      <w:bodyDiv w:val="1"/>
      <w:marLeft w:val="0"/>
      <w:marRight w:val="0"/>
      <w:marTop w:val="0"/>
      <w:marBottom w:val="0"/>
      <w:divBdr>
        <w:top w:val="none" w:sz="0" w:space="0" w:color="auto"/>
        <w:left w:val="none" w:sz="0" w:space="0" w:color="auto"/>
        <w:bottom w:val="none" w:sz="0" w:space="0" w:color="auto"/>
        <w:right w:val="none" w:sz="0" w:space="0" w:color="auto"/>
      </w:divBdr>
      <w:divsChild>
        <w:div w:id="1919442319">
          <w:marLeft w:val="547"/>
          <w:marRight w:val="0"/>
          <w:marTop w:val="200"/>
          <w:marBottom w:val="0"/>
          <w:divBdr>
            <w:top w:val="none" w:sz="0" w:space="0" w:color="auto"/>
            <w:left w:val="none" w:sz="0" w:space="0" w:color="auto"/>
            <w:bottom w:val="none" w:sz="0" w:space="0" w:color="auto"/>
            <w:right w:val="none" w:sz="0" w:space="0" w:color="auto"/>
          </w:divBdr>
        </w:div>
      </w:divsChild>
    </w:div>
    <w:div w:id="1801530712">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74490436">
      <w:bodyDiv w:val="1"/>
      <w:marLeft w:val="0"/>
      <w:marRight w:val="0"/>
      <w:marTop w:val="0"/>
      <w:marBottom w:val="0"/>
      <w:divBdr>
        <w:top w:val="none" w:sz="0" w:space="0" w:color="auto"/>
        <w:left w:val="none" w:sz="0" w:space="0" w:color="auto"/>
        <w:bottom w:val="none" w:sz="0" w:space="0" w:color="auto"/>
        <w:right w:val="none" w:sz="0" w:space="0" w:color="auto"/>
      </w:divBdr>
      <w:divsChild>
        <w:div w:id="1833108148">
          <w:marLeft w:val="547"/>
          <w:marRight w:val="0"/>
          <w:marTop w:val="200"/>
          <w:marBottom w:val="0"/>
          <w:divBdr>
            <w:top w:val="none" w:sz="0" w:space="0" w:color="auto"/>
            <w:left w:val="none" w:sz="0" w:space="0" w:color="auto"/>
            <w:bottom w:val="none" w:sz="0" w:space="0" w:color="auto"/>
            <w:right w:val="none" w:sz="0" w:space="0" w:color="auto"/>
          </w:divBdr>
        </w:div>
        <w:div w:id="1624186803">
          <w:marLeft w:val="1166"/>
          <w:marRight w:val="0"/>
          <w:marTop w:val="100"/>
          <w:marBottom w:val="0"/>
          <w:divBdr>
            <w:top w:val="none" w:sz="0" w:space="0" w:color="auto"/>
            <w:left w:val="none" w:sz="0" w:space="0" w:color="auto"/>
            <w:bottom w:val="none" w:sz="0" w:space="0" w:color="auto"/>
            <w:right w:val="none" w:sz="0" w:space="0" w:color="auto"/>
          </w:divBdr>
        </w:div>
        <w:div w:id="1284774699">
          <w:marLeft w:val="547"/>
          <w:marRight w:val="0"/>
          <w:marTop w:val="200"/>
          <w:marBottom w:val="0"/>
          <w:divBdr>
            <w:top w:val="none" w:sz="0" w:space="0" w:color="auto"/>
            <w:left w:val="none" w:sz="0" w:space="0" w:color="auto"/>
            <w:bottom w:val="none" w:sz="0" w:space="0" w:color="auto"/>
            <w:right w:val="none" w:sz="0" w:space="0" w:color="auto"/>
          </w:divBdr>
        </w:div>
        <w:div w:id="919481638">
          <w:marLeft w:val="1166"/>
          <w:marRight w:val="0"/>
          <w:marTop w:val="100"/>
          <w:marBottom w:val="0"/>
          <w:divBdr>
            <w:top w:val="none" w:sz="0" w:space="0" w:color="auto"/>
            <w:left w:val="none" w:sz="0" w:space="0" w:color="auto"/>
            <w:bottom w:val="none" w:sz="0" w:space="0" w:color="auto"/>
            <w:right w:val="none" w:sz="0" w:space="0" w:color="auto"/>
          </w:divBdr>
        </w:div>
        <w:div w:id="258220259">
          <w:marLeft w:val="1166"/>
          <w:marRight w:val="0"/>
          <w:marTop w:val="100"/>
          <w:marBottom w:val="0"/>
          <w:divBdr>
            <w:top w:val="none" w:sz="0" w:space="0" w:color="auto"/>
            <w:left w:val="none" w:sz="0" w:space="0" w:color="auto"/>
            <w:bottom w:val="none" w:sz="0" w:space="0" w:color="auto"/>
            <w:right w:val="none" w:sz="0" w:space="0" w:color="auto"/>
          </w:divBdr>
        </w:div>
        <w:div w:id="1020933989">
          <w:marLeft w:val="547"/>
          <w:marRight w:val="0"/>
          <w:marTop w:val="200"/>
          <w:marBottom w:val="160"/>
          <w:divBdr>
            <w:top w:val="none" w:sz="0" w:space="0" w:color="auto"/>
            <w:left w:val="none" w:sz="0" w:space="0" w:color="auto"/>
            <w:bottom w:val="none" w:sz="0" w:space="0" w:color="auto"/>
            <w:right w:val="none" w:sz="0" w:space="0" w:color="auto"/>
          </w:divBdr>
        </w:div>
        <w:div w:id="1706979562">
          <w:marLeft w:val="360"/>
          <w:marRight w:val="0"/>
          <w:marTop w:val="200"/>
          <w:marBottom w:val="0"/>
          <w:divBdr>
            <w:top w:val="none" w:sz="0" w:space="0" w:color="auto"/>
            <w:left w:val="none" w:sz="0" w:space="0" w:color="auto"/>
            <w:bottom w:val="none" w:sz="0" w:space="0" w:color="auto"/>
            <w:right w:val="none" w:sz="0" w:space="0" w:color="auto"/>
          </w:divBdr>
        </w:div>
      </w:divsChild>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894081412">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39093126">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28361874">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3696927">
      <w:bodyDiv w:val="1"/>
      <w:marLeft w:val="0"/>
      <w:marRight w:val="0"/>
      <w:marTop w:val="0"/>
      <w:marBottom w:val="0"/>
      <w:divBdr>
        <w:top w:val="none" w:sz="0" w:space="0" w:color="auto"/>
        <w:left w:val="none" w:sz="0" w:space="0" w:color="auto"/>
        <w:bottom w:val="none" w:sz="0" w:space="0" w:color="auto"/>
        <w:right w:val="none" w:sz="0" w:space="0" w:color="auto"/>
      </w:divBdr>
      <w:divsChild>
        <w:div w:id="529342019">
          <w:marLeft w:val="547"/>
          <w:marRight w:val="0"/>
          <w:marTop w:val="200"/>
          <w:marBottom w:val="0"/>
          <w:divBdr>
            <w:top w:val="none" w:sz="0" w:space="0" w:color="auto"/>
            <w:left w:val="none" w:sz="0" w:space="0" w:color="auto"/>
            <w:bottom w:val="none" w:sz="0" w:space="0" w:color="auto"/>
            <w:right w:val="none" w:sz="0" w:space="0" w:color="auto"/>
          </w:divBdr>
        </w:div>
        <w:div w:id="2035500783">
          <w:marLeft w:val="1166"/>
          <w:marRight w:val="0"/>
          <w:marTop w:val="100"/>
          <w:marBottom w:val="0"/>
          <w:divBdr>
            <w:top w:val="none" w:sz="0" w:space="0" w:color="auto"/>
            <w:left w:val="none" w:sz="0" w:space="0" w:color="auto"/>
            <w:bottom w:val="none" w:sz="0" w:space="0" w:color="auto"/>
            <w:right w:val="none" w:sz="0" w:space="0" w:color="auto"/>
          </w:divBdr>
        </w:div>
        <w:div w:id="94516664">
          <w:marLeft w:val="547"/>
          <w:marRight w:val="0"/>
          <w:marTop w:val="200"/>
          <w:marBottom w:val="0"/>
          <w:divBdr>
            <w:top w:val="none" w:sz="0" w:space="0" w:color="auto"/>
            <w:left w:val="none" w:sz="0" w:space="0" w:color="auto"/>
            <w:bottom w:val="none" w:sz="0" w:space="0" w:color="auto"/>
            <w:right w:val="none" w:sz="0" w:space="0" w:color="auto"/>
          </w:divBdr>
        </w:div>
        <w:div w:id="987048998">
          <w:marLeft w:val="1166"/>
          <w:marRight w:val="0"/>
          <w:marTop w:val="100"/>
          <w:marBottom w:val="0"/>
          <w:divBdr>
            <w:top w:val="none" w:sz="0" w:space="0" w:color="auto"/>
            <w:left w:val="none" w:sz="0" w:space="0" w:color="auto"/>
            <w:bottom w:val="none" w:sz="0" w:space="0" w:color="auto"/>
            <w:right w:val="none" w:sz="0" w:space="0" w:color="auto"/>
          </w:divBdr>
        </w:div>
        <w:div w:id="541593845">
          <w:marLeft w:val="1166"/>
          <w:marRight w:val="0"/>
          <w:marTop w:val="100"/>
          <w:marBottom w:val="0"/>
          <w:divBdr>
            <w:top w:val="none" w:sz="0" w:space="0" w:color="auto"/>
            <w:left w:val="none" w:sz="0" w:space="0" w:color="auto"/>
            <w:bottom w:val="none" w:sz="0" w:space="0" w:color="auto"/>
            <w:right w:val="none" w:sz="0" w:space="0" w:color="auto"/>
          </w:divBdr>
        </w:div>
        <w:div w:id="2009794327">
          <w:marLeft w:val="547"/>
          <w:marRight w:val="0"/>
          <w:marTop w:val="200"/>
          <w:marBottom w:val="0"/>
          <w:divBdr>
            <w:top w:val="none" w:sz="0" w:space="0" w:color="auto"/>
            <w:left w:val="none" w:sz="0" w:space="0" w:color="auto"/>
            <w:bottom w:val="none" w:sz="0" w:space="0" w:color="auto"/>
            <w:right w:val="none" w:sz="0" w:space="0" w:color="auto"/>
          </w:divBdr>
        </w:div>
        <w:div w:id="2112432154">
          <w:marLeft w:val="547"/>
          <w:marRight w:val="0"/>
          <w:marTop w:val="200"/>
          <w:marBottom w:val="0"/>
          <w:divBdr>
            <w:top w:val="none" w:sz="0" w:space="0" w:color="auto"/>
            <w:left w:val="none" w:sz="0" w:space="0" w:color="auto"/>
            <w:bottom w:val="none" w:sz="0" w:space="0" w:color="auto"/>
            <w:right w:val="none" w:sz="0" w:space="0" w:color="auto"/>
          </w:divBdr>
        </w:div>
        <w:div w:id="605575631">
          <w:marLeft w:val="547"/>
          <w:marRight w:val="0"/>
          <w:marTop w:val="200"/>
          <w:marBottom w:val="0"/>
          <w:divBdr>
            <w:top w:val="none" w:sz="0" w:space="0" w:color="auto"/>
            <w:left w:val="none" w:sz="0" w:space="0" w:color="auto"/>
            <w:bottom w:val="none" w:sz="0" w:space="0" w:color="auto"/>
            <w:right w:val="none" w:sz="0" w:space="0" w:color="auto"/>
          </w:divBdr>
        </w:div>
      </w:divsChild>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883802-9D8D-4AFB-9F2C-3D28E1E95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1462</Words>
  <Characters>8339</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平田梢/研究員</cp:lastModifiedBy>
  <cp:revision>4</cp:revision>
  <cp:lastPrinted>2019-02-13T08:31:00Z</cp:lastPrinted>
  <dcterms:created xsi:type="dcterms:W3CDTF">2022-09-30T08:23:00Z</dcterms:created>
  <dcterms:modified xsi:type="dcterms:W3CDTF">2022-09-30T08:34:00Z</dcterms:modified>
</cp:coreProperties>
</file>