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C1C" w14:textId="64DD3FDB" w:rsidR="007539D9" w:rsidRPr="00BE7BD0" w:rsidRDefault="007539D9" w:rsidP="007539D9">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#110bis-e                                                              R1</w:t>
      </w:r>
      <w:r w:rsidRPr="00BE7BD0">
        <w:rPr>
          <w:b/>
          <w:noProof/>
          <w:sz w:val="24"/>
        </w:rPr>
        <w:t>-22</w:t>
      </w:r>
      <w:r w:rsidR="000D068D">
        <w:rPr>
          <w:b/>
          <w:noProof/>
          <w:sz w:val="24"/>
        </w:rPr>
        <w:t>09583</w:t>
      </w:r>
      <w:r>
        <w:rPr>
          <w:b/>
          <w:i/>
          <w:noProof/>
          <w:sz w:val="28"/>
        </w:rPr>
        <w:tab/>
      </w:r>
    </w:p>
    <w:p w14:paraId="2284698D" w14:textId="77777777" w:rsidR="007539D9" w:rsidRPr="007F0E75" w:rsidRDefault="007539D9" w:rsidP="007539D9">
      <w:pPr>
        <w:tabs>
          <w:tab w:val="center" w:pos="4536"/>
          <w:tab w:val="right" w:pos="9072"/>
        </w:tabs>
        <w:rPr>
          <w:rFonts w:ascii="Arial" w:eastAsia="MS Mincho" w:hAnsi="Arial" w:cs="Arial"/>
          <w:b/>
          <w:bCs/>
          <w:szCs w:val="22"/>
        </w:rPr>
      </w:pPr>
      <w:r>
        <w:rPr>
          <w:rFonts w:ascii="Arial" w:eastAsia="MS Mincho" w:hAnsi="Arial" w:cs="Arial"/>
          <w:b/>
          <w:bCs/>
          <w:szCs w:val="22"/>
        </w:rPr>
        <w:t>e-Meeting</w:t>
      </w:r>
      <w:r w:rsidRPr="007F0E75">
        <w:rPr>
          <w:rFonts w:ascii="Arial" w:eastAsia="MS Mincho" w:hAnsi="Arial" w:cs="Arial"/>
          <w:b/>
          <w:bCs/>
          <w:szCs w:val="22"/>
        </w:rPr>
        <w:t xml:space="preserve">, </w:t>
      </w:r>
      <w:r>
        <w:rPr>
          <w:rFonts w:ascii="Arial" w:eastAsia="MS Mincho" w:hAnsi="Arial" w:cs="Arial"/>
          <w:b/>
          <w:bCs/>
          <w:szCs w:val="22"/>
        </w:rPr>
        <w:t>October 10</w:t>
      </w:r>
      <w:r>
        <w:rPr>
          <w:rFonts w:ascii="Arial" w:eastAsia="MS Mincho" w:hAnsi="Arial" w:cs="Arial"/>
          <w:b/>
          <w:bCs/>
          <w:szCs w:val="22"/>
          <w:vertAlign w:val="superscript"/>
        </w:rPr>
        <w:t>th</w:t>
      </w:r>
      <w:r w:rsidRPr="00A100E4">
        <w:rPr>
          <w:rFonts w:ascii="Arial" w:eastAsia="MS Mincho" w:hAnsi="Arial" w:cs="Arial"/>
          <w:b/>
          <w:bCs/>
          <w:szCs w:val="22"/>
        </w:rPr>
        <w:t xml:space="preserve"> – </w:t>
      </w:r>
      <w:r>
        <w:rPr>
          <w:rFonts w:ascii="Arial" w:eastAsia="MS Mincho" w:hAnsi="Arial" w:cs="Arial"/>
          <w:b/>
          <w:bCs/>
          <w:szCs w:val="22"/>
        </w:rPr>
        <w:t>19</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2639D4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w:t>
      </w:r>
      <w:r w:rsidR="00920D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 xml:space="preserve">SBFD Operation at </w:t>
      </w:r>
      <w:proofErr w:type="spellStart"/>
      <w:r>
        <w:t>gNB</w:t>
      </w:r>
      <w:proofErr w:type="spellEnd"/>
    </w:p>
    <w:p w14:paraId="288E4E9F" w14:textId="71B03307" w:rsidR="00F171C0" w:rsidRPr="00B750B7" w:rsidRDefault="00F171C0" w:rsidP="00F171C0">
      <w:pPr>
        <w:pStyle w:val="Heading2"/>
      </w:pPr>
      <w:proofErr w:type="spellStart"/>
      <w:r>
        <w:t>Subband</w:t>
      </w:r>
      <w:proofErr w:type="spellEnd"/>
      <w:r>
        <w:t xml:space="preserve"> location indication</w:t>
      </w:r>
    </w:p>
    <w:p w14:paraId="44A2FBAE" w14:textId="77777777" w:rsidR="00F171C0" w:rsidRPr="00F171C0" w:rsidRDefault="00F171C0" w:rsidP="00F171C0"/>
    <w:p w14:paraId="6706C1A1" w14:textId="3D6F4C4B" w:rsidR="00300A71" w:rsidRDefault="00300A71" w:rsidP="00FB414C">
      <w:pPr>
        <w:jc w:val="both"/>
        <w:rPr>
          <w:sz w:val="20"/>
          <w:szCs w:val="20"/>
        </w:rPr>
      </w:pPr>
      <w:proofErr w:type="spellStart"/>
      <w:r>
        <w:rPr>
          <w:sz w:val="20"/>
          <w:szCs w:val="20"/>
        </w:rPr>
        <w:t>Subband</w:t>
      </w:r>
      <w:proofErr w:type="spellEnd"/>
      <w:r>
        <w:rPr>
          <w:sz w:val="20"/>
          <w:szCs w:val="20"/>
        </w:rPr>
        <w:t xml:space="preserve"> location indication was discussed in RAN1#110, where it was agreed that:</w:t>
      </w:r>
    </w:p>
    <w:p w14:paraId="093F3381" w14:textId="77777777" w:rsidR="00300A71" w:rsidRPr="00300A71" w:rsidRDefault="00300A71" w:rsidP="00300A71">
      <w:pPr>
        <w:jc w:val="both"/>
        <w:rPr>
          <w:b/>
          <w:sz w:val="20"/>
          <w:szCs w:val="20"/>
          <w:lang w:val="en-GB"/>
        </w:rPr>
      </w:pPr>
      <w:r w:rsidRPr="00300A71">
        <w:rPr>
          <w:b/>
          <w:sz w:val="20"/>
          <w:szCs w:val="20"/>
          <w:highlight w:val="green"/>
          <w:lang w:val="en-GB"/>
        </w:rPr>
        <w:t>Agreement</w:t>
      </w:r>
    </w:p>
    <w:p w14:paraId="58A7928F" w14:textId="77777777" w:rsidR="00300A71" w:rsidRPr="00300A71" w:rsidRDefault="00300A71" w:rsidP="00300A71">
      <w:pPr>
        <w:jc w:val="both"/>
        <w:rPr>
          <w:sz w:val="20"/>
          <w:szCs w:val="20"/>
          <w:lang w:val="en-GB"/>
        </w:rPr>
      </w:pPr>
      <w:r w:rsidRPr="00300A71">
        <w:rPr>
          <w:sz w:val="20"/>
          <w:szCs w:val="20"/>
          <w:lang w:val="en-GB"/>
        </w:rPr>
        <w:t>Study the following alternatives with Alt 4 prioritized</w:t>
      </w:r>
      <w:r w:rsidRPr="00300A71">
        <w:rPr>
          <w:rFonts w:hint="eastAsia"/>
          <w:sz w:val="20"/>
          <w:szCs w:val="20"/>
          <w:lang w:val="en-GB"/>
        </w:rPr>
        <w:t>,</w:t>
      </w:r>
      <w:r w:rsidRPr="00300A71">
        <w:rPr>
          <w:sz w:val="20"/>
          <w:szCs w:val="20"/>
          <w:lang w:val="en-GB"/>
        </w:rPr>
        <w:t xml:space="preserve"> for SBFD operation at least for RRC_CONNECTED state.</w:t>
      </w:r>
    </w:p>
    <w:p w14:paraId="2FAE68B8"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w:t>
      </w:r>
      <w:r w:rsidRPr="00300A71">
        <w:rPr>
          <w:bCs/>
          <w:sz w:val="20"/>
          <w:szCs w:val="20"/>
          <w:lang w:val="en-GB"/>
        </w:rPr>
        <w:t xml:space="preserve"> Alt 1:</w:t>
      </w:r>
    </w:p>
    <w:p w14:paraId="50F41C7B"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not known to UEs. </w:t>
      </w:r>
    </w:p>
    <w:p w14:paraId="3FF57905"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follow existing specifications without introducing new UE </w:t>
      </w:r>
      <w:proofErr w:type="spellStart"/>
      <w:r w:rsidRPr="00300A71">
        <w:rPr>
          <w:sz w:val="20"/>
          <w:szCs w:val="20"/>
          <w:lang w:val="en-GB"/>
        </w:rPr>
        <w:t>behaviors</w:t>
      </w:r>
      <w:proofErr w:type="spellEnd"/>
      <w:r w:rsidRPr="00300A71">
        <w:rPr>
          <w:sz w:val="20"/>
          <w:szCs w:val="20"/>
          <w:lang w:val="en-GB"/>
        </w:rPr>
        <w:t xml:space="preserve"> for SBFD operation at </w:t>
      </w:r>
      <w:proofErr w:type="spellStart"/>
      <w:r w:rsidRPr="00300A71">
        <w:rPr>
          <w:sz w:val="20"/>
          <w:szCs w:val="20"/>
          <w:lang w:val="en-GB"/>
        </w:rPr>
        <w:t>gNB</w:t>
      </w:r>
      <w:proofErr w:type="spellEnd"/>
      <w:r w:rsidRPr="00300A71">
        <w:rPr>
          <w:sz w:val="20"/>
          <w:szCs w:val="20"/>
          <w:lang w:val="en-GB"/>
        </w:rPr>
        <w:t xml:space="preserve"> side.</w:t>
      </w:r>
    </w:p>
    <w:p w14:paraId="47308298"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2:</w:t>
      </w:r>
    </w:p>
    <w:p w14:paraId="2B0EC987"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not known to UEs. </w:t>
      </w:r>
    </w:p>
    <w:p w14:paraId="7155FE61"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0B0CD43D"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introduced for SBFD a</w:t>
      </w:r>
      <w:r w:rsidRPr="00300A71">
        <w:rPr>
          <w:rFonts w:hint="eastAsia"/>
          <w:sz w:val="20"/>
          <w:szCs w:val="20"/>
          <w:lang w:val="en-GB"/>
        </w:rPr>
        <w:t>ware</w:t>
      </w:r>
      <w:r w:rsidRPr="00300A71">
        <w:rPr>
          <w:sz w:val="20"/>
          <w:szCs w:val="20"/>
          <w:lang w:val="en-GB"/>
        </w:rPr>
        <w:t xml:space="preserve"> UEs</w:t>
      </w:r>
    </w:p>
    <w:p w14:paraId="0636EB86"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3:</w:t>
      </w:r>
    </w:p>
    <w:p w14:paraId="03F63279"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Only time location of </w:t>
      </w:r>
      <w:proofErr w:type="spellStart"/>
      <w:r w:rsidRPr="00300A71">
        <w:rPr>
          <w:sz w:val="20"/>
          <w:szCs w:val="20"/>
          <w:lang w:val="en-GB"/>
        </w:rPr>
        <w:t>subbands</w:t>
      </w:r>
      <w:proofErr w:type="spellEnd"/>
      <w:r w:rsidRPr="00300A71">
        <w:rPr>
          <w:sz w:val="20"/>
          <w:szCs w:val="20"/>
          <w:lang w:val="en-GB"/>
        </w:rPr>
        <w:t xml:space="preserve"> for SBFD operation is known to SBFD </w:t>
      </w:r>
      <w:r w:rsidRPr="00300A71">
        <w:rPr>
          <w:rFonts w:hint="eastAsia"/>
          <w:sz w:val="20"/>
          <w:szCs w:val="20"/>
          <w:lang w:val="en-GB"/>
        </w:rPr>
        <w:t>aware</w:t>
      </w:r>
      <w:r w:rsidRPr="00300A71">
        <w:rPr>
          <w:sz w:val="20"/>
          <w:szCs w:val="20"/>
          <w:lang w:val="en-GB"/>
        </w:rPr>
        <w:t xml:space="preserve"> UEs. </w:t>
      </w:r>
    </w:p>
    <w:p w14:paraId="16FB07AD"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376248C5"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 xml:space="preserve">introduced for SBFD </w:t>
      </w:r>
      <w:r w:rsidRPr="00300A71">
        <w:rPr>
          <w:rFonts w:hint="eastAsia"/>
          <w:sz w:val="20"/>
          <w:szCs w:val="20"/>
          <w:lang w:val="en-GB"/>
        </w:rPr>
        <w:t>aware</w:t>
      </w:r>
      <w:r w:rsidRPr="00300A71">
        <w:rPr>
          <w:sz w:val="20"/>
          <w:szCs w:val="20"/>
          <w:lang w:val="en-GB"/>
        </w:rPr>
        <w:t xml:space="preserve"> UEs based on the time location of </w:t>
      </w:r>
      <w:proofErr w:type="spellStart"/>
      <w:r w:rsidRPr="00300A71">
        <w:rPr>
          <w:sz w:val="20"/>
          <w:szCs w:val="20"/>
          <w:lang w:val="en-GB"/>
        </w:rPr>
        <w:t>subbands</w:t>
      </w:r>
      <w:proofErr w:type="spellEnd"/>
      <w:r w:rsidRPr="00300A71">
        <w:rPr>
          <w:sz w:val="20"/>
          <w:szCs w:val="20"/>
          <w:lang w:val="en-GB"/>
        </w:rPr>
        <w:t xml:space="preserve"> for SBFD operation </w:t>
      </w:r>
    </w:p>
    <w:p w14:paraId="508E8E00"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4:</w:t>
      </w:r>
    </w:p>
    <w:p w14:paraId="07EA6713"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Both 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known to SBFD </w:t>
      </w:r>
      <w:r w:rsidRPr="00300A71">
        <w:rPr>
          <w:rFonts w:hint="eastAsia"/>
          <w:sz w:val="20"/>
          <w:szCs w:val="20"/>
          <w:lang w:val="en-GB"/>
        </w:rPr>
        <w:t>aware</w:t>
      </w:r>
      <w:r w:rsidRPr="00300A71">
        <w:rPr>
          <w:sz w:val="20"/>
          <w:szCs w:val="20"/>
          <w:lang w:val="en-GB"/>
        </w:rPr>
        <w:t xml:space="preserve"> UEs. </w:t>
      </w:r>
    </w:p>
    <w:p w14:paraId="46810BE9"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5FB2B279"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 xml:space="preserve">introduced for SBFD </w:t>
      </w:r>
      <w:r w:rsidRPr="00300A71">
        <w:rPr>
          <w:rFonts w:hint="eastAsia"/>
          <w:sz w:val="20"/>
          <w:szCs w:val="20"/>
          <w:lang w:val="en-GB"/>
        </w:rPr>
        <w:t>aware</w:t>
      </w:r>
      <w:r w:rsidRPr="00300A71">
        <w:rPr>
          <w:sz w:val="20"/>
          <w:szCs w:val="20"/>
          <w:lang w:val="en-GB"/>
        </w:rPr>
        <w:t xml:space="preserve"> UEs based on the 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w:t>
      </w:r>
    </w:p>
    <w:p w14:paraId="6575BB13" w14:textId="77777777" w:rsidR="00300A71" w:rsidRPr="00300A71" w:rsidRDefault="00300A71" w:rsidP="00300A71">
      <w:pPr>
        <w:jc w:val="both"/>
        <w:rPr>
          <w:sz w:val="20"/>
          <w:szCs w:val="20"/>
          <w:lang w:val="en-GB"/>
        </w:rPr>
      </w:pPr>
      <w:r w:rsidRPr="00300A71">
        <w:rPr>
          <w:sz w:val="20"/>
          <w:szCs w:val="20"/>
          <w:lang w:val="en-GB"/>
        </w:rPr>
        <w:t>UE capability discussion is held in work item phase.</w:t>
      </w:r>
    </w:p>
    <w:p w14:paraId="0CE2C6A2" w14:textId="4843AB13" w:rsidR="003B6A47" w:rsidRDefault="003B6A47" w:rsidP="00FB414C">
      <w:pPr>
        <w:jc w:val="both"/>
        <w:rPr>
          <w:sz w:val="20"/>
          <w:szCs w:val="20"/>
        </w:rPr>
      </w:pPr>
      <w:r>
        <w:rPr>
          <w:sz w:val="20"/>
          <w:szCs w:val="20"/>
        </w:rPr>
        <w:lastRenderedPageBreak/>
        <w:t xml:space="preserve"> </w:t>
      </w:r>
    </w:p>
    <w:p w14:paraId="06AA518D" w14:textId="77777777" w:rsidR="00300A71" w:rsidRDefault="00300A71" w:rsidP="00FB414C">
      <w:pPr>
        <w:jc w:val="both"/>
        <w:rPr>
          <w:sz w:val="20"/>
          <w:szCs w:val="20"/>
        </w:rPr>
      </w:pPr>
    </w:p>
    <w:p w14:paraId="2433B369" w14:textId="34CE61AA" w:rsidR="007A6EBC" w:rsidRDefault="007A6EBC" w:rsidP="00FB414C">
      <w:pPr>
        <w:jc w:val="both"/>
        <w:rPr>
          <w:sz w:val="20"/>
          <w:szCs w:val="20"/>
        </w:rPr>
      </w:pPr>
    </w:p>
    <w:p w14:paraId="72EC4CFB" w14:textId="77777777" w:rsidR="004B1642" w:rsidRPr="004B1642" w:rsidRDefault="004B1642" w:rsidP="004B1642">
      <w:pPr>
        <w:rPr>
          <w:b/>
          <w:bCs/>
          <w:sz w:val="20"/>
          <w:szCs w:val="20"/>
          <w:highlight w:val="green"/>
          <w:lang w:eastAsia="x-none"/>
        </w:rPr>
      </w:pPr>
      <w:r w:rsidRPr="004B1642">
        <w:rPr>
          <w:b/>
          <w:bCs/>
          <w:sz w:val="20"/>
          <w:szCs w:val="20"/>
          <w:highlight w:val="green"/>
          <w:lang w:eastAsia="x-none"/>
        </w:rPr>
        <w:t>Agreement</w:t>
      </w:r>
    </w:p>
    <w:p w14:paraId="6E52242E" w14:textId="77777777" w:rsidR="004B1642" w:rsidRPr="004B1642" w:rsidRDefault="004B1642" w:rsidP="004B1642">
      <w:pPr>
        <w:spacing w:after="120"/>
        <w:rPr>
          <w:rFonts w:eastAsia="Malgun Gothic"/>
          <w:b/>
          <w:sz w:val="20"/>
          <w:szCs w:val="20"/>
        </w:rPr>
      </w:pPr>
      <w:r w:rsidRPr="004B1642">
        <w:rPr>
          <w:rFonts w:eastAsia="Malgun Gothic"/>
          <w:sz w:val="20"/>
          <w:szCs w:val="20"/>
        </w:rPr>
        <w:t>For SBFD operation</w:t>
      </w:r>
      <w:r w:rsidRPr="004B1642">
        <w:rPr>
          <w:rFonts w:eastAsia="Malgun Gothic"/>
          <w:bCs/>
          <w:sz w:val="20"/>
          <w:szCs w:val="20"/>
        </w:rPr>
        <w:t xml:space="preserve"> Alt 4, for an SBFD aware UE configured with an UL </w:t>
      </w:r>
      <w:proofErr w:type="spellStart"/>
      <w:r w:rsidRPr="004B1642">
        <w:rPr>
          <w:rFonts w:eastAsia="Malgun Gothic"/>
          <w:bCs/>
          <w:sz w:val="20"/>
          <w:szCs w:val="20"/>
        </w:rPr>
        <w:t>subband</w:t>
      </w:r>
      <w:proofErr w:type="spellEnd"/>
      <w:r w:rsidRPr="004B1642">
        <w:rPr>
          <w:rFonts w:eastAsia="Malgun Gothic"/>
          <w:bCs/>
          <w:sz w:val="20"/>
          <w:szCs w:val="20"/>
        </w:rPr>
        <w:t xml:space="preserve"> in an SBFD symbol, study the following options:</w:t>
      </w:r>
    </w:p>
    <w:p w14:paraId="6042E13C" w14:textId="77777777" w:rsidR="004B1642" w:rsidRPr="004B1642" w:rsidRDefault="004B1642" w:rsidP="004B1642">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1: The SBFD aware UE does not expect to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or to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00C7A3A0" w14:textId="77777777" w:rsidR="004B1642" w:rsidRPr="004B1642" w:rsidRDefault="004B1642" w:rsidP="004B1642">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2: The SBFD aware UE does not expect to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and may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05DCE906" w14:textId="77777777" w:rsidR="004B1642" w:rsidRPr="004B1642" w:rsidRDefault="004B1642" w:rsidP="004B1642">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3: The SBFD aware UE does not expect to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and may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06E451FE" w14:textId="77777777" w:rsidR="004B1642" w:rsidRPr="004B1642" w:rsidRDefault="004B1642" w:rsidP="004B1642">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4: The SBFD aware UE may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or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7AF34AD9" w14:textId="06000276" w:rsidR="00B750B7" w:rsidRDefault="00C24DAA" w:rsidP="00B5429D">
      <w:pPr>
        <w:jc w:val="both"/>
        <w:rPr>
          <w:sz w:val="20"/>
          <w:szCs w:val="20"/>
        </w:rPr>
      </w:pPr>
      <w:r>
        <w:rPr>
          <w:sz w:val="20"/>
          <w:szCs w:val="20"/>
        </w:rPr>
        <w:t>In current specification, on</w:t>
      </w:r>
      <w:r w:rsidR="0016607C">
        <w:rPr>
          <w:sz w:val="20"/>
          <w:szCs w:val="20"/>
        </w:rPr>
        <w:t>c</w:t>
      </w:r>
      <w:r>
        <w:rPr>
          <w:sz w:val="20"/>
          <w:szCs w:val="20"/>
        </w:rPr>
        <w:t xml:space="preserve">e </w:t>
      </w:r>
      <w:r w:rsidR="00103D56">
        <w:rPr>
          <w:sz w:val="20"/>
          <w:szCs w:val="20"/>
        </w:rPr>
        <w:t xml:space="preserve">a </w:t>
      </w:r>
      <w:r>
        <w:rPr>
          <w:sz w:val="20"/>
          <w:szCs w:val="20"/>
        </w:rPr>
        <w:t>UE is semi-statically indicated a</w:t>
      </w:r>
      <w:r w:rsidR="00103D56">
        <w:rPr>
          <w:sz w:val="20"/>
          <w:szCs w:val="20"/>
        </w:rPr>
        <w:t>bout a</w:t>
      </w:r>
      <w:r>
        <w:rPr>
          <w:sz w:val="20"/>
          <w:szCs w:val="20"/>
        </w:rPr>
        <w:t xml:space="preserve"> symbol </w:t>
      </w:r>
      <w:r w:rsidR="00103D56">
        <w:rPr>
          <w:sz w:val="20"/>
          <w:szCs w:val="20"/>
        </w:rPr>
        <w:t>direction as</w:t>
      </w:r>
      <w:r>
        <w:rPr>
          <w:sz w:val="20"/>
          <w:szCs w:val="20"/>
        </w:rPr>
        <w:t xml:space="preserve"> uplink (or downlink) within a TDD carrier, UE will not expect a dynamic grant to </w:t>
      </w:r>
      <w:r w:rsidR="00103D56">
        <w:rPr>
          <w:sz w:val="20"/>
          <w:szCs w:val="20"/>
        </w:rPr>
        <w:t>override</w:t>
      </w:r>
      <w:r>
        <w:rPr>
          <w:sz w:val="20"/>
          <w:szCs w:val="20"/>
        </w:rPr>
        <w:t xml:space="preserve"> the link direction. In addition, a configured grant for DL </w:t>
      </w:r>
      <w:r w:rsidR="0016607C">
        <w:rPr>
          <w:sz w:val="20"/>
          <w:szCs w:val="20"/>
        </w:rPr>
        <w:t>reception (or UL transmission) is dropped in occasions where there is any symbol within the grant occasion conflict</w:t>
      </w:r>
      <w:r w:rsidR="00103D56">
        <w:rPr>
          <w:sz w:val="20"/>
          <w:szCs w:val="20"/>
        </w:rPr>
        <w:t>ing</w:t>
      </w:r>
      <w:r w:rsidR="0016607C">
        <w:rPr>
          <w:sz w:val="20"/>
          <w:szCs w:val="20"/>
        </w:rPr>
        <w:t xml:space="preserve"> with the semi-statically indicated UL/DL link direction. </w:t>
      </w:r>
      <w:r w:rsidR="00F171C0">
        <w:rPr>
          <w:sz w:val="20"/>
          <w:szCs w:val="20"/>
        </w:rPr>
        <w:t xml:space="preserve">In addition, the concept of BWP is introduced to save UE’s power for UL transmission, where the UL BWP is not larger than DL BWP. </w:t>
      </w:r>
      <w:r w:rsidR="00103D56">
        <w:rPr>
          <w:sz w:val="20"/>
          <w:szCs w:val="20"/>
        </w:rPr>
        <w:t>Similarly, i</w:t>
      </w:r>
      <w:r>
        <w:rPr>
          <w:sz w:val="20"/>
          <w:szCs w:val="20"/>
        </w:rPr>
        <w:t xml:space="preserve">f UE is semi-statically indicated about the UL sub-band within the SBFD symbol, UE will reasonably </w:t>
      </w:r>
      <w:proofErr w:type="gramStart"/>
      <w:r>
        <w:rPr>
          <w:sz w:val="20"/>
          <w:szCs w:val="20"/>
        </w:rPr>
        <w:t>open up</w:t>
      </w:r>
      <w:proofErr w:type="gramEnd"/>
      <w:r>
        <w:rPr>
          <w:sz w:val="20"/>
          <w:szCs w:val="20"/>
        </w:rPr>
        <w:t xml:space="preserve"> for the UL sub-ba</w:t>
      </w:r>
      <w:r w:rsidR="00F171C0">
        <w:rPr>
          <w:sz w:val="20"/>
          <w:szCs w:val="20"/>
        </w:rPr>
        <w:t>n</w:t>
      </w:r>
      <w:r>
        <w:rPr>
          <w:sz w:val="20"/>
          <w:szCs w:val="20"/>
        </w:rPr>
        <w:t>d</w:t>
      </w:r>
      <w:r w:rsidR="00F171C0">
        <w:rPr>
          <w:sz w:val="20"/>
          <w:szCs w:val="20"/>
        </w:rPr>
        <w:t xml:space="preserve">. In such a scenario, which will save UE power consumption and result better UL coverage enhancement, UE is not able to be scheduled to transmit UL outside the UL </w:t>
      </w:r>
      <w:proofErr w:type="spellStart"/>
      <w:r w:rsidR="00F171C0">
        <w:rPr>
          <w:sz w:val="20"/>
          <w:szCs w:val="20"/>
        </w:rPr>
        <w:t>subband</w:t>
      </w:r>
      <w:proofErr w:type="spellEnd"/>
      <w:r w:rsidR="00F171C0">
        <w:rPr>
          <w:sz w:val="20"/>
          <w:szCs w:val="20"/>
        </w:rPr>
        <w:t>. Based on this discussion, we have the following proposal:</w:t>
      </w:r>
    </w:p>
    <w:p w14:paraId="496B172C" w14:textId="1695C9EF" w:rsidR="00F171C0" w:rsidRDefault="00F171C0" w:rsidP="00B5429D">
      <w:pPr>
        <w:jc w:val="both"/>
        <w:rPr>
          <w:sz w:val="20"/>
          <w:szCs w:val="20"/>
        </w:rPr>
      </w:pPr>
    </w:p>
    <w:p w14:paraId="763F0CED" w14:textId="2814FE7D" w:rsidR="00F171C0" w:rsidRDefault="00F171C0" w:rsidP="00F171C0">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 xml:space="preserve">l </w:t>
      </w:r>
      <w:r w:rsidR="008438C3">
        <w:rPr>
          <w:b/>
          <w:bCs/>
          <w:i/>
          <w:iCs/>
          <w:lang w:val="en-US" w:eastAsia="zh-CN"/>
        </w:rPr>
        <w:t>1</w:t>
      </w:r>
      <w:r w:rsidRPr="00E96C6C">
        <w:rPr>
          <w:b/>
          <w:bCs/>
          <w:i/>
          <w:iCs/>
          <w:lang w:val="en-US" w:eastAsia="zh-CN"/>
        </w:rPr>
        <w:t>:</w:t>
      </w:r>
      <w:r>
        <w:rPr>
          <w:b/>
          <w:bCs/>
          <w:i/>
          <w:iCs/>
          <w:lang w:val="en-US" w:eastAsia="zh-CN"/>
        </w:rPr>
        <w:t xml:space="preserve"> </w:t>
      </w:r>
      <w:r w:rsidR="00590E3A">
        <w:rPr>
          <w:b/>
          <w:bCs/>
          <w:i/>
          <w:iCs/>
          <w:lang w:val="en-US" w:eastAsia="zh-CN"/>
        </w:rPr>
        <w:t xml:space="preserve">De-prioritize Option 3 and Option 4 </w:t>
      </w:r>
      <w:r w:rsidR="00590E3A">
        <w:rPr>
          <w:b/>
          <w:bCs/>
          <w:i/>
          <w:iCs/>
        </w:rPr>
        <w:t>for SBFD operation under Alt4</w:t>
      </w:r>
      <w:r>
        <w:rPr>
          <w:b/>
          <w:bCs/>
          <w:i/>
          <w:iCs/>
        </w:rPr>
        <w:t>.</w:t>
      </w:r>
    </w:p>
    <w:p w14:paraId="0B70822F" w14:textId="77777777" w:rsidR="00F171C0" w:rsidRPr="00514470" w:rsidRDefault="00F171C0" w:rsidP="00B5429D">
      <w:pPr>
        <w:jc w:val="both"/>
        <w:rPr>
          <w:sz w:val="20"/>
          <w:szCs w:val="20"/>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240117A" w14:textId="1C9245A6" w:rsidR="0060618C"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UE may severely impact a nearby victim UE.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DB652D">
        <w:rPr>
          <w:sz w:val="20"/>
          <w:szCs w:val="20"/>
        </w:rPr>
        <w:t>It is also important that such a procedure identifies legacy victim UEs, for which no additional enhancement is envisioned. To achieve this goal, network can repurpose some of the existing signaling. For example, potential victim UE can be indicated to transmit SRS (e.g., before PDSCH reception), 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1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5"/>
                    <a:stretch>
                      <a:fillRect/>
                    </a:stretch>
                  </pic:blipFill>
                  <pic:spPr>
                    <a:xfrm>
                      <a:off x="0" y="0"/>
                      <a:ext cx="2817514" cy="1348471"/>
                    </a:xfrm>
                    <a:prstGeom prst="rect">
                      <a:avLst/>
                    </a:prstGeom>
                  </pic:spPr>
                </pic:pic>
              </a:graphicData>
            </a:graphic>
          </wp:inline>
        </w:drawing>
      </w:r>
    </w:p>
    <w:p w14:paraId="6593BC90" w14:textId="7F070D9D" w:rsidR="00A87388" w:rsidRDefault="00A87388" w:rsidP="00A87388">
      <w:pPr>
        <w:pStyle w:val="TH"/>
        <w:rPr>
          <w:lang w:val="en-US"/>
        </w:rPr>
      </w:pPr>
      <w:r>
        <w:rPr>
          <w:rFonts w:eastAsia="SimSun"/>
          <w:kern w:val="24"/>
          <w:lang w:val="en-GB" w:eastAsia="ja-JP"/>
        </w:rPr>
        <w:t>Figure 1</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2DBF72EE" w14:textId="708F0D25" w:rsidR="0060618C" w:rsidRDefault="000115C8" w:rsidP="0060618C">
      <w:pPr>
        <w:pStyle w:val="0Maintext"/>
        <w:spacing w:after="120" w:afterAutospacing="0" w:line="240" w:lineRule="auto"/>
        <w:ind w:firstLine="0"/>
        <w:rPr>
          <w:b/>
          <w:bCs/>
          <w:i/>
          <w:iCs/>
        </w:rPr>
      </w:pPr>
      <w:r w:rsidRPr="00E96C6C">
        <w:rPr>
          <w:b/>
          <w:bCs/>
          <w:i/>
          <w:iCs/>
          <w:lang w:val="en-US" w:eastAsia="zh-CN"/>
        </w:rPr>
        <w:lastRenderedPageBreak/>
        <w:t>Proposa</w:t>
      </w:r>
      <w:r>
        <w:rPr>
          <w:b/>
          <w:bCs/>
          <w:i/>
          <w:iCs/>
          <w:lang w:val="en-US" w:eastAsia="zh-CN"/>
        </w:rPr>
        <w:t xml:space="preserve">l </w:t>
      </w:r>
      <w:r w:rsidR="00F60A71">
        <w:rPr>
          <w:b/>
          <w:bCs/>
          <w:i/>
          <w:iCs/>
          <w:lang w:val="en-US" w:eastAsia="zh-CN"/>
        </w:rPr>
        <w:t>2</w:t>
      </w:r>
      <w:r w:rsidRPr="00E96C6C">
        <w:rPr>
          <w:b/>
          <w:bCs/>
          <w:i/>
          <w:iCs/>
          <w:lang w:val="en-US" w:eastAsia="zh-CN"/>
        </w:rPr>
        <w:t>:</w:t>
      </w:r>
      <w:r w:rsidR="0060618C">
        <w:rPr>
          <w:b/>
          <w:bCs/>
          <w:i/>
          <w:iCs/>
          <w:lang w:val="en-US" w:eastAsia="zh-CN"/>
        </w:rPr>
        <w:t xml:space="preserve"> </w:t>
      </w:r>
      <w:r w:rsidR="00F60A71" w:rsidRPr="00F60A71">
        <w:rPr>
          <w:b/>
          <w:bCs/>
          <w:i/>
          <w:iCs/>
        </w:rPr>
        <w:t>Potential aggressor UE, UE</w:t>
      </w:r>
      <w:r w:rsidR="00F60A71" w:rsidRPr="00F60A71">
        <w:rPr>
          <w:b/>
          <w:bCs/>
          <w:i/>
          <w:iCs/>
          <w:vertAlign w:val="subscript"/>
        </w:rPr>
        <w:t>A</w:t>
      </w:r>
      <w:r w:rsidR="00F60A71" w:rsidRPr="00F60A71">
        <w:rPr>
          <w:b/>
          <w:bCs/>
          <w:i/>
          <w:iCs/>
        </w:rPr>
        <w:t>, is indicated to measure SRS</w:t>
      </w:r>
      <w:r w:rsidR="0060618C">
        <w:rPr>
          <w:b/>
          <w:bCs/>
          <w:i/>
          <w:iCs/>
        </w:rPr>
        <w:t xml:space="preserve"> (transmitted by potential victim UE)</w:t>
      </w:r>
      <w:r w:rsidR="00F60A71" w:rsidRPr="00F60A71">
        <w:rPr>
          <w:b/>
          <w:bCs/>
          <w:i/>
          <w:iCs/>
        </w:rPr>
        <w:t xml:space="preserve"> before PUSCH transmission</w:t>
      </w:r>
      <w:r w:rsidR="0060618C">
        <w:rPr>
          <w:b/>
          <w:bCs/>
          <w:i/>
          <w:iCs/>
        </w:rPr>
        <w:t xml:space="preserve">. </w:t>
      </w:r>
      <w:r w:rsidR="00F60A71" w:rsidRPr="00F60A71">
        <w:rPr>
          <w:b/>
          <w:bCs/>
          <w:i/>
          <w:iCs/>
        </w:rPr>
        <w:t>The indication can be through DCI scheduling the PUSCH for aggressor UE</w:t>
      </w:r>
      <w:r w:rsidR="0060618C">
        <w:rPr>
          <w:b/>
          <w:bCs/>
          <w:i/>
          <w:iCs/>
        </w:rPr>
        <w:t>.</w:t>
      </w:r>
    </w:p>
    <w:p w14:paraId="00F4DF56" w14:textId="77777777" w:rsidR="0060618C" w:rsidRDefault="0060618C" w:rsidP="0060618C">
      <w:pPr>
        <w:pStyle w:val="0Maintext"/>
        <w:numPr>
          <w:ilvl w:val="0"/>
          <w:numId w:val="25"/>
        </w:numPr>
        <w:spacing w:after="120" w:afterAutospacing="0" w:line="240" w:lineRule="auto"/>
        <w:rPr>
          <w:b/>
          <w:bCs/>
          <w:i/>
          <w:iCs/>
        </w:rPr>
      </w:pPr>
      <w:r>
        <w:rPr>
          <w:b/>
          <w:bCs/>
          <w:i/>
          <w:iCs/>
        </w:rPr>
        <w:t>One</w:t>
      </w:r>
      <w:r w:rsidR="00F60A71" w:rsidRPr="00F60A71">
        <w:rPr>
          <w:b/>
          <w:bCs/>
          <w:i/>
          <w:iCs/>
        </w:rPr>
        <w:t xml:space="preserve"> (or more) aperiodic SRS resource sets are tagged with a RRC parameter indicating CTS purpose</w:t>
      </w:r>
    </w:p>
    <w:p w14:paraId="5C676282" w14:textId="6987140D" w:rsidR="00F60A71" w:rsidRDefault="00F60A71" w:rsidP="0060618C">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sidR="0060618C">
        <w:rPr>
          <w:b/>
          <w:bCs/>
          <w:i/>
          <w:iCs/>
          <w:vertAlign w:val="subscript"/>
        </w:rPr>
        <w:t>A</w:t>
      </w:r>
      <w:r w:rsidRPr="00F60A71">
        <w:rPr>
          <w:b/>
          <w:bCs/>
          <w:i/>
          <w:iCs/>
        </w:rPr>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149212AE"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36300299" w14:textId="332AC810" w:rsidR="007E4A87" w:rsidRPr="00BE4C1E" w:rsidRDefault="00590E40" w:rsidP="00BE4C1E">
      <w:pPr>
        <w:pStyle w:val="0Maintext"/>
        <w:spacing w:after="120" w:afterAutospacing="0" w:line="240" w:lineRule="auto"/>
        <w:ind w:firstLine="0"/>
        <w:rPr>
          <w:b/>
          <w:bCs/>
          <w:i/>
          <w:iCs/>
          <w:lang w:val="en-US"/>
        </w:rPr>
      </w:pPr>
      <w:r w:rsidRPr="00BE4C1E">
        <w:rPr>
          <w:b/>
          <w:bCs/>
          <w:i/>
          <w:iCs/>
          <w:lang w:val="en-US" w:eastAsia="zh-CN"/>
        </w:rPr>
        <w:t>Proposal 3:</w:t>
      </w:r>
      <w:r w:rsidR="00BE4C1E" w:rsidRPr="00BE4C1E">
        <w:rPr>
          <w:b/>
          <w:bCs/>
          <w:i/>
          <w:iCs/>
          <w:lang w:val="en-US" w:eastAsia="zh-CN"/>
        </w:rPr>
        <w:t xml:space="preserve"> Study feasibility of a mechanism to indicate</w:t>
      </w:r>
      <w:r w:rsidRPr="00BE4C1E">
        <w:rPr>
          <w:b/>
          <w:bCs/>
          <w:i/>
          <w:iCs/>
          <w:lang w:val="en-US" w:eastAsia="zh-CN"/>
        </w:rPr>
        <w:t xml:space="preserve"> </w:t>
      </w:r>
      <w:r w:rsidR="00BE4C1E" w:rsidRPr="00BE4C1E">
        <w:rPr>
          <w:b/>
          <w:bCs/>
          <w:i/>
          <w:iCs/>
        </w:rPr>
        <w:t>f</w:t>
      </w:r>
      <w:r w:rsidRPr="00BE4C1E">
        <w:rPr>
          <w:b/>
          <w:bCs/>
          <w:i/>
          <w:iCs/>
        </w:rPr>
        <w:t xml:space="preserve">uture release </w:t>
      </w:r>
      <w:r w:rsidRPr="00BE4C1E">
        <w:rPr>
          <w:b/>
          <w:bCs/>
          <w:i/>
          <w:iCs/>
          <w:lang w:val="en-US"/>
        </w:rPr>
        <w:t>UE about cell duplex operation mode</w:t>
      </w:r>
      <w:r w:rsidR="00BE4C1E">
        <w:rPr>
          <w:b/>
          <w:bCs/>
          <w:i/>
          <w:iCs/>
          <w:lang w:val="en-US"/>
        </w:rPr>
        <w:t>.</w:t>
      </w:r>
      <w:r w:rsidR="00AB03E8">
        <w:t xml:space="preserve">  </w:t>
      </w:r>
    </w:p>
    <w:p w14:paraId="424B23AC" w14:textId="6944BA13" w:rsidR="002562BF" w:rsidRDefault="002562BF" w:rsidP="008236A0">
      <w:pPr>
        <w:rPr>
          <w:rFonts w:cs="Batang"/>
          <w:sz w:val="20"/>
          <w:szCs w:val="20"/>
          <w:lang w:val="en-GB" w:eastAsia="ja-JP"/>
        </w:rPr>
      </w:pPr>
    </w:p>
    <w:p w14:paraId="00346E19" w14:textId="77777777" w:rsidR="004A69A3" w:rsidRDefault="004A69A3" w:rsidP="004A69A3">
      <w:pPr>
        <w:pStyle w:val="Heading2"/>
      </w:pPr>
      <w:r>
        <w:t>Indication to UE</w:t>
      </w:r>
      <w:r>
        <w:rPr>
          <w:vertAlign w:val="subscript"/>
        </w:rPr>
        <w:t>V</w:t>
      </w:r>
      <w:r>
        <w:t xml:space="preserve"> on resources with CLI</w:t>
      </w:r>
    </w:p>
    <w:p w14:paraId="6A9AD1EB" w14:textId="7EB67F9A" w:rsidR="007D27B2" w:rsidRDefault="004A69A3" w:rsidP="008A6FAA">
      <w:pPr>
        <w:pStyle w:val="Heading2"/>
        <w:numPr>
          <w:ilvl w:val="0"/>
          <w:numId w:val="0"/>
        </w:numPr>
        <w:jc w:val="both"/>
        <w:rPr>
          <w:sz w:val="20"/>
          <w:szCs w:val="20"/>
        </w:rPr>
      </w:pPr>
      <w:r w:rsidRPr="004A69A3">
        <w:rPr>
          <w:sz w:val="20"/>
          <w:szCs w:val="20"/>
        </w:rPr>
        <w:t>Although it is expected that scheduler maintains enough separability between victim and aggressor UEs (e.g., in frequency and/or spatial domain), the</w:t>
      </w:r>
      <w:r w:rsidR="008A6FAA">
        <w:rPr>
          <w:sz w:val="20"/>
          <w:szCs w:val="20"/>
        </w:rPr>
        <w:t>re could be scenarios where</w:t>
      </w:r>
      <w:r w:rsidRPr="004A69A3">
        <w:rPr>
          <w:sz w:val="20"/>
          <w:szCs w:val="20"/>
        </w:rPr>
        <w:t xml:space="preserve"> UE-to-UE CLI is still inevitable. </w:t>
      </w:r>
      <w:r w:rsidR="008A6FAA">
        <w:rPr>
          <w:sz w:val="20"/>
          <w:szCs w:val="20"/>
        </w:rPr>
        <w:t>For example, i</w:t>
      </w:r>
      <w:r w:rsidRPr="004A69A3">
        <w:rPr>
          <w:sz w:val="20"/>
          <w:szCs w:val="20"/>
        </w:rPr>
        <w:t>magine the case that UL transmission on UE</w:t>
      </w:r>
      <w:r w:rsidRPr="004A69A3">
        <w:rPr>
          <w:sz w:val="20"/>
          <w:szCs w:val="20"/>
          <w:vertAlign w:val="subscript"/>
        </w:rPr>
        <w:t>A</w:t>
      </w:r>
      <w:r w:rsidRPr="004A69A3">
        <w:rPr>
          <w:sz w:val="20"/>
          <w:szCs w:val="20"/>
        </w:rPr>
        <w:t xml:space="preserve"> carries URLLC and thus cannot be cancelled. In this scenario, </w:t>
      </w:r>
      <w:proofErr w:type="spellStart"/>
      <w:r w:rsidRPr="004A69A3">
        <w:rPr>
          <w:sz w:val="20"/>
          <w:szCs w:val="20"/>
        </w:rPr>
        <w:t>gNB</w:t>
      </w:r>
      <w:proofErr w:type="spellEnd"/>
      <w:r w:rsidRPr="004A69A3">
        <w:rPr>
          <w:sz w:val="20"/>
          <w:szCs w:val="20"/>
        </w:rPr>
        <w:t xml:space="preserve"> should be able to indicate to the victim UE</w:t>
      </w:r>
      <w:r w:rsidR="008A6FAA">
        <w:rPr>
          <w:sz w:val="20"/>
          <w:szCs w:val="20"/>
          <w:vertAlign w:val="subscript"/>
        </w:rPr>
        <w:t>V</w:t>
      </w:r>
      <w:r w:rsidRPr="004A69A3">
        <w:rPr>
          <w:sz w:val="20"/>
          <w:szCs w:val="20"/>
        </w:rPr>
        <w:t xml:space="preserve">, </w:t>
      </w:r>
      <w:r w:rsidR="008A6FAA">
        <w:rPr>
          <w:sz w:val="20"/>
          <w:szCs w:val="20"/>
        </w:rPr>
        <w:t>which</w:t>
      </w:r>
      <w:r w:rsidRPr="004A69A3">
        <w:rPr>
          <w:sz w:val="20"/>
          <w:szCs w:val="20"/>
        </w:rPr>
        <w:t xml:space="preserve"> is receiving in DL, about the probable existence of CLI from aggressor UE(s)</w:t>
      </w:r>
      <w:r w:rsidR="008A6FAA">
        <w:rPr>
          <w:sz w:val="20"/>
          <w:szCs w:val="20"/>
        </w:rPr>
        <w:t xml:space="preserve"> on resources that overlap in time between </w:t>
      </w:r>
      <w:r w:rsidR="008A6FAA" w:rsidRPr="004A69A3">
        <w:rPr>
          <w:sz w:val="20"/>
          <w:szCs w:val="20"/>
        </w:rPr>
        <w:t>UE</w:t>
      </w:r>
      <w:r w:rsidR="008A6FAA">
        <w:rPr>
          <w:sz w:val="20"/>
          <w:szCs w:val="20"/>
          <w:vertAlign w:val="subscript"/>
        </w:rPr>
        <w:t>V</w:t>
      </w:r>
      <w:r w:rsidR="008A6FAA">
        <w:rPr>
          <w:sz w:val="20"/>
          <w:szCs w:val="20"/>
        </w:rPr>
        <w:t xml:space="preserve"> and </w:t>
      </w:r>
      <w:r w:rsidR="008A6FAA" w:rsidRPr="004A69A3">
        <w:rPr>
          <w:sz w:val="20"/>
          <w:szCs w:val="20"/>
        </w:rPr>
        <w:t>UE</w:t>
      </w:r>
      <w:r w:rsidR="008A6FAA">
        <w:rPr>
          <w:sz w:val="20"/>
          <w:szCs w:val="20"/>
          <w:vertAlign w:val="subscript"/>
        </w:rPr>
        <w:t>VA</w:t>
      </w:r>
      <w:r w:rsidRPr="004A69A3">
        <w:rPr>
          <w:sz w:val="20"/>
          <w:szCs w:val="20"/>
        </w:rPr>
        <w:t xml:space="preserve"> </w:t>
      </w:r>
      <w:r w:rsidR="008A6FAA">
        <w:rPr>
          <w:sz w:val="20"/>
          <w:szCs w:val="20"/>
        </w:rPr>
        <w:t xml:space="preserve">‘s allocations. Although this problem is not exactly same as DL preemption indication, which was specified in Rel-15 for URLLC, but there are strong similarities between the </w:t>
      </w:r>
      <w:r w:rsidR="007D27B2">
        <w:rPr>
          <w:sz w:val="20"/>
          <w:szCs w:val="20"/>
        </w:rPr>
        <w:t xml:space="preserve">two cases. In both cases, we have a UE in DL which its data reception has been impacted by another UE (a URLLC UE in DL in Rel-15 and a URLLC UE in UL in future releases). Given that no additional signaling to legacy UE is promoted unless its requirements </w:t>
      </w:r>
      <w:r w:rsidR="00115F3F">
        <w:rPr>
          <w:sz w:val="20"/>
          <w:szCs w:val="20"/>
        </w:rPr>
        <w:t>are</w:t>
      </w:r>
      <w:r w:rsidR="007D27B2">
        <w:rPr>
          <w:sz w:val="20"/>
          <w:szCs w:val="20"/>
        </w:rPr>
        <w:t xml:space="preserve"> highly justified, we propose the </w:t>
      </w:r>
      <w:r w:rsidR="00115F3F">
        <w:rPr>
          <w:sz w:val="20"/>
          <w:szCs w:val="20"/>
        </w:rPr>
        <w:t xml:space="preserve">interrupted transmission indication as specified in Rel-15 to be repurposed to indicate resources impacted by CLI. </w:t>
      </w:r>
      <w:proofErr w:type="gramStart"/>
      <w:r w:rsidR="00115F3F">
        <w:rPr>
          <w:sz w:val="20"/>
          <w:szCs w:val="20"/>
        </w:rPr>
        <w:t>Of course</w:t>
      </w:r>
      <w:proofErr w:type="gramEnd"/>
      <w:r w:rsidR="00115F3F">
        <w:rPr>
          <w:sz w:val="20"/>
          <w:szCs w:val="20"/>
        </w:rPr>
        <w:t xml:space="preserve"> the reason of preemption indication is transparent to victim UE, i.e. it does not matter to UE</w:t>
      </w:r>
      <w:r w:rsidR="00115F3F">
        <w:rPr>
          <w:sz w:val="20"/>
          <w:szCs w:val="20"/>
          <w:vertAlign w:val="subscript"/>
        </w:rPr>
        <w:t>V</w:t>
      </w:r>
      <w:r w:rsidR="00115F3F">
        <w:rPr>
          <w:sz w:val="20"/>
          <w:szCs w:val="20"/>
        </w:rPr>
        <w:t xml:space="preserve"> whether there exists a URLLC UE</w:t>
      </w:r>
      <w:r w:rsidR="007D27B2">
        <w:rPr>
          <w:sz w:val="20"/>
          <w:szCs w:val="20"/>
        </w:rPr>
        <w:t xml:space="preserve"> </w:t>
      </w:r>
      <w:r w:rsidR="00115F3F">
        <w:rPr>
          <w:sz w:val="20"/>
          <w:szCs w:val="20"/>
        </w:rPr>
        <w:t>in UL or DL transmission.</w:t>
      </w:r>
    </w:p>
    <w:p w14:paraId="719EDB84" w14:textId="1C2B539D" w:rsidR="004A69A3" w:rsidRDefault="00115F3F" w:rsidP="00214DB5">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sidR="00CC0E8B">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sidR="00214DB5">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sidR="00214DB5">
        <w:rPr>
          <w:rFonts w:eastAsia="Times New Roman" w:cs="Batang"/>
          <w:b/>
          <w:bCs/>
          <w:i/>
          <w:iCs/>
          <w:sz w:val="20"/>
          <w:szCs w:val="20"/>
        </w:rPr>
        <w:t xml:space="preserve">. </w:t>
      </w:r>
    </w:p>
    <w:p w14:paraId="45337BA9" w14:textId="77777777" w:rsidR="00562EE5" w:rsidRPr="00562EE5" w:rsidRDefault="00562EE5" w:rsidP="00562EE5"/>
    <w:p w14:paraId="1E11BAA8" w14:textId="46C1AC61" w:rsidR="00732564" w:rsidRDefault="00732564" w:rsidP="00732564">
      <w:pPr>
        <w:pStyle w:val="Heading2"/>
      </w:pPr>
      <w:r>
        <w:t xml:space="preserve">DL power adjustment </w:t>
      </w:r>
    </w:p>
    <w:p w14:paraId="0CA35920" w14:textId="6A23CF90" w:rsidR="004A69A3" w:rsidRDefault="00695A7E" w:rsidP="00562EE5">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xml:space="preserve">, when scheduler is aware of UE-to-UE CLI </w:t>
      </w:r>
      <w:r w:rsidR="00562EE5">
        <w:rPr>
          <w:rFonts w:cs="Batang"/>
          <w:sz w:val="20"/>
          <w:szCs w:val="20"/>
          <w:lang w:val="en-GB" w:eastAsia="ja-JP"/>
        </w:rPr>
        <w:t xml:space="preserve">due </w:t>
      </w:r>
      <w:r>
        <w:rPr>
          <w:rFonts w:cs="Batang"/>
          <w:sz w:val="20"/>
          <w:szCs w:val="20"/>
          <w:lang w:val="en-GB" w:eastAsia="ja-JP"/>
        </w:rPr>
        <w:t>UL transmission</w:t>
      </w:r>
      <w:r w:rsidR="00562EE5">
        <w:rPr>
          <w:rFonts w:cs="Batang"/>
          <w:sz w:val="20"/>
          <w:szCs w:val="20"/>
          <w:lang w:val="en-GB" w:eastAsia="ja-JP"/>
        </w:rPr>
        <w:t xml:space="preserve"> by UE</w:t>
      </w:r>
      <w:r w:rsidR="00562EE5">
        <w:rPr>
          <w:rFonts w:cs="Batang"/>
          <w:sz w:val="20"/>
          <w:szCs w:val="20"/>
          <w:vertAlign w:val="subscript"/>
          <w:lang w:val="en-GB" w:eastAsia="ja-JP"/>
        </w:rPr>
        <w:t>A</w:t>
      </w:r>
      <w:r w:rsidR="00562EE5">
        <w:rPr>
          <w:rFonts w:cs="Batang"/>
          <w:sz w:val="20"/>
          <w:szCs w:val="20"/>
          <w:lang w:val="en-GB" w:eastAsia="ja-JP"/>
        </w:rPr>
        <w:t xml:space="preserve"> and DL reception by UE</w:t>
      </w:r>
      <w:r w:rsidR="00562EE5">
        <w:rPr>
          <w:rFonts w:cs="Batang"/>
          <w:sz w:val="20"/>
          <w:szCs w:val="20"/>
          <w:vertAlign w:val="subscript"/>
          <w:lang w:val="en-GB" w:eastAsia="ja-JP"/>
        </w:rPr>
        <w:t>V</w:t>
      </w:r>
      <w:r w:rsidR="00562EE5">
        <w:rPr>
          <w:rFonts w:cs="Batang"/>
          <w:sz w:val="20"/>
          <w:szCs w:val="20"/>
          <w:lang w:val="en-GB" w:eastAsia="ja-JP"/>
        </w:rPr>
        <w:t>, it can protect victim UE by increasing DL transmit power over UE</w:t>
      </w:r>
      <w:r w:rsidR="00562EE5">
        <w:rPr>
          <w:rFonts w:cs="Batang"/>
          <w:sz w:val="20"/>
          <w:szCs w:val="20"/>
          <w:vertAlign w:val="subscript"/>
          <w:lang w:val="en-GB" w:eastAsia="ja-JP"/>
        </w:rPr>
        <w:t>V</w:t>
      </w:r>
      <w:r w:rsidR="00562EE5">
        <w:rPr>
          <w:rFonts w:cs="Batang"/>
          <w:sz w:val="20"/>
          <w:szCs w:val="20"/>
          <w:lang w:val="en-GB" w:eastAsia="ja-JP"/>
        </w:rPr>
        <w:t xml:space="preserve">’s resource allocation. Although this procedure and its impact on UE procedure shall be further studied.   </w:t>
      </w:r>
      <w:r>
        <w:rPr>
          <w:rFonts w:cs="Batang"/>
          <w:sz w:val="20"/>
          <w:szCs w:val="20"/>
          <w:lang w:val="en-GB" w:eastAsia="ja-JP"/>
        </w:rPr>
        <w:t xml:space="preserve"> </w:t>
      </w:r>
    </w:p>
    <w:p w14:paraId="7ADEBCA6" w14:textId="77777777" w:rsidR="00562EE5" w:rsidRDefault="00562EE5" w:rsidP="00562EE5">
      <w:pPr>
        <w:jc w:val="both"/>
        <w:rPr>
          <w:rFonts w:cs="Batang"/>
          <w:sz w:val="20"/>
          <w:szCs w:val="20"/>
          <w:lang w:val="en-GB" w:eastAsia="ja-JP"/>
        </w:rPr>
      </w:pPr>
    </w:p>
    <w:p w14:paraId="25AB7C21" w14:textId="24BE5C19" w:rsidR="00562EE5" w:rsidRDefault="00562EE5" w:rsidP="00562EE5">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35DFF8A2" w14:textId="77777777" w:rsidR="00D45853" w:rsidRPr="00562EE5" w:rsidRDefault="00D45853" w:rsidP="00562EE5">
      <w:pPr>
        <w:jc w:val="both"/>
        <w:rPr>
          <w:rFonts w:cs="Batang"/>
          <w:b/>
          <w:bCs/>
          <w:i/>
          <w:iCs/>
          <w:sz w:val="20"/>
          <w:szCs w:val="20"/>
        </w:rPr>
      </w:pPr>
    </w:p>
    <w:p w14:paraId="319B6700" w14:textId="2C7FF69F" w:rsidR="007A1F9E" w:rsidRDefault="007A1F9E" w:rsidP="007A1F9E">
      <w:pPr>
        <w:pStyle w:val="Heading1"/>
      </w:pPr>
      <w:r>
        <w:t>Conclusion</w:t>
      </w:r>
    </w:p>
    <w:p w14:paraId="493C61C7" w14:textId="6DDDF9B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5FFD056C" w14:textId="77777777" w:rsidR="00A04BB9" w:rsidRDefault="00A04BB9" w:rsidP="00A04BB9">
      <w:pPr>
        <w:pStyle w:val="0Maintext"/>
        <w:spacing w:after="120" w:afterAutospacing="0" w:line="240" w:lineRule="auto"/>
        <w:ind w:firstLine="0"/>
        <w:rPr>
          <w:b/>
          <w:bCs/>
          <w:i/>
          <w:iCs/>
        </w:rPr>
      </w:pPr>
      <w:r w:rsidRPr="00E96C6C">
        <w:rPr>
          <w:b/>
          <w:bCs/>
          <w:i/>
          <w:iCs/>
          <w:lang w:val="en-US" w:eastAsia="zh-CN"/>
        </w:rPr>
        <w:lastRenderedPageBreak/>
        <w:t>Proposa</w:t>
      </w:r>
      <w:r>
        <w:rPr>
          <w:b/>
          <w:bCs/>
          <w:i/>
          <w:iCs/>
          <w:lang w:val="en-US" w:eastAsia="zh-CN"/>
        </w:rPr>
        <w:t>l 1</w:t>
      </w:r>
      <w:r w:rsidRPr="00E96C6C">
        <w:rPr>
          <w:b/>
          <w:bCs/>
          <w:i/>
          <w:iCs/>
          <w:lang w:val="en-US" w:eastAsia="zh-CN"/>
        </w:rPr>
        <w:t>:</w:t>
      </w:r>
      <w:r>
        <w:rPr>
          <w:b/>
          <w:bCs/>
          <w:i/>
          <w:iCs/>
          <w:lang w:val="en-US" w:eastAsia="zh-CN"/>
        </w:rPr>
        <w:t xml:space="preserve"> De-prioritize Option 3 and Option 4 </w:t>
      </w:r>
      <w:r>
        <w:rPr>
          <w:b/>
          <w:bCs/>
          <w:i/>
          <w:iCs/>
        </w:rPr>
        <w:t>for SBFD operation under Alt4.</w:t>
      </w:r>
    </w:p>
    <w:p w14:paraId="719789C7" w14:textId="77777777" w:rsidR="008C6E16" w:rsidRPr="006D4F66" w:rsidRDefault="008C6E16" w:rsidP="008C6E16">
      <w:pPr>
        <w:jc w:val="both"/>
        <w:rPr>
          <w:sz w:val="20"/>
          <w:szCs w:val="20"/>
        </w:rPr>
      </w:pPr>
      <w:r>
        <w:rPr>
          <w:sz w:val="20"/>
          <w:szCs w:val="20"/>
          <w:lang w:val="en-GB"/>
        </w:rPr>
        <w:t xml:space="preserve"> </w:t>
      </w:r>
      <w:r w:rsidRPr="006D4F66">
        <w:rPr>
          <w:sz w:val="20"/>
          <w:szCs w:val="20"/>
          <w:lang w:val="en-GB"/>
        </w:rPr>
        <w:t xml:space="preserve"> </w:t>
      </w:r>
    </w:p>
    <w:p w14:paraId="5D8D8C54" w14:textId="77777777" w:rsidR="008C6E16" w:rsidRDefault="008C6E16" w:rsidP="008C6E16">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l 2</w:t>
      </w:r>
      <w:r w:rsidRPr="00E96C6C">
        <w:rPr>
          <w:b/>
          <w:bCs/>
          <w:i/>
          <w:iCs/>
          <w:lang w:val="en-US" w:eastAsia="zh-CN"/>
        </w:rPr>
        <w:t>:</w:t>
      </w:r>
      <w:r>
        <w:rPr>
          <w:b/>
          <w:bCs/>
          <w:i/>
          <w:iCs/>
          <w:lang w:val="en-US" w:eastAsia="zh-CN"/>
        </w:rPr>
        <w:t xml:space="preserve"> </w:t>
      </w:r>
      <w:r w:rsidRPr="00F60A71">
        <w:rPr>
          <w:b/>
          <w:bCs/>
          <w:i/>
          <w:iCs/>
        </w:rPr>
        <w:t>Potential aggressor UE, UE</w:t>
      </w:r>
      <w:r w:rsidRPr="00F60A71">
        <w:rPr>
          <w:b/>
          <w:bCs/>
          <w:i/>
          <w:iCs/>
          <w:vertAlign w:val="subscript"/>
        </w:rPr>
        <w:t>A</w:t>
      </w:r>
      <w:r w:rsidRPr="00F60A71">
        <w:rPr>
          <w:b/>
          <w:bCs/>
          <w:i/>
          <w:iCs/>
        </w:rPr>
        <w:t>, is indicated to measure SRS</w:t>
      </w:r>
      <w:r>
        <w:rPr>
          <w:b/>
          <w:bCs/>
          <w:i/>
          <w:iCs/>
        </w:rPr>
        <w:t xml:space="preserve"> (transmitted by potential victim UE)</w:t>
      </w:r>
      <w:r w:rsidRPr="00F60A71">
        <w:rPr>
          <w:b/>
          <w:bCs/>
          <w:i/>
          <w:iCs/>
        </w:rPr>
        <w:t xml:space="preserve"> before PUSCH transmission</w:t>
      </w:r>
      <w:r>
        <w:rPr>
          <w:b/>
          <w:bCs/>
          <w:i/>
          <w:iCs/>
        </w:rPr>
        <w:t xml:space="preserve">. </w:t>
      </w:r>
      <w:r w:rsidRPr="00F60A71">
        <w:rPr>
          <w:b/>
          <w:bCs/>
          <w:i/>
          <w:iCs/>
        </w:rPr>
        <w:t>The indication can be through DCI scheduling the PUSCH for aggressor UE</w:t>
      </w:r>
      <w:r>
        <w:rPr>
          <w:b/>
          <w:bCs/>
          <w:i/>
          <w:iCs/>
        </w:rPr>
        <w:t>.</w:t>
      </w:r>
    </w:p>
    <w:p w14:paraId="1A4D683B" w14:textId="77777777" w:rsidR="008C6E16" w:rsidRDefault="008C6E16" w:rsidP="008C6E16">
      <w:pPr>
        <w:pStyle w:val="0Maintext"/>
        <w:numPr>
          <w:ilvl w:val="0"/>
          <w:numId w:val="25"/>
        </w:numPr>
        <w:spacing w:after="120" w:afterAutospacing="0" w:line="240" w:lineRule="auto"/>
        <w:rPr>
          <w:b/>
          <w:bCs/>
          <w:i/>
          <w:iCs/>
        </w:rPr>
      </w:pPr>
      <w:r>
        <w:rPr>
          <w:b/>
          <w:bCs/>
          <w:i/>
          <w:iCs/>
        </w:rPr>
        <w:t>One</w:t>
      </w:r>
      <w:r w:rsidRPr="00F60A71">
        <w:rPr>
          <w:b/>
          <w:bCs/>
          <w:i/>
          <w:iCs/>
        </w:rPr>
        <w:t xml:space="preserve"> (or more) aperiodic SRS resource sets are tagged with a RRC parameter indicating CTS purpose</w:t>
      </w:r>
    </w:p>
    <w:p w14:paraId="26A460A0" w14:textId="77777777" w:rsidR="008C6E16" w:rsidRDefault="008C6E16" w:rsidP="008C6E16">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Pr>
          <w:b/>
          <w:bCs/>
          <w:i/>
          <w:iCs/>
          <w:vertAlign w:val="subscript"/>
        </w:rPr>
        <w:t>A</w:t>
      </w:r>
      <w:r w:rsidRPr="00F60A71">
        <w:rPr>
          <w:b/>
          <w:bCs/>
          <w:i/>
          <w:iCs/>
        </w:rPr>
        <w:t xml:space="preserve"> performs SRS-RSRP and/or CLI-RSSI over the activated SRS resource(s) </w:t>
      </w:r>
    </w:p>
    <w:p w14:paraId="3071B273" w14:textId="77777777" w:rsidR="008C6E16" w:rsidRDefault="008C6E16" w:rsidP="008C6E16">
      <w:pPr>
        <w:jc w:val="both"/>
        <w:rPr>
          <w:sz w:val="20"/>
          <w:szCs w:val="20"/>
        </w:rPr>
      </w:pPr>
    </w:p>
    <w:p w14:paraId="0B49D7FF" w14:textId="77777777" w:rsidR="00BE4C1E" w:rsidRPr="00BE4C1E" w:rsidRDefault="00BE4C1E" w:rsidP="00BE4C1E">
      <w:pPr>
        <w:pStyle w:val="0Maintext"/>
        <w:spacing w:after="120" w:afterAutospacing="0" w:line="240" w:lineRule="auto"/>
        <w:ind w:firstLine="0"/>
        <w:rPr>
          <w:b/>
          <w:bCs/>
          <w:i/>
          <w:iCs/>
          <w:lang w:val="en-US"/>
        </w:rPr>
      </w:pPr>
      <w:r w:rsidRPr="00BE4C1E">
        <w:rPr>
          <w:b/>
          <w:bCs/>
          <w:i/>
          <w:iCs/>
          <w:lang w:val="en-US" w:eastAsia="zh-CN"/>
        </w:rPr>
        <w:t xml:space="preserve">Proposal 3: Study feasibility of a mechanism to indicate </w:t>
      </w:r>
      <w:r w:rsidRPr="00BE4C1E">
        <w:rPr>
          <w:b/>
          <w:bCs/>
          <w:i/>
          <w:iCs/>
        </w:rPr>
        <w:t xml:space="preserve">future release </w:t>
      </w:r>
      <w:r w:rsidRPr="00BE4C1E">
        <w:rPr>
          <w:b/>
          <w:bCs/>
          <w:i/>
          <w:iCs/>
          <w:lang w:val="en-US"/>
        </w:rPr>
        <w:t>UE about cell duplex operation mode.</w:t>
      </w:r>
    </w:p>
    <w:p w14:paraId="4A220CCB" w14:textId="5E6DB3A6" w:rsidR="008C6E16" w:rsidRPr="008C6E16" w:rsidRDefault="008C6E16" w:rsidP="008C6E16">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Pr>
          <w:rFonts w:eastAsia="Times New Roman" w:cs="Batang"/>
          <w:b/>
          <w:bCs/>
          <w:i/>
          <w:iCs/>
          <w:sz w:val="20"/>
          <w:szCs w:val="20"/>
        </w:rPr>
        <w:t xml:space="preserve">. </w:t>
      </w:r>
    </w:p>
    <w:p w14:paraId="17519E97" w14:textId="77777777" w:rsidR="008C6E16" w:rsidRPr="00562EE5" w:rsidRDefault="008C6E16" w:rsidP="008C6E16">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855418263">
    <w:abstractNumId w:val="4"/>
  </w:num>
  <w:num w:numId="7" w16cid:durableId="1158962368">
    <w:abstractNumId w:val="6"/>
  </w:num>
  <w:num w:numId="8" w16cid:durableId="124978665">
    <w:abstractNumId w:val="21"/>
  </w:num>
  <w:num w:numId="9" w16cid:durableId="1560631235">
    <w:abstractNumId w:val="4"/>
  </w:num>
  <w:num w:numId="10" w16cid:durableId="1957518174">
    <w:abstractNumId w:val="20"/>
  </w:num>
  <w:num w:numId="11" w16cid:durableId="148325099">
    <w:abstractNumId w:val="24"/>
  </w:num>
  <w:num w:numId="12" w16cid:durableId="1367829081">
    <w:abstractNumId w:val="4"/>
  </w:num>
  <w:num w:numId="13" w16cid:durableId="1458793434">
    <w:abstractNumId w:val="18"/>
  </w:num>
  <w:num w:numId="14" w16cid:durableId="112099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17"/>
  </w:num>
  <w:num w:numId="19" w16cid:durableId="1887063373">
    <w:abstractNumId w:val="3"/>
  </w:num>
  <w:num w:numId="20" w16cid:durableId="995575650">
    <w:abstractNumId w:val="16"/>
  </w:num>
  <w:num w:numId="21" w16cid:durableId="91947407">
    <w:abstractNumId w:val="23"/>
  </w:num>
  <w:num w:numId="22" w16cid:durableId="1929462533">
    <w:abstractNumId w:val="12"/>
  </w:num>
  <w:num w:numId="23" w16cid:durableId="1401320232">
    <w:abstractNumId w:val="14"/>
  </w:num>
  <w:num w:numId="24" w16cid:durableId="728695090">
    <w:abstractNumId w:val="10"/>
  </w:num>
  <w:num w:numId="25" w16cid:durableId="1297101469">
    <w:abstractNumId w:val="2"/>
  </w:num>
  <w:num w:numId="26" w16cid:durableId="776487168">
    <w:abstractNumId w:val="19"/>
  </w:num>
  <w:num w:numId="27" w16cid:durableId="601576533">
    <w:abstractNumId w:val="5"/>
  </w:num>
  <w:num w:numId="28" w16cid:durableId="19195929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7006"/>
    <w:rsid w:val="000D068D"/>
    <w:rsid w:val="000D0F78"/>
    <w:rsid w:val="000D2660"/>
    <w:rsid w:val="000D4A1A"/>
    <w:rsid w:val="000D5446"/>
    <w:rsid w:val="000D54C9"/>
    <w:rsid w:val="000E2519"/>
    <w:rsid w:val="000F2C70"/>
    <w:rsid w:val="0010269A"/>
    <w:rsid w:val="001033DC"/>
    <w:rsid w:val="00103D56"/>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07C"/>
    <w:rsid w:val="001661E0"/>
    <w:rsid w:val="0018214E"/>
    <w:rsid w:val="0018269A"/>
    <w:rsid w:val="00185A0B"/>
    <w:rsid w:val="0018607A"/>
    <w:rsid w:val="00193222"/>
    <w:rsid w:val="00194BBD"/>
    <w:rsid w:val="0019597B"/>
    <w:rsid w:val="001A1E71"/>
    <w:rsid w:val="001A4FA2"/>
    <w:rsid w:val="001A5A42"/>
    <w:rsid w:val="001A5F2D"/>
    <w:rsid w:val="001A7C0A"/>
    <w:rsid w:val="001B0BC6"/>
    <w:rsid w:val="001B3F28"/>
    <w:rsid w:val="001B4E23"/>
    <w:rsid w:val="001B5175"/>
    <w:rsid w:val="001B7BEC"/>
    <w:rsid w:val="001C0CB6"/>
    <w:rsid w:val="001C3DE0"/>
    <w:rsid w:val="001C4241"/>
    <w:rsid w:val="001C53C6"/>
    <w:rsid w:val="001C71ED"/>
    <w:rsid w:val="001D4036"/>
    <w:rsid w:val="001D4551"/>
    <w:rsid w:val="001D5F61"/>
    <w:rsid w:val="001D6F74"/>
    <w:rsid w:val="001D73FF"/>
    <w:rsid w:val="001E041B"/>
    <w:rsid w:val="001E62A2"/>
    <w:rsid w:val="001E73AB"/>
    <w:rsid w:val="001E7C26"/>
    <w:rsid w:val="001F1442"/>
    <w:rsid w:val="00203A0D"/>
    <w:rsid w:val="00205FF8"/>
    <w:rsid w:val="002134C9"/>
    <w:rsid w:val="00214DB5"/>
    <w:rsid w:val="00215CAC"/>
    <w:rsid w:val="0022064E"/>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4973"/>
    <w:rsid w:val="0041645E"/>
    <w:rsid w:val="00417FC9"/>
    <w:rsid w:val="00427C39"/>
    <w:rsid w:val="004312F7"/>
    <w:rsid w:val="00434E5C"/>
    <w:rsid w:val="0044499D"/>
    <w:rsid w:val="00445788"/>
    <w:rsid w:val="004468F7"/>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4470"/>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5931"/>
    <w:rsid w:val="006823E7"/>
    <w:rsid w:val="006824B2"/>
    <w:rsid w:val="00682EED"/>
    <w:rsid w:val="0068752E"/>
    <w:rsid w:val="00695A7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2564"/>
    <w:rsid w:val="0073426D"/>
    <w:rsid w:val="00744E6D"/>
    <w:rsid w:val="0074708B"/>
    <w:rsid w:val="00751E2A"/>
    <w:rsid w:val="007539D9"/>
    <w:rsid w:val="00753D11"/>
    <w:rsid w:val="00754F02"/>
    <w:rsid w:val="0075517A"/>
    <w:rsid w:val="007570AB"/>
    <w:rsid w:val="007660E5"/>
    <w:rsid w:val="00770366"/>
    <w:rsid w:val="00771C09"/>
    <w:rsid w:val="007720DD"/>
    <w:rsid w:val="007727CB"/>
    <w:rsid w:val="007740EF"/>
    <w:rsid w:val="00775CAC"/>
    <w:rsid w:val="0078114E"/>
    <w:rsid w:val="007A1F9E"/>
    <w:rsid w:val="007A41E3"/>
    <w:rsid w:val="007A6EBC"/>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6A0"/>
    <w:rsid w:val="008251EA"/>
    <w:rsid w:val="00830BA2"/>
    <w:rsid w:val="008331B0"/>
    <w:rsid w:val="00834862"/>
    <w:rsid w:val="0083556D"/>
    <w:rsid w:val="00836817"/>
    <w:rsid w:val="008438C3"/>
    <w:rsid w:val="00860F75"/>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E0E57"/>
    <w:rsid w:val="009E16AA"/>
    <w:rsid w:val="009E2F96"/>
    <w:rsid w:val="009F58CE"/>
    <w:rsid w:val="009F7D20"/>
    <w:rsid w:val="00A04BB9"/>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A9A"/>
    <w:rsid w:val="00B12FE5"/>
    <w:rsid w:val="00B1523B"/>
    <w:rsid w:val="00B1752F"/>
    <w:rsid w:val="00B21867"/>
    <w:rsid w:val="00B23EB7"/>
    <w:rsid w:val="00B30C35"/>
    <w:rsid w:val="00B315B3"/>
    <w:rsid w:val="00B33343"/>
    <w:rsid w:val="00B3398E"/>
    <w:rsid w:val="00B4058C"/>
    <w:rsid w:val="00B43C9D"/>
    <w:rsid w:val="00B5429D"/>
    <w:rsid w:val="00B6127B"/>
    <w:rsid w:val="00B63683"/>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B5B03"/>
    <w:rsid w:val="00BB64B1"/>
    <w:rsid w:val="00BB7080"/>
    <w:rsid w:val="00BB7E23"/>
    <w:rsid w:val="00BC2D50"/>
    <w:rsid w:val="00BC38C5"/>
    <w:rsid w:val="00BC5228"/>
    <w:rsid w:val="00BC522F"/>
    <w:rsid w:val="00BC5A1B"/>
    <w:rsid w:val="00BD43B7"/>
    <w:rsid w:val="00BD5870"/>
    <w:rsid w:val="00BD740B"/>
    <w:rsid w:val="00BE0401"/>
    <w:rsid w:val="00BE2B6D"/>
    <w:rsid w:val="00BE3F2D"/>
    <w:rsid w:val="00BE4C1E"/>
    <w:rsid w:val="00BE7BD0"/>
    <w:rsid w:val="00BF1DF3"/>
    <w:rsid w:val="00BF487F"/>
    <w:rsid w:val="00BF6DEF"/>
    <w:rsid w:val="00C0753A"/>
    <w:rsid w:val="00C20B5B"/>
    <w:rsid w:val="00C2111A"/>
    <w:rsid w:val="00C24DA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853"/>
    <w:rsid w:val="00D45E02"/>
    <w:rsid w:val="00D46443"/>
    <w:rsid w:val="00D47F37"/>
    <w:rsid w:val="00D516C8"/>
    <w:rsid w:val="00D54E04"/>
    <w:rsid w:val="00D57E64"/>
    <w:rsid w:val="00D623A6"/>
    <w:rsid w:val="00D776B7"/>
    <w:rsid w:val="00D82BE1"/>
    <w:rsid w:val="00D83D3F"/>
    <w:rsid w:val="00D9083F"/>
    <w:rsid w:val="00D92B3F"/>
    <w:rsid w:val="00DA3C55"/>
    <w:rsid w:val="00DA570C"/>
    <w:rsid w:val="00DA5EB1"/>
    <w:rsid w:val="00DB1A36"/>
    <w:rsid w:val="00DB481F"/>
    <w:rsid w:val="00DB4A10"/>
    <w:rsid w:val="00DB652D"/>
    <w:rsid w:val="00DB7E54"/>
    <w:rsid w:val="00DC1188"/>
    <w:rsid w:val="00DE5C43"/>
    <w:rsid w:val="00DF0066"/>
    <w:rsid w:val="00DF1F05"/>
    <w:rsid w:val="00DF4C2B"/>
    <w:rsid w:val="00E00694"/>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1C0"/>
    <w:rsid w:val="00F17D02"/>
    <w:rsid w:val="00F24869"/>
    <w:rsid w:val="00F25A12"/>
    <w:rsid w:val="00F302FE"/>
    <w:rsid w:val="00F37734"/>
    <w:rsid w:val="00F37A14"/>
    <w:rsid w:val="00F41729"/>
    <w:rsid w:val="00F419A6"/>
    <w:rsid w:val="00F4281B"/>
    <w:rsid w:val="00F43CD1"/>
    <w:rsid w:val="00F4652D"/>
    <w:rsid w:val="00F47BC0"/>
    <w:rsid w:val="00F52ED3"/>
    <w:rsid w:val="00F60A71"/>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944</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77</cp:revision>
  <dcterms:created xsi:type="dcterms:W3CDTF">2022-04-11T01:34:00Z</dcterms:created>
  <dcterms:modified xsi:type="dcterms:W3CDTF">2022-09-29T17:15:00Z</dcterms:modified>
</cp:coreProperties>
</file>