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2D09B73"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7C0C6C">
        <w:rPr>
          <w:rFonts w:cs="Arial" w:hint="eastAsia"/>
          <w:bCs/>
          <w:sz w:val="20"/>
          <w:lang w:eastAsia="ja-JP"/>
        </w:rPr>
        <w:t>0</w:t>
      </w:r>
      <w:r w:rsidR="007C0C6C">
        <w:rPr>
          <w:rFonts w:cs="Arial"/>
          <w:bCs/>
          <w:sz w:val="20"/>
          <w:lang w:eastAsia="ja-JP"/>
        </w:rPr>
        <w:t>bis-e</w:t>
      </w:r>
      <w:r w:rsidR="001B69D7">
        <w:rPr>
          <w:rFonts w:cs="Arial" w:hint="eastAsia"/>
          <w:bCs/>
          <w:sz w:val="20"/>
          <w:lang w:eastAsia="ja-JP"/>
        </w:rPr>
        <w:tab/>
      </w:r>
      <w:r w:rsidR="001B69D7">
        <w:rPr>
          <w:rFonts w:cs="Arial" w:hint="eastAsia"/>
          <w:bCs/>
          <w:sz w:val="20"/>
          <w:lang w:eastAsia="ja-JP"/>
        </w:rPr>
        <w:tab/>
      </w:r>
      <w:r w:rsidR="005C06C1" w:rsidRPr="005C06C1">
        <w:rPr>
          <w:sz w:val="20"/>
        </w:rPr>
        <w:t>R1-2209161</w:t>
      </w:r>
    </w:p>
    <w:p w14:paraId="552A328C" w14:textId="78AA8932" w:rsidR="00941D27" w:rsidRPr="0093682F" w:rsidRDefault="007C0C6C" w:rsidP="00220980">
      <w:pPr>
        <w:pStyle w:val="TdocHeader2"/>
        <w:snapToGrid w:val="0"/>
        <w:jc w:val="left"/>
        <w:rPr>
          <w:rFonts w:eastAsiaTheme="minorEastAsia"/>
          <w:lang w:val="en-US"/>
        </w:rPr>
      </w:pPr>
      <w:r>
        <w:rPr>
          <w:rFonts w:eastAsia="ＭＳ 明朝" w:cs="Arial"/>
          <w:bCs/>
          <w:sz w:val="20"/>
          <w:lang w:val="en-US" w:eastAsia="ja-JP"/>
        </w:rPr>
        <w:t>e-Meeting</w:t>
      </w:r>
      <w:r w:rsidR="0032369A">
        <w:rPr>
          <w:rFonts w:eastAsia="ＭＳ 明朝" w:cs="Arial"/>
          <w:bCs/>
          <w:sz w:val="20"/>
          <w:lang w:val="en-US" w:eastAsia="ja-JP"/>
        </w:rPr>
        <w:t>,</w:t>
      </w:r>
      <w:r w:rsidR="00A81507">
        <w:rPr>
          <w:rFonts w:eastAsia="ＭＳ 明朝" w:cs="Arial"/>
          <w:bCs/>
          <w:sz w:val="20"/>
          <w:lang w:val="en-US" w:eastAsia="ja-JP"/>
        </w:rPr>
        <w:t xml:space="preserve"> </w:t>
      </w:r>
      <w:r w:rsidR="0032369A">
        <w:rPr>
          <w:rFonts w:eastAsia="ＭＳ 明朝" w:cs="Arial"/>
          <w:bCs/>
          <w:sz w:val="20"/>
          <w:lang w:val="en-US" w:eastAsia="ja-JP"/>
        </w:rPr>
        <w:t>October</w:t>
      </w:r>
      <w:r w:rsidR="00CE3E04">
        <w:rPr>
          <w:rFonts w:eastAsia="ＭＳ 明朝" w:cs="Arial"/>
          <w:bCs/>
          <w:sz w:val="20"/>
          <w:lang w:val="en-US" w:eastAsia="ja-JP"/>
        </w:rPr>
        <w:t xml:space="preserve"> </w:t>
      </w:r>
      <w:r w:rsidR="0032369A">
        <w:rPr>
          <w:rFonts w:eastAsia="ＭＳ 明朝" w:cs="Arial"/>
          <w:bCs/>
          <w:sz w:val="20"/>
          <w:lang w:val="en-US" w:eastAsia="ja-JP"/>
        </w:rPr>
        <w:t>10th</w:t>
      </w:r>
      <w:r w:rsidR="00A93725">
        <w:rPr>
          <w:rFonts w:eastAsia="ＭＳ 明朝" w:cs="Arial"/>
          <w:bCs/>
          <w:sz w:val="20"/>
          <w:lang w:val="en-US" w:eastAsia="ja-JP"/>
        </w:rPr>
        <w:t xml:space="preserve"> </w:t>
      </w:r>
      <w:r w:rsidR="0027062E" w:rsidRPr="00B556BF">
        <w:rPr>
          <w:rFonts w:cs="Arial"/>
          <w:bCs/>
          <w:sz w:val="20"/>
          <w:lang w:val="en-US" w:eastAsia="ja-JP"/>
        </w:rPr>
        <w:t>–</w:t>
      </w:r>
      <w:r w:rsidR="0032369A">
        <w:rPr>
          <w:rFonts w:cs="Arial"/>
          <w:bCs/>
          <w:sz w:val="20"/>
          <w:lang w:val="en-US" w:eastAsia="ja-JP"/>
        </w:rPr>
        <w:t>19</w:t>
      </w:r>
      <w:r w:rsidR="002B42B5">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0582D76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CA1641">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184A69FA"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new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AI/ML for CSI feedback enhancement</w:t>
      </w:r>
      <w:r w:rsidR="006F2A0A">
        <w:rPr>
          <w:rFonts w:eastAsiaTheme="minorEastAsia"/>
          <w:lang w:eastAsia="ja-JP"/>
        </w:rPr>
        <w:t>.</w:t>
      </w: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435BBA3" w14:textId="0F551EBF" w:rsidR="008B031C" w:rsidRPr="006D2842" w:rsidRDefault="00813005" w:rsidP="003C6027">
      <w:pPr>
        <w:snapToGrid w:val="0"/>
        <w:spacing w:afterLines="50" w:after="120"/>
        <w:rPr>
          <w:b/>
          <w:u w:val="single"/>
          <w:lang w:val="en-US" w:eastAsia="ja-JP"/>
        </w:rPr>
      </w:pPr>
      <w:r>
        <w:rPr>
          <w:b/>
          <w:u w:val="single"/>
          <w:lang w:val="en-US" w:eastAsia="ja-JP"/>
        </w:rPr>
        <w:t>Selection of r</w:t>
      </w:r>
      <w:r w:rsidR="00E947ED">
        <w:rPr>
          <w:b/>
          <w:u w:val="single"/>
          <w:lang w:val="en-US" w:eastAsia="ja-JP"/>
        </w:rPr>
        <w:t>epresentative sub use case</w:t>
      </w:r>
    </w:p>
    <w:p w14:paraId="2450BB1F" w14:textId="06B55073" w:rsidR="003C6027" w:rsidRPr="00EC59BF" w:rsidRDefault="00EC59BF" w:rsidP="00EC59BF">
      <w:pPr>
        <w:snapToGrid w:val="0"/>
        <w:spacing w:afterLines="50" w:after="120"/>
        <w:rPr>
          <w:bCs/>
          <w:lang w:val="en-US" w:eastAsia="ja-JP"/>
        </w:rPr>
      </w:pPr>
      <w:r>
        <w:rPr>
          <w:bCs/>
          <w:lang w:val="en-US" w:eastAsia="ja-JP"/>
        </w:rPr>
        <w:t>In RAN1#110, the following conclusions were made on selection of representative sub use case.</w:t>
      </w:r>
    </w:p>
    <w:p w14:paraId="6B1D7337" w14:textId="77777777" w:rsidR="00AF0BB2" w:rsidRPr="00536599" w:rsidRDefault="00AF0BB2" w:rsidP="00AF0BB2">
      <w:pPr>
        <w:spacing w:beforeLines="50" w:before="120" w:after="0"/>
        <w:rPr>
          <w:b/>
          <w:bCs/>
          <w:lang w:val="en-US" w:eastAsia="ja-JP"/>
        </w:rPr>
      </w:pPr>
      <w:r>
        <w:rPr>
          <w:lang w:val="en-US" w:eastAsia="ja-JP"/>
        </w:rPr>
        <w:tab/>
      </w:r>
      <w:r>
        <w:rPr>
          <w:b/>
          <w:bCs/>
          <w:lang w:val="en-US" w:eastAsia="ja-JP"/>
        </w:rPr>
        <w:t>Conclusion in RAN1#110</w:t>
      </w:r>
    </w:p>
    <w:p w14:paraId="63D9E303" w14:textId="77777777" w:rsidR="00AF0BB2" w:rsidRDefault="00AF0BB2" w:rsidP="00AF0BB2">
      <w:pPr>
        <w:pStyle w:val="aff1"/>
        <w:numPr>
          <w:ilvl w:val="0"/>
          <w:numId w:val="25"/>
        </w:numPr>
        <w:spacing w:afterLines="50" w:after="120"/>
        <w:ind w:leftChars="0"/>
        <w:rPr>
          <w:lang w:val="en-US" w:eastAsia="ja-JP"/>
        </w:rPr>
      </w:pPr>
      <w:r>
        <w:rPr>
          <w:lang w:val="en-US" w:eastAsia="ja-JP"/>
        </w:rPr>
        <w:t>CSI-RS configuration and overhead reduction is NOT selected as one representative sub use case for CSI feedback enhancement use case.</w:t>
      </w:r>
    </w:p>
    <w:p w14:paraId="38E6E8CB" w14:textId="77777777" w:rsidR="00AF0BB2" w:rsidRPr="00536599" w:rsidRDefault="00AF0BB2" w:rsidP="00AF0BB2">
      <w:pPr>
        <w:spacing w:beforeLines="50" w:before="120" w:after="0"/>
        <w:rPr>
          <w:b/>
          <w:bCs/>
          <w:lang w:val="en-US" w:eastAsia="ja-JP"/>
        </w:rPr>
      </w:pPr>
      <w:r>
        <w:rPr>
          <w:lang w:val="en-US" w:eastAsia="ja-JP"/>
        </w:rPr>
        <w:tab/>
      </w:r>
      <w:r>
        <w:rPr>
          <w:b/>
          <w:bCs/>
          <w:lang w:val="en-US" w:eastAsia="ja-JP"/>
        </w:rPr>
        <w:t>Conclusion in RAN1#110</w:t>
      </w:r>
    </w:p>
    <w:p w14:paraId="0D7D9382" w14:textId="77777777" w:rsidR="00AF0BB2" w:rsidRDefault="00AF0BB2" w:rsidP="00AF0BB2">
      <w:pPr>
        <w:pStyle w:val="aff1"/>
        <w:numPr>
          <w:ilvl w:val="0"/>
          <w:numId w:val="25"/>
        </w:numPr>
        <w:spacing w:afterLines="50" w:after="120"/>
        <w:ind w:leftChars="0"/>
        <w:rPr>
          <w:lang w:val="en-US" w:eastAsia="ja-JP"/>
        </w:rPr>
      </w:pPr>
      <w:r>
        <w:rPr>
          <w:lang w:val="en-US" w:eastAsia="ja-JP"/>
        </w:rPr>
        <w:t>Resource allocation and scheduling is NOT selected as one representative sub use case for CSI feedback enhancement use case.</w:t>
      </w:r>
    </w:p>
    <w:p w14:paraId="58DBA58F" w14:textId="37E85FAC" w:rsidR="00130D3B" w:rsidRPr="00AF0BB2" w:rsidRDefault="00AF0BB2" w:rsidP="007D261B">
      <w:pPr>
        <w:spacing w:afterLines="50" w:after="120"/>
        <w:rPr>
          <w:lang w:val="en-US" w:eastAsia="ja-JP"/>
        </w:rPr>
      </w:pPr>
      <w:r>
        <w:rPr>
          <w:rFonts w:hint="eastAsia"/>
          <w:lang w:val="en-US" w:eastAsia="ja-JP"/>
        </w:rPr>
        <w:t>T</w:t>
      </w:r>
      <w:r>
        <w:rPr>
          <w:lang w:val="en-US" w:eastAsia="ja-JP"/>
        </w:rPr>
        <w:t>he remaining issue is</w:t>
      </w:r>
      <w:r w:rsidR="00D73FE1">
        <w:rPr>
          <w:rFonts w:eastAsiaTheme="minorEastAsia"/>
          <w:lang w:val="en-US" w:eastAsia="ja-JP"/>
        </w:rPr>
        <w:t xml:space="preserve"> </w:t>
      </w:r>
      <w:r w:rsidR="00E52158">
        <w:rPr>
          <w:rFonts w:eastAsiaTheme="minorEastAsia"/>
          <w:lang w:val="en-US" w:eastAsia="ja-JP"/>
        </w:rPr>
        <w:t xml:space="preserve">additional sub use case(s) </w:t>
      </w:r>
      <w:r w:rsidR="0062142B">
        <w:rPr>
          <w:rFonts w:eastAsiaTheme="minorEastAsia"/>
          <w:lang w:val="en-US" w:eastAsia="ja-JP"/>
        </w:rPr>
        <w:t>i.e.</w:t>
      </w:r>
      <w:r w:rsidR="008924C9">
        <w:rPr>
          <w:rFonts w:eastAsiaTheme="minorEastAsia"/>
          <w:lang w:val="en-US" w:eastAsia="ja-JP"/>
        </w:rPr>
        <w:t>,</w:t>
      </w:r>
      <w:r w:rsidR="0062142B">
        <w:rPr>
          <w:rFonts w:eastAsiaTheme="minorEastAsia"/>
          <w:lang w:val="en-US" w:eastAsia="ja-JP"/>
        </w:rPr>
        <w:t xml:space="preserve"> other than </w:t>
      </w:r>
      <w:r w:rsidR="0062142B" w:rsidRPr="0062142B">
        <w:rPr>
          <w:rFonts w:eastAsiaTheme="minorEastAsia"/>
          <w:lang w:val="en-US" w:eastAsia="ja-JP"/>
        </w:rPr>
        <w:t>already agreed spatial-frequency domain CSI compression using two-sided AI model</w:t>
      </w:r>
      <w:r w:rsidR="0062142B">
        <w:rPr>
          <w:rFonts w:eastAsiaTheme="minorEastAsia"/>
          <w:lang w:val="en-US" w:eastAsia="ja-JP"/>
        </w:rPr>
        <w:t xml:space="preserve">, </w:t>
      </w:r>
      <w:r w:rsidR="00E52158">
        <w:rPr>
          <w:rFonts w:eastAsiaTheme="minorEastAsia"/>
          <w:lang w:val="en-US" w:eastAsia="ja-JP"/>
        </w:rPr>
        <w:t xml:space="preserve">is further studied or not. In our view, </w:t>
      </w:r>
      <w:r w:rsidR="00F94E2F">
        <w:rPr>
          <w:rFonts w:eastAsiaTheme="minorEastAsia"/>
          <w:lang w:val="en-US" w:eastAsia="ja-JP"/>
        </w:rPr>
        <w:t>at least one sub use case with one-sided model c</w:t>
      </w:r>
      <w:r w:rsidR="005F3B70">
        <w:rPr>
          <w:rFonts w:eastAsiaTheme="minorEastAsia"/>
          <w:lang w:val="en-US" w:eastAsia="ja-JP"/>
        </w:rPr>
        <w:t>ould</w:t>
      </w:r>
      <w:r w:rsidR="00F94E2F">
        <w:rPr>
          <w:rFonts w:eastAsiaTheme="minorEastAsia"/>
          <w:lang w:val="en-US" w:eastAsia="ja-JP"/>
        </w:rPr>
        <w:t xml:space="preserve"> be studied </w:t>
      </w:r>
      <w:r w:rsidR="00D32BD2">
        <w:rPr>
          <w:rFonts w:eastAsiaTheme="minorEastAsia"/>
          <w:lang w:val="en-US" w:eastAsia="ja-JP"/>
        </w:rPr>
        <w:t xml:space="preserve">since one-sided model is easier to implement with less specification impact and likely to have a much shorter time to market than two-sided model. </w:t>
      </w:r>
      <w:r w:rsidR="00B1177B">
        <w:rPr>
          <w:rFonts w:eastAsiaTheme="minorEastAsia"/>
          <w:lang w:val="en-US" w:eastAsia="ja-JP"/>
        </w:rPr>
        <w:t xml:space="preserve">As the selection of sub use case for one-sided model, we think CSI prediction </w:t>
      </w:r>
      <w:r w:rsidR="003A2350">
        <w:rPr>
          <w:rFonts w:eastAsiaTheme="minorEastAsia"/>
          <w:lang w:val="en-US" w:eastAsia="ja-JP"/>
        </w:rPr>
        <w:t xml:space="preserve">in </w:t>
      </w:r>
      <w:r w:rsidR="00B53338">
        <w:rPr>
          <w:rFonts w:eastAsiaTheme="minorEastAsia"/>
          <w:lang w:val="en-US" w:eastAsia="ja-JP"/>
        </w:rPr>
        <w:t>rapid channel variation scenarios, e</w:t>
      </w:r>
      <w:r w:rsidR="00FA16AB">
        <w:rPr>
          <w:rFonts w:eastAsiaTheme="minorEastAsia"/>
          <w:lang w:val="en-US" w:eastAsia="ja-JP"/>
        </w:rPr>
        <w:t>.</w:t>
      </w:r>
      <w:r w:rsidR="00B53338">
        <w:rPr>
          <w:rFonts w:eastAsiaTheme="minorEastAsia"/>
          <w:lang w:val="en-US" w:eastAsia="ja-JP"/>
        </w:rPr>
        <w:t xml:space="preserve">g., high mobility, is especially important but more challenging. </w:t>
      </w:r>
      <w:r w:rsidR="0022518B">
        <w:rPr>
          <w:rFonts w:eastAsiaTheme="minorEastAsia"/>
          <w:lang w:val="en-US" w:eastAsia="ja-JP"/>
        </w:rPr>
        <w:t>In AI/ML approach, it would be possible to predict subsequent channels by exploiting the strong temporal correlation in channel history.</w:t>
      </w:r>
    </w:p>
    <w:p w14:paraId="039C3F57" w14:textId="02986A6D" w:rsidR="00E261DF" w:rsidRDefault="00E261DF" w:rsidP="00E261DF">
      <w:pPr>
        <w:snapToGrid w:val="0"/>
        <w:spacing w:after="0"/>
        <w:rPr>
          <w:b/>
          <w:lang w:val="en-US" w:eastAsia="ja-JP"/>
        </w:rPr>
      </w:pPr>
      <w:r>
        <w:rPr>
          <w:rFonts w:hint="eastAsia"/>
          <w:b/>
          <w:lang w:val="en-US" w:eastAsia="ja-JP"/>
        </w:rPr>
        <w:t>P</w:t>
      </w:r>
      <w:r>
        <w:rPr>
          <w:b/>
          <w:lang w:val="en-US" w:eastAsia="ja-JP"/>
        </w:rPr>
        <w:t>roposal 1: CSI prediction using one-sided model could be considered as representative sub use cases.</w:t>
      </w:r>
    </w:p>
    <w:p w14:paraId="1C369452" w14:textId="77777777" w:rsidR="00E261DF" w:rsidRDefault="00E261DF" w:rsidP="00E261DF">
      <w:pPr>
        <w:spacing w:afterLines="50" w:after="120"/>
        <w:rPr>
          <w:lang w:val="en-US" w:eastAsia="ja-JP"/>
        </w:rPr>
      </w:pPr>
    </w:p>
    <w:p w14:paraId="7044B4B0" w14:textId="65A7A912" w:rsidR="002C180D" w:rsidRPr="006D2842" w:rsidRDefault="00762258" w:rsidP="002C180D">
      <w:pPr>
        <w:snapToGrid w:val="0"/>
        <w:spacing w:afterLines="50" w:after="120"/>
        <w:rPr>
          <w:b/>
          <w:u w:val="single"/>
          <w:lang w:val="en-US" w:eastAsia="ja-JP"/>
        </w:rPr>
      </w:pPr>
      <w:r>
        <w:rPr>
          <w:b/>
          <w:u w:val="single"/>
          <w:lang w:val="en-US" w:eastAsia="ja-JP"/>
        </w:rPr>
        <w:t>Potential specification impact for CSI compression with two-sided model</w:t>
      </w:r>
    </w:p>
    <w:p w14:paraId="2153FAAB" w14:textId="77777777" w:rsidR="0074671C" w:rsidRDefault="0074671C" w:rsidP="0074671C">
      <w:pPr>
        <w:spacing w:afterLines="50" w:after="120"/>
        <w:rPr>
          <w:lang w:val="en-US" w:eastAsia="ja-JP"/>
        </w:rPr>
      </w:pPr>
      <w:r>
        <w:rPr>
          <w:rFonts w:hint="eastAsia"/>
          <w:lang w:val="en-US" w:eastAsia="ja-JP"/>
        </w:rPr>
        <w:t>I</w:t>
      </w:r>
      <w:r>
        <w:rPr>
          <w:lang w:val="en-US" w:eastAsia="ja-JP"/>
        </w:rPr>
        <w:t>n RAN1#109e, the following agreement was made.</w:t>
      </w:r>
    </w:p>
    <w:p w14:paraId="2DC445D1" w14:textId="77777777" w:rsidR="0074671C" w:rsidRPr="006A2872" w:rsidRDefault="0074671C" w:rsidP="0074671C">
      <w:pPr>
        <w:overflowPunct w:val="0"/>
        <w:autoSpaceDE w:val="0"/>
        <w:autoSpaceDN w:val="0"/>
        <w:adjustRightInd w:val="0"/>
        <w:spacing w:after="0"/>
        <w:ind w:leftChars="100" w:left="200"/>
        <w:textAlignment w:val="baseline"/>
        <w:rPr>
          <w:b/>
          <w:bCs/>
          <w:lang w:val="en-US" w:eastAsia="ja-JP"/>
        </w:rPr>
      </w:pPr>
      <w:r w:rsidRPr="006A2872">
        <w:rPr>
          <w:b/>
          <w:bCs/>
          <w:highlight w:val="green"/>
          <w:lang w:val="en-US" w:eastAsia="ja-JP"/>
        </w:rPr>
        <w:t>Agreement:</w:t>
      </w:r>
      <w:r w:rsidRPr="006A2872">
        <w:rPr>
          <w:b/>
          <w:bCs/>
          <w:lang w:val="en-US" w:eastAsia="ja-JP"/>
        </w:rPr>
        <w:t xml:space="preserve"> </w:t>
      </w:r>
    </w:p>
    <w:p w14:paraId="5DB738A4" w14:textId="77777777" w:rsidR="0074671C" w:rsidRPr="006A70DE" w:rsidRDefault="0074671C" w:rsidP="0074671C">
      <w:pPr>
        <w:pStyle w:val="aff1"/>
        <w:numPr>
          <w:ilvl w:val="0"/>
          <w:numId w:val="21"/>
        </w:numPr>
        <w:overflowPunct w:val="0"/>
        <w:autoSpaceDE w:val="0"/>
        <w:autoSpaceDN w:val="0"/>
        <w:adjustRightInd w:val="0"/>
        <w:spacing w:after="0"/>
        <w:ind w:leftChars="100" w:left="620"/>
        <w:textAlignment w:val="baseline"/>
        <w:rPr>
          <w:lang w:val="en-US" w:eastAsia="ja-JP"/>
        </w:rPr>
      </w:pPr>
      <w:r w:rsidRPr="006A70DE">
        <w:rPr>
          <w:lang w:val="en-US" w:eastAsia="ja-JP"/>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904E3FD" w14:textId="77777777" w:rsidR="0074671C" w:rsidRDefault="0074671C" w:rsidP="0074671C">
      <w:pPr>
        <w:pStyle w:val="aff1"/>
        <w:numPr>
          <w:ilvl w:val="1"/>
          <w:numId w:val="21"/>
        </w:numPr>
        <w:overflowPunct w:val="0"/>
        <w:autoSpaceDE w:val="0"/>
        <w:autoSpaceDN w:val="0"/>
        <w:adjustRightInd w:val="0"/>
        <w:spacing w:afterLines="50" w:after="120"/>
        <w:ind w:leftChars="310" w:left="1040"/>
        <w:textAlignment w:val="baseline"/>
        <w:rPr>
          <w:lang w:val="en-US" w:eastAsia="ja-JP"/>
        </w:rPr>
      </w:pPr>
      <w:r w:rsidRPr="006A70DE">
        <w:rPr>
          <w:lang w:val="en-US" w:eastAsia="ja-JP"/>
        </w:rPr>
        <w:t>At least for inference, the CSI generation part is located at the UE side, and the CSI reconstruction part is located at the gNB side.</w:t>
      </w:r>
    </w:p>
    <w:p w14:paraId="2BAB36C8" w14:textId="26F7A2B0" w:rsidR="0074671C" w:rsidRDefault="0074671C" w:rsidP="0074671C">
      <w:pPr>
        <w:spacing w:afterLines="50" w:after="120"/>
        <w:rPr>
          <w:lang w:val="en-US" w:eastAsia="ja-JP"/>
        </w:rPr>
      </w:pPr>
      <w:r>
        <w:rPr>
          <w:lang w:val="en-US" w:eastAsia="ja-JP"/>
        </w:rPr>
        <w:t>The above agreement can be basic principle of spatial-frequency domain CSI compression using two-sided AI model and it can be illustrated as Fig.1. At least AI</w:t>
      </w:r>
      <w:r w:rsidR="005F3B70">
        <w:rPr>
          <w:lang w:val="en-US" w:eastAsia="ja-JP"/>
        </w:rPr>
        <w:t>/</w:t>
      </w:r>
      <w:r>
        <w:rPr>
          <w:lang w:val="en-US" w:eastAsia="ja-JP"/>
        </w:rPr>
        <w:t>ML inference is located at both the UE and network. The input data would be raw channel matrix estimated by UE or eigenvector(s) of the raw channel matrix estimated by UE. UE’s inference (UE’s encoder) learns how to interpret the input and compress it to an “internal representation” defined by the bottleneck layer. UE feedback internal representations as CSI feedback. The network’s decoder takes the output of the encoder (the bottleneck layer) and attempts to recreate the input. Since AI/ML inference is employed at network and UE to compress CSI, network and UE need to synchronize the AI/ML model and/or parameters of the AI/ML model. How to align the model and other aspects such as scalability and life cycle management should be studied.</w:t>
      </w:r>
    </w:p>
    <w:p w14:paraId="62615046" w14:textId="77777777" w:rsidR="0074671C" w:rsidRPr="00AF5234" w:rsidRDefault="0074671C" w:rsidP="0074671C">
      <w:pPr>
        <w:rPr>
          <w:lang w:val="en-US" w:eastAsia="ja-JP"/>
        </w:rPr>
      </w:pPr>
    </w:p>
    <w:p w14:paraId="4A51816B" w14:textId="77777777" w:rsidR="0074671C" w:rsidRPr="00060493" w:rsidRDefault="0074671C" w:rsidP="0074671C">
      <w:pPr>
        <w:jc w:val="center"/>
        <w:rPr>
          <w:lang w:val="en-US" w:eastAsia="ja-JP"/>
        </w:rPr>
      </w:pPr>
      <w:r w:rsidRPr="003745C1">
        <w:rPr>
          <w:rFonts w:hint="eastAsia"/>
          <w:noProof/>
        </w:rPr>
        <w:lastRenderedPageBreak/>
        <w:drawing>
          <wp:inline distT="0" distB="0" distL="0" distR="0" wp14:anchorId="0475EEE5" wp14:editId="3B5A7EB7">
            <wp:extent cx="5637960" cy="2955240"/>
            <wp:effectExtent l="0" t="0" r="127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7960" cy="2955240"/>
                    </a:xfrm>
                    <a:prstGeom prst="rect">
                      <a:avLst/>
                    </a:prstGeom>
                    <a:noFill/>
                    <a:ln>
                      <a:noFill/>
                    </a:ln>
                  </pic:spPr>
                </pic:pic>
              </a:graphicData>
            </a:graphic>
          </wp:inline>
        </w:drawing>
      </w:r>
    </w:p>
    <w:p w14:paraId="33DEC69B" w14:textId="77777777" w:rsidR="0074671C" w:rsidRDefault="0074671C" w:rsidP="0074671C">
      <w:pPr>
        <w:spacing w:after="0"/>
        <w:jc w:val="center"/>
        <w:rPr>
          <w:rFonts w:eastAsiaTheme="minorEastAsia"/>
          <w:lang w:val="en-US" w:eastAsia="ja-JP"/>
        </w:rPr>
      </w:pPr>
      <w:r>
        <w:rPr>
          <w:rFonts w:hint="eastAsia"/>
          <w:lang w:val="en-US" w:eastAsia="ja-JP"/>
        </w:rPr>
        <w:t>F</w:t>
      </w:r>
      <w:r>
        <w:rPr>
          <w:lang w:val="en-US" w:eastAsia="ja-JP"/>
        </w:rPr>
        <w:t xml:space="preserve">ig.1 </w:t>
      </w:r>
      <w:r w:rsidRPr="00B83C94">
        <w:rPr>
          <w:rFonts w:eastAsiaTheme="minorEastAsia"/>
          <w:lang w:val="en-US" w:eastAsia="ja-JP"/>
        </w:rPr>
        <w:t>Spatial-frequency domain CSI compression using two-sided AI model</w:t>
      </w:r>
    </w:p>
    <w:p w14:paraId="4603C736" w14:textId="77777777" w:rsidR="003C6027" w:rsidRPr="0074671C" w:rsidRDefault="003C6027" w:rsidP="007D261B">
      <w:pPr>
        <w:spacing w:afterLines="50" w:after="120"/>
        <w:rPr>
          <w:lang w:val="en-US" w:eastAsia="ja-JP"/>
        </w:rPr>
      </w:pPr>
    </w:p>
    <w:p w14:paraId="0B0D1095" w14:textId="77777777" w:rsidR="00255D50" w:rsidRPr="006D2842" w:rsidRDefault="00255D50" w:rsidP="00255D50">
      <w:pPr>
        <w:snapToGrid w:val="0"/>
        <w:spacing w:after="0"/>
        <w:rPr>
          <w:b/>
          <w:u w:val="single"/>
          <w:lang w:val="en-US" w:eastAsia="ja-JP"/>
        </w:rPr>
      </w:pPr>
      <w:r w:rsidRPr="006D2842">
        <w:rPr>
          <w:b/>
          <w:u w:val="single"/>
          <w:lang w:val="en-US" w:eastAsia="ja-JP"/>
        </w:rPr>
        <w:t>Training collaboration</w:t>
      </w:r>
    </w:p>
    <w:p w14:paraId="0F41D2BD" w14:textId="5571E854" w:rsidR="00255D50" w:rsidRDefault="00255D50" w:rsidP="00255D50">
      <w:pPr>
        <w:snapToGrid w:val="0"/>
        <w:spacing w:after="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UE’s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w:t>
      </w:r>
      <w:proofErr w:type="spellStart"/>
      <w:r>
        <w:rPr>
          <w:bCs/>
          <w:lang w:val="en-US" w:eastAsia="ja-JP"/>
        </w:rPr>
        <w:t>gNB’s</w:t>
      </w:r>
      <w:proofErr w:type="spellEnd"/>
      <w:r>
        <w:rPr>
          <w:bCs/>
          <w:lang w:val="en-US" w:eastAsia="ja-JP"/>
        </w:rPr>
        <w:t xml:space="preserve"> processing in which the original input is reconstructed from the “</w:t>
      </w:r>
      <w:r>
        <w:rPr>
          <w:lang w:val="en-US" w:eastAsia="ja-JP"/>
        </w:rPr>
        <w:t>internal representation”</w:t>
      </w:r>
      <w:r>
        <w:rPr>
          <w:bCs/>
          <w:lang w:val="en-US" w:eastAsia="ja-JP"/>
        </w:rPr>
        <w:t>.</w:t>
      </w:r>
    </w:p>
    <w:p w14:paraId="6B3E4F62" w14:textId="20D930F2"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in RAN1110.</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w:t>
      </w:r>
      <w:proofErr w:type="gramStart"/>
      <w:r>
        <w:rPr>
          <w:lang w:val="en-US" w:eastAsia="ja-JP"/>
        </w:rPr>
        <w:t>sided</w:t>
      </w:r>
      <w:proofErr w:type="gramEnd"/>
      <w:r>
        <w:rPr>
          <w:lang w:val="en-US" w:eastAsia="ja-JP"/>
        </w:rPr>
        <w:t xml:space="preserve">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 xml:space="preserve">Note: Joint training means the generation model and reconstruction model should be trained in the same loop for forward propagation and backward propagation. Joint training could be done both at single node </w:t>
      </w:r>
      <w:proofErr w:type="gramStart"/>
      <w:r>
        <w:rPr>
          <w:lang w:val="en-US" w:eastAsia="ja-JP"/>
        </w:rPr>
        <w:t>or</w:t>
      </w:r>
      <w:proofErr w:type="gramEnd"/>
      <w:r>
        <w:rPr>
          <w:lang w:val="en-US" w:eastAsia="ja-JP"/>
        </w:rPr>
        <w:t xml:space="preserve">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6FB13C57" w14:textId="68AB1B9B" w:rsidR="00255D50"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xml:space="preserve">, the AI model is trained at network side </w:t>
      </w:r>
      <w:r w:rsidR="007A3346">
        <w:rPr>
          <w:bCs/>
          <w:lang w:val="en-US" w:eastAsia="ja-JP"/>
        </w:rPr>
        <w:t xml:space="preserve">or UE side. In case the AI model is trained at network side, </w:t>
      </w:r>
      <w:r w:rsidR="00A155CD">
        <w:rPr>
          <w:bCs/>
          <w:lang w:val="en-US" w:eastAsia="ja-JP"/>
        </w:rPr>
        <w:t>CSI generation part</w:t>
      </w:r>
      <w:r>
        <w:rPr>
          <w:bCs/>
          <w:lang w:val="en-US" w:eastAsia="ja-JP"/>
        </w:rPr>
        <w:t xml:space="preserve"> (i.e., the CSI encoder) delivered to the UE (UE download AI model) via air interface. In </w:t>
      </w:r>
      <w:r w:rsidR="00A155CD">
        <w:rPr>
          <w:bCs/>
          <w:lang w:val="en-US" w:eastAsia="ja-JP"/>
        </w:rPr>
        <w:t>case the AI model is trained at UE side</w:t>
      </w:r>
      <w:r>
        <w:rPr>
          <w:bCs/>
          <w:lang w:val="en-US" w:eastAsia="ja-JP"/>
        </w:rPr>
        <w:t xml:space="preserve">, the AI model is trained at UE side and </w:t>
      </w:r>
      <w:r w:rsidR="00BD7B3F">
        <w:rPr>
          <w:bCs/>
          <w:lang w:val="en-US" w:eastAsia="ja-JP"/>
        </w:rPr>
        <w:t>network-side CSI reconstruction part</w:t>
      </w:r>
      <w:r>
        <w:rPr>
          <w:bCs/>
          <w:lang w:val="en-US" w:eastAsia="ja-JP"/>
        </w:rPr>
        <w:t xml:space="preserve"> (i.e., CSI decoder) delivered to the network via air interface.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 xml:space="preserve">exchange of AI model and then, these options require some common AI inference algorithm and common reference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 </w:t>
      </w:r>
      <w:r w:rsidR="00C63276">
        <w:rPr>
          <w:bCs/>
          <w:lang w:val="en-US" w:eastAsia="ja-JP"/>
        </w:rPr>
        <w:t>I</w:t>
      </w:r>
      <w:r>
        <w:rPr>
          <w:bCs/>
          <w:lang w:val="en-US" w:eastAsia="ja-JP"/>
        </w:rPr>
        <w:t xml:space="preserve">n </w:t>
      </w:r>
      <w:r w:rsidR="00EA28DE">
        <w:rPr>
          <w:bCs/>
          <w:lang w:val="en-US" w:eastAsia="ja-JP"/>
        </w:rPr>
        <w:t>Type 2</w:t>
      </w:r>
      <w:r w:rsidR="00C63276">
        <w:rPr>
          <w:bCs/>
          <w:lang w:val="en-US" w:eastAsia="ja-JP"/>
        </w:rPr>
        <w:t xml:space="preserve"> and Type 3, our view is that only offline </w:t>
      </w:r>
      <w:r w:rsidR="00C870F8">
        <w:rPr>
          <w:bCs/>
          <w:lang w:val="en-US" w:eastAsia="ja-JP"/>
        </w:rPr>
        <w:t xml:space="preserve">training is feasible approach at least in Rel.18/19 timeline. </w:t>
      </w:r>
      <w:r w:rsidR="009049DC">
        <w:rPr>
          <w:bCs/>
          <w:lang w:val="en-US" w:eastAsia="ja-JP"/>
        </w:rPr>
        <w:t>For Type 2, joint training in offline engineering with multi-vendor agreements is possible</w:t>
      </w:r>
      <w:r w:rsidR="00B074FF">
        <w:rPr>
          <w:bCs/>
          <w:lang w:val="en-US" w:eastAsia="ja-JP"/>
        </w:rPr>
        <w:t>. In this case,</w:t>
      </w:r>
      <w:r>
        <w:rPr>
          <w:bCs/>
          <w:lang w:val="en-US" w:eastAsia="ja-JP"/>
        </w:rPr>
        <w:t xml:space="preserve"> no model exchange is required after deployment (although model fine tuning would be necessary even after deployment). </w:t>
      </w:r>
      <w:r w:rsidR="00EA28DE">
        <w:rPr>
          <w:bCs/>
          <w:lang w:val="en-US" w:eastAsia="ja-JP"/>
        </w:rPr>
        <w:t>Type 3</w:t>
      </w:r>
      <w:r>
        <w:rPr>
          <w:bCs/>
          <w:lang w:val="en-US" w:eastAsia="ja-JP"/>
        </w:rPr>
        <w:t xml:space="preserve"> also does not need model exchange. For the realization of </w:t>
      </w:r>
      <w:r w:rsidR="00E26C9C">
        <w:rPr>
          <w:bCs/>
          <w:lang w:val="en-US" w:eastAsia="ja-JP"/>
        </w:rPr>
        <w:t>Type 3</w:t>
      </w:r>
      <w:r>
        <w:rPr>
          <w:bCs/>
          <w:lang w:val="en-US" w:eastAsia="ja-JP"/>
        </w:rPr>
        <w:t xml:space="preserve">, 3GPP may need to define </w:t>
      </w:r>
      <w:proofErr w:type="gramStart"/>
      <w:r>
        <w:rPr>
          <w:bCs/>
          <w:lang w:val="en-US" w:eastAsia="ja-JP"/>
        </w:rPr>
        <w:t xml:space="preserve">some </w:t>
      </w:r>
      <w:r>
        <w:rPr>
          <w:bCs/>
          <w:lang w:val="en-US" w:eastAsia="ja-JP"/>
        </w:rPr>
        <w:lastRenderedPageBreak/>
        <w:t>kind of requirement</w:t>
      </w:r>
      <w:proofErr w:type="gramEnd"/>
      <w:r>
        <w:rPr>
          <w:bCs/>
          <w:lang w:val="en-US" w:eastAsia="ja-JP"/>
        </w:rPr>
        <w:t xml:space="preserve"> of CSI encoding by input and output relation, performance test or something else. In the defining the requirement, gNB feasibility based on the UE requirement is also checked. For </w:t>
      </w:r>
      <w:r w:rsidR="008C19A0">
        <w:rPr>
          <w:bCs/>
          <w:lang w:val="en-US" w:eastAsia="ja-JP"/>
        </w:rPr>
        <w:t xml:space="preserve">the </w:t>
      </w:r>
      <w:r>
        <w:rPr>
          <w:bCs/>
          <w:lang w:val="en-US" w:eastAsia="ja-JP"/>
        </w:rPr>
        <w:t xml:space="preserve">operation, UE declares whether it satisfy the requirement or not </w:t>
      </w:r>
      <w:r w:rsidR="008C19A0">
        <w:rPr>
          <w:bCs/>
          <w:lang w:val="en-US" w:eastAsia="ja-JP"/>
        </w:rPr>
        <w:t xml:space="preserve">as UE capability </w:t>
      </w:r>
      <w:r>
        <w:rPr>
          <w:bCs/>
          <w:lang w:val="en-US" w:eastAsia="ja-JP"/>
        </w:rPr>
        <w:t>and network enable AI/ML encoding if</w:t>
      </w:r>
      <w:r w:rsidR="008C19A0">
        <w:rPr>
          <w:bCs/>
          <w:lang w:val="en-US" w:eastAsia="ja-JP"/>
        </w:rPr>
        <w:t>/when</w:t>
      </w:r>
      <w:r>
        <w:rPr>
          <w:bCs/>
          <w:lang w:val="en-US" w:eastAsia="ja-JP"/>
        </w:rPr>
        <w:t xml:space="preserve"> useful.</w:t>
      </w:r>
    </w:p>
    <w:p w14:paraId="7D64CA1E" w14:textId="158A6519" w:rsidR="00255D50" w:rsidRPr="00CE0D10" w:rsidRDefault="00255D50" w:rsidP="00255D50">
      <w:pPr>
        <w:overflowPunct w:val="0"/>
        <w:autoSpaceDE w:val="0"/>
        <w:autoSpaceDN w:val="0"/>
        <w:adjustRightInd w:val="0"/>
        <w:spacing w:afterLines="50" w:after="120"/>
        <w:textAlignment w:val="baseline"/>
        <w:rPr>
          <w:lang w:val="en-US" w:eastAsia="ja-JP"/>
        </w:rPr>
      </w:pPr>
      <w:r>
        <w:rPr>
          <w:rFonts w:hint="eastAsia"/>
          <w:lang w:val="en-US" w:eastAsia="ja-JP"/>
        </w:rPr>
        <w:t>I</w:t>
      </w:r>
      <w:r>
        <w:rPr>
          <w:lang w:val="en-US" w:eastAsia="ja-JP"/>
        </w:rPr>
        <w:t xml:space="preserve">n our view, at least for </w:t>
      </w:r>
      <w:r w:rsidR="00F65CD8">
        <w:rPr>
          <w:lang w:val="en-US" w:eastAsia="ja-JP"/>
        </w:rPr>
        <w:t>R</w:t>
      </w:r>
      <w:r>
        <w:rPr>
          <w:lang w:val="en-US" w:eastAsia="ja-JP"/>
        </w:rPr>
        <w:t xml:space="preserve">el.18/19, </w:t>
      </w:r>
      <w:r w:rsidR="00E26C9C">
        <w:rPr>
          <w:lang w:val="en-US" w:eastAsia="ja-JP"/>
        </w:rPr>
        <w:t>Type 2</w:t>
      </w:r>
      <w:r>
        <w:rPr>
          <w:lang w:val="en-US" w:eastAsia="ja-JP"/>
        </w:rPr>
        <w:t xml:space="preserve"> and </w:t>
      </w:r>
      <w:r w:rsidR="00E26C9C">
        <w:rPr>
          <w:lang w:val="en-US" w:eastAsia="ja-JP"/>
        </w:rPr>
        <w:t>3</w:t>
      </w:r>
      <w:r w:rsidR="00B074FF">
        <w:rPr>
          <w:lang w:val="en-US" w:eastAsia="ja-JP"/>
        </w:rPr>
        <w:t xml:space="preserve"> with offline training</w:t>
      </w:r>
      <w:r>
        <w:rPr>
          <w:lang w:val="en-US" w:eastAsia="ja-JP"/>
        </w:rPr>
        <w:t xml:space="preserve"> </w:t>
      </w:r>
      <w:r w:rsidR="00F65CD8">
        <w:rPr>
          <w:lang w:val="en-US" w:eastAsia="ja-JP"/>
        </w:rPr>
        <w:t>would</w:t>
      </w:r>
      <w:r>
        <w:rPr>
          <w:lang w:val="en-US" w:eastAsia="ja-JP"/>
        </w:rPr>
        <w:t xml:space="preserve"> be </w:t>
      </w:r>
      <w:r w:rsidR="00F65CD8">
        <w:rPr>
          <w:lang w:val="en-US" w:eastAsia="ja-JP"/>
        </w:rPr>
        <w:t xml:space="preserve">more </w:t>
      </w:r>
      <w:r>
        <w:rPr>
          <w:lang w:val="en-US" w:eastAsia="ja-JP"/>
        </w:rPr>
        <w:t xml:space="preserve">feasible options. Large specification effort would be required for </w:t>
      </w:r>
      <w:r w:rsidR="004C42B3">
        <w:rPr>
          <w:lang w:val="en-US" w:eastAsia="ja-JP"/>
        </w:rPr>
        <w:t xml:space="preserve">Type 1 </w:t>
      </w:r>
      <w:r>
        <w:rPr>
          <w:lang w:val="en-US" w:eastAsia="ja-JP"/>
        </w:rPr>
        <w:t xml:space="preserve">since some common AI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Pr>
          <w:lang w:val="en-US" w:eastAsia="ja-JP"/>
        </w:rPr>
        <w:t xml:space="preserve"> might be interesting / potential in the long-term as more flexibility of the operation from the network is possible. </w:t>
      </w:r>
      <w:r w:rsidR="00E4215A">
        <w:rPr>
          <w:lang w:val="en-US" w:eastAsia="ja-JP"/>
        </w:rPr>
        <w:t>Type 1 with UE-sided training</w:t>
      </w:r>
      <w:r>
        <w:rPr>
          <w:lang w:val="en-US" w:eastAsia="ja-JP"/>
        </w:rPr>
        <w:t xml:space="preserve"> might be risky </w:t>
      </w:r>
      <w:r w:rsidR="00E4215A">
        <w:rPr>
          <w:lang w:val="en-US" w:eastAsia="ja-JP"/>
        </w:rPr>
        <w:t>approach</w:t>
      </w:r>
      <w:r>
        <w:rPr>
          <w:lang w:val="en-US" w:eastAsia="ja-JP"/>
        </w:rPr>
        <w:t xml:space="preserve"> since network vendor could not rely on UE manufacture’s AI model as it might not consider overall network efficiency.</w:t>
      </w:r>
    </w:p>
    <w:p w14:paraId="2F511BA5" w14:textId="262F1912" w:rsidR="00255D50" w:rsidRDefault="00255D50" w:rsidP="00255D50">
      <w:pPr>
        <w:snapToGrid w:val="0"/>
        <w:spacing w:after="0"/>
        <w:rPr>
          <w:b/>
          <w:lang w:val="en-US" w:eastAsia="ja-JP"/>
        </w:rPr>
      </w:pPr>
      <w:r>
        <w:rPr>
          <w:b/>
          <w:lang w:val="en-US" w:eastAsia="ja-JP"/>
        </w:rPr>
        <w:t xml:space="preserve">Observation 1: </w:t>
      </w:r>
      <w:r w:rsidR="004D7968">
        <w:rPr>
          <w:b/>
          <w:lang w:val="en-US" w:eastAsia="ja-JP"/>
        </w:rPr>
        <w:t>Type 2</w:t>
      </w:r>
      <w:r>
        <w:rPr>
          <w:b/>
          <w:lang w:val="en-US" w:eastAsia="ja-JP"/>
        </w:rPr>
        <w:t xml:space="preserve"> and </w:t>
      </w:r>
      <w:r w:rsidR="004D7968">
        <w:rPr>
          <w:b/>
          <w:lang w:val="en-US" w:eastAsia="ja-JP"/>
        </w:rPr>
        <w:t>3</w:t>
      </w:r>
      <w:r>
        <w:rPr>
          <w:b/>
          <w:lang w:val="en-US" w:eastAsia="ja-JP"/>
        </w:rPr>
        <w:t xml:space="preserve"> </w:t>
      </w:r>
      <w:r w:rsidR="00B074FF">
        <w:rPr>
          <w:b/>
          <w:lang w:val="en-US" w:eastAsia="ja-JP"/>
        </w:rPr>
        <w:t>with offline training</w:t>
      </w:r>
      <w:r>
        <w:rPr>
          <w:b/>
          <w:lang w:val="en-US" w:eastAsia="ja-JP"/>
        </w:rPr>
        <w:t xml:space="preserve"> 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77777777" w:rsidR="00255D50" w:rsidRPr="004D7968" w:rsidRDefault="00255D50" w:rsidP="00255D50">
      <w:pPr>
        <w:snapToGrid w:val="0"/>
        <w:spacing w:after="0"/>
        <w:rPr>
          <w:bCs/>
          <w:lang w:val="en-US" w:eastAsia="ja-JP"/>
        </w:rPr>
      </w:pPr>
    </w:p>
    <w:p w14:paraId="35CDC086" w14:textId="77777777" w:rsidR="00255D50" w:rsidRPr="006D2842" w:rsidRDefault="00255D50" w:rsidP="00255D50">
      <w:pPr>
        <w:snapToGrid w:val="0"/>
        <w:spacing w:after="0"/>
        <w:rPr>
          <w:b/>
          <w:u w:val="single"/>
          <w:lang w:val="en-US" w:eastAsia="ja-JP"/>
        </w:rPr>
      </w:pPr>
      <w:r>
        <w:rPr>
          <w:b/>
          <w:u w:val="single"/>
          <w:lang w:val="en-US" w:eastAsia="ja-JP"/>
        </w:rPr>
        <w:t>Configuration and content for CSI report</w:t>
      </w:r>
    </w:p>
    <w:p w14:paraId="315F97BE" w14:textId="5165D1B4" w:rsidR="00255D50" w:rsidRDefault="00255D50" w:rsidP="00255D50">
      <w:pPr>
        <w:snapToGrid w:val="0"/>
        <w:spacing w:afterLines="50" w:after="120"/>
        <w:rPr>
          <w:bCs/>
          <w:lang w:val="en-US" w:eastAsia="ja-JP"/>
        </w:rPr>
      </w:pPr>
      <w:r>
        <w:rPr>
          <w:rFonts w:hint="eastAsia"/>
          <w:bCs/>
          <w:lang w:val="en-US" w:eastAsia="ja-JP"/>
        </w:rPr>
        <w:t>T</w:t>
      </w:r>
      <w:r>
        <w:rPr>
          <w:bCs/>
          <w:lang w:val="en-US" w:eastAsia="ja-JP"/>
        </w:rPr>
        <w:t xml:space="preserve">he potential specification impacts related to the encoder input would be model input type / dimension / configuration. At least for </w:t>
      </w:r>
      <w:r w:rsidR="004D7968">
        <w:rPr>
          <w:bCs/>
          <w:lang w:val="en-US" w:eastAsia="ja-JP"/>
        </w:rPr>
        <w:t>Type 1</w:t>
      </w:r>
      <w:r>
        <w:rPr>
          <w:bCs/>
          <w:lang w:val="en-US" w:eastAsia="ja-JP"/>
        </w:rPr>
        <w:t xml:space="preserve"> of training collaboration</w:t>
      </w:r>
      <w:r w:rsidR="00E80FA9">
        <w:rPr>
          <w:bCs/>
          <w:lang w:val="en-US" w:eastAsia="ja-JP"/>
        </w:rPr>
        <w:t xml:space="preserve"> with network-sided training</w:t>
      </w:r>
      <w:r>
        <w:rPr>
          <w:bCs/>
          <w:lang w:val="en-US" w:eastAsia="ja-JP"/>
        </w:rPr>
        <w:t xml:space="preserve">, since encoder / decoder is trained at the network, the network needs to know all required pre/post processing. If UE still choose the proper rank and corresponding model, CSI report can include the encoder output, plus RI and/or model ID. For </w:t>
      </w:r>
      <w:r w:rsidR="00E80FA9">
        <w:rPr>
          <w:bCs/>
          <w:lang w:val="en-US" w:eastAsia="ja-JP"/>
        </w:rPr>
        <w:t>Type 1</w:t>
      </w:r>
      <w:r>
        <w:rPr>
          <w:bCs/>
          <w:lang w:val="en-US" w:eastAsia="ja-JP"/>
        </w:rPr>
        <w:t xml:space="preserve"> of training collaboration</w:t>
      </w:r>
      <w:r w:rsidR="00E80FA9">
        <w:rPr>
          <w:bCs/>
          <w:lang w:val="en-US" w:eastAsia="ja-JP"/>
        </w:rPr>
        <w:t xml:space="preserve"> with UE-sided training</w:t>
      </w:r>
      <w:r>
        <w:rPr>
          <w:bCs/>
          <w:lang w:val="en-US" w:eastAsia="ja-JP"/>
        </w:rPr>
        <w:t xml:space="preserve">, since encoder / decoder is trained at the UE side, output format and pre/post processing should be part of UE report so gNB is aware how to process it. For </w:t>
      </w:r>
      <w:r w:rsidR="00E80FA9">
        <w:rPr>
          <w:bCs/>
          <w:lang w:val="en-US" w:eastAsia="ja-JP"/>
        </w:rPr>
        <w:t>Type 2</w:t>
      </w:r>
      <w:r>
        <w:rPr>
          <w:bCs/>
          <w:lang w:val="en-US" w:eastAsia="ja-JP"/>
        </w:rPr>
        <w:t xml:space="preserve"> of the training collaboration, since decoder is trained via offline, the network would know the characters of decoders. If UE still chooses the proper rank and corresponding model, CSI report can include the encoder output, plus RI and/or model ID. For Option 4 of the training collaboration, AI-based codebook may need to be specified.</w:t>
      </w:r>
    </w:p>
    <w:p w14:paraId="3B4D1D4E" w14:textId="77777777" w:rsidR="00255D50" w:rsidRDefault="00255D50" w:rsidP="00255D50">
      <w:pPr>
        <w:snapToGrid w:val="0"/>
        <w:spacing w:after="0"/>
        <w:rPr>
          <w:b/>
          <w:lang w:val="en-US" w:eastAsia="ja-JP"/>
        </w:rPr>
      </w:pPr>
      <w:r>
        <w:rPr>
          <w:rFonts w:hint="eastAsia"/>
          <w:b/>
          <w:lang w:val="en-US" w:eastAsia="ja-JP"/>
        </w:rPr>
        <w:t>P</w:t>
      </w:r>
      <w:r>
        <w:rPr>
          <w:b/>
          <w:lang w:val="en-US" w:eastAsia="ja-JP"/>
        </w:rPr>
        <w:t>roposal 2: For each option of training collaboration, configuration and content for CSI report should be studied.</w:t>
      </w:r>
    </w:p>
    <w:p w14:paraId="186A058A" w14:textId="77777777" w:rsidR="00255D50" w:rsidRPr="005E3240" w:rsidRDefault="00255D50" w:rsidP="00255D50">
      <w:pPr>
        <w:snapToGrid w:val="0"/>
        <w:spacing w:after="0"/>
        <w:rPr>
          <w:bCs/>
          <w:lang w:val="en-US" w:eastAsia="ja-JP"/>
        </w:rPr>
      </w:pP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1B327DE8"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757FE85D"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 xml:space="preserve">or Option A, data shaping effort might be larger. The amount of data might also be larger since the amount of data might depend on not only number of antenna ports and number of sub-bands but also on number of supported ranks. In addition, separate AI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77777777" w:rsidR="00255D50" w:rsidRDefault="00255D50" w:rsidP="00255D50">
      <w:pPr>
        <w:snapToGrid w:val="0"/>
        <w:spacing w:after="0"/>
        <w:rPr>
          <w:b/>
          <w:lang w:val="en-US" w:eastAsia="ja-JP"/>
        </w:rPr>
      </w:pPr>
      <w:r>
        <w:rPr>
          <w:rFonts w:hint="eastAsia"/>
          <w:b/>
          <w:lang w:val="en-US" w:eastAsia="ja-JP"/>
        </w:rPr>
        <w:t>P</w:t>
      </w:r>
      <w:r>
        <w:rPr>
          <w:b/>
          <w:lang w:val="en-US" w:eastAsia="ja-JP"/>
        </w:rPr>
        <w:t>roposal 3: For each option of training collaboration, handling of rank of AI/ML model should studied.</w:t>
      </w:r>
    </w:p>
    <w:p w14:paraId="14886C86" w14:textId="77777777" w:rsidR="00255D50" w:rsidRDefault="00255D50" w:rsidP="00255D50">
      <w:pPr>
        <w:snapToGrid w:val="0"/>
        <w:spacing w:after="0"/>
        <w:rPr>
          <w:bCs/>
          <w:lang w:val="en-US" w:eastAsia="ja-JP"/>
        </w:rPr>
      </w:pPr>
    </w:p>
    <w:p w14:paraId="50B80B20" w14:textId="77777777" w:rsidR="00255D50" w:rsidRPr="00120633" w:rsidRDefault="00255D50" w:rsidP="00255D50">
      <w:pPr>
        <w:snapToGrid w:val="0"/>
        <w:spacing w:after="0"/>
        <w:rPr>
          <w:b/>
          <w:u w:val="single"/>
          <w:lang w:val="en-US" w:eastAsia="ja-JP"/>
        </w:rPr>
      </w:pPr>
      <w:r w:rsidRPr="00120633">
        <w:rPr>
          <w:rFonts w:hint="eastAsia"/>
          <w:b/>
          <w:u w:val="single"/>
          <w:lang w:val="en-US" w:eastAsia="ja-JP"/>
        </w:rPr>
        <w:t>L</w:t>
      </w:r>
      <w:r w:rsidRPr="00120633">
        <w:rPr>
          <w:b/>
          <w:u w:val="single"/>
          <w:lang w:val="en-US" w:eastAsia="ja-JP"/>
        </w:rPr>
        <w:t>ife cycle management</w:t>
      </w:r>
    </w:p>
    <w:p w14:paraId="3F8F982D" w14:textId="77777777" w:rsidR="00255D50" w:rsidRDefault="00255D50" w:rsidP="00255D50">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UE and gNB should interact with some essential information related to the model, such as indicator related to model performance deterioration, information reflecting model performance and/or information related to both measurement results and inference results. For like cycle management, following solutions could be considered.</w:t>
      </w:r>
    </w:p>
    <w:p w14:paraId="02CDD01E" w14:textId="77777777" w:rsidR="00255D50" w:rsidRDefault="00255D50" w:rsidP="00255D50">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1: gNB side performance monitoring</w:t>
      </w:r>
    </w:p>
    <w:p w14:paraId="2CB5B33D"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-1: UE transmits encoder input as CSI report periodically or occasionally.</w:t>
      </w:r>
    </w:p>
    <w:p w14:paraId="51AA08AC"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-2: gNB may directly use system throughput or ratio of NACK.</w:t>
      </w:r>
    </w:p>
    <w:p w14:paraId="031B9358" w14:textId="77777777" w:rsidR="00255D50" w:rsidRDefault="00255D50" w:rsidP="00255D50">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2: UE side performance monitoring</w:t>
      </w:r>
    </w:p>
    <w:p w14:paraId="53F036D0" w14:textId="77777777" w:rsidR="00255D50" w:rsidRDefault="00255D50" w:rsidP="00255D50">
      <w:pPr>
        <w:pStyle w:val="aff1"/>
        <w:numPr>
          <w:ilvl w:val="1"/>
          <w:numId w:val="23"/>
        </w:numPr>
        <w:snapToGrid w:val="0"/>
        <w:spacing w:after="0"/>
        <w:ind w:leftChars="0"/>
        <w:rPr>
          <w:bCs/>
          <w:lang w:val="en-US" w:eastAsia="ja-JP"/>
        </w:rPr>
      </w:pPr>
      <w:r>
        <w:rPr>
          <w:bCs/>
          <w:lang w:val="en-US" w:eastAsia="ja-JP"/>
        </w:rPr>
        <w:t>2-1: UE calculates decoder output using virtual decoder in UE.</w:t>
      </w:r>
    </w:p>
    <w:p w14:paraId="4173AAF9"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2</w:t>
      </w:r>
      <w:r>
        <w:rPr>
          <w:bCs/>
          <w:lang w:val="en-US" w:eastAsia="ja-JP"/>
        </w:rPr>
        <w:t>-2: UE may obtain the inference results indicated from gNB periodically or occasionally</w:t>
      </w:r>
    </w:p>
    <w:p w14:paraId="0D72E209" w14:textId="77777777" w:rsidR="00255D50" w:rsidRPr="00ED600B" w:rsidRDefault="00255D50" w:rsidP="00255D50">
      <w:pPr>
        <w:pStyle w:val="aff1"/>
        <w:numPr>
          <w:ilvl w:val="1"/>
          <w:numId w:val="23"/>
        </w:numPr>
        <w:snapToGrid w:val="0"/>
        <w:spacing w:afterLines="50" w:after="120"/>
        <w:ind w:leftChars="0"/>
        <w:rPr>
          <w:bCs/>
          <w:lang w:val="en-US" w:eastAsia="ja-JP"/>
        </w:rPr>
      </w:pPr>
      <w:r>
        <w:rPr>
          <w:rFonts w:hint="eastAsia"/>
          <w:bCs/>
          <w:lang w:val="en-US" w:eastAsia="ja-JP"/>
        </w:rPr>
        <w:t>2</w:t>
      </w:r>
      <w:r>
        <w:rPr>
          <w:bCs/>
          <w:lang w:val="en-US" w:eastAsia="ja-JP"/>
        </w:rPr>
        <w:t>-3: UE may use PDSCH decoding performance as KPI.</w:t>
      </w:r>
    </w:p>
    <w:p w14:paraId="0B562301" w14:textId="39AC67EF" w:rsidR="00255D50" w:rsidRDefault="00255D50" w:rsidP="00255D50">
      <w:pPr>
        <w:snapToGrid w:val="0"/>
        <w:spacing w:afterLines="50" w:after="120"/>
        <w:rPr>
          <w:bCs/>
          <w:lang w:val="en-US" w:eastAsia="ja-JP"/>
        </w:rPr>
      </w:pPr>
      <w:r>
        <w:rPr>
          <w:bCs/>
          <w:lang w:val="en-US" w:eastAsia="ja-JP"/>
        </w:rPr>
        <w:lastRenderedPageBreak/>
        <w:t>For Solution 1-1, encoder input means raw channel matrix or eigenvector(s). The network calculates loss function between the received CSI report (e.g., raw channel matrix or eigenvector(s) from UE) and decoder output. If the network detects the deterioration, network disable the AI/ML based CSI feedback and/or trigger the model update. Instead of the feedback of raw channel or eigenvector, SRS measurement at gNB side may be used for feedback overhead reduction. For Solution 1-2, the UE calculates loss function between the virtual decoder output and input to the encoder. If the UE detects the deterioration, UE triggers AI/ML model failure. For both Solution 1 and Solution 2, after evaluation, the gNB or UE may send the performance report to the other side to facilitate the potential determination of model deactivation or switching.</w:t>
      </w:r>
    </w:p>
    <w:p w14:paraId="02898587" w14:textId="77777777" w:rsidR="00255D50" w:rsidRDefault="00255D50" w:rsidP="00255D50">
      <w:pPr>
        <w:snapToGrid w:val="0"/>
        <w:spacing w:after="0"/>
        <w:rPr>
          <w:b/>
          <w:lang w:val="en-US" w:eastAsia="ja-JP"/>
        </w:rPr>
      </w:pPr>
      <w:r>
        <w:rPr>
          <w:rFonts w:hint="eastAsia"/>
          <w:b/>
          <w:lang w:val="en-US" w:eastAsia="ja-JP"/>
        </w:rPr>
        <w:t>P</w:t>
      </w:r>
      <w:r>
        <w:rPr>
          <w:b/>
          <w:lang w:val="en-US" w:eastAsia="ja-JP"/>
        </w:rPr>
        <w:t>roposal 4: The following options should be studied for life cycle management.</w:t>
      </w:r>
    </w:p>
    <w:p w14:paraId="70D44D4E" w14:textId="77777777" w:rsidR="00255D50" w:rsidRPr="00301D61" w:rsidRDefault="00255D50" w:rsidP="00255D5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1: gNB side performance monitoring</w:t>
      </w:r>
    </w:p>
    <w:p w14:paraId="1BA68B32"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5F36D042"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-2: gNB may directly use system throughput or ratio of NACK.</w:t>
      </w:r>
    </w:p>
    <w:p w14:paraId="54E05EAC" w14:textId="77777777" w:rsidR="00255D50" w:rsidRPr="00301D61" w:rsidRDefault="00255D50" w:rsidP="00255D5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3E9CDF80" w14:textId="77777777" w:rsidR="00255D50" w:rsidRPr="00301D61" w:rsidRDefault="00255D50" w:rsidP="00255D50">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2337045F"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-2: UE may obtain the inference results indicated from gNB periodically or occasionally</w:t>
      </w:r>
    </w:p>
    <w:p w14:paraId="10AF864F" w14:textId="77777777" w:rsidR="00255D50" w:rsidRPr="00301D61" w:rsidRDefault="00255D50" w:rsidP="00255D50">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58AADEF4" w14:textId="48CAFA44" w:rsidR="00E2538A" w:rsidRPr="00255D50" w:rsidRDefault="00E2538A" w:rsidP="007D261B">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14E3D86A"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 xml:space="preserve">observation and </w:t>
      </w:r>
      <w:r>
        <w:rPr>
          <w:lang w:eastAsia="ja-JP"/>
        </w:rPr>
        <w:t>proposals.</w:t>
      </w:r>
    </w:p>
    <w:p w14:paraId="6BAE9C42" w14:textId="77777777" w:rsidR="00F343A0" w:rsidRDefault="00F343A0" w:rsidP="005C06C1">
      <w:pPr>
        <w:snapToGrid w:val="0"/>
        <w:spacing w:afterLines="50" w:after="120"/>
        <w:rPr>
          <w:b/>
          <w:lang w:val="en-US" w:eastAsia="ja-JP"/>
        </w:rPr>
      </w:pPr>
      <w:r>
        <w:rPr>
          <w:rFonts w:hint="eastAsia"/>
          <w:b/>
          <w:lang w:val="en-US" w:eastAsia="ja-JP"/>
        </w:rPr>
        <w:t>P</w:t>
      </w:r>
      <w:r>
        <w:rPr>
          <w:b/>
          <w:lang w:val="en-US" w:eastAsia="ja-JP"/>
        </w:rPr>
        <w:t>roposal 1: CSI prediction using one-sided model could be considered as representative sub use cases.</w:t>
      </w:r>
    </w:p>
    <w:p w14:paraId="0C09773C" w14:textId="77777777" w:rsidR="00F343A0" w:rsidRDefault="00F343A0" w:rsidP="005C06C1">
      <w:pPr>
        <w:snapToGrid w:val="0"/>
        <w:spacing w:afterLines="50" w:after="120"/>
        <w:rPr>
          <w:b/>
          <w:lang w:val="en-US" w:eastAsia="ja-JP"/>
        </w:rPr>
      </w:pPr>
      <w:r>
        <w:rPr>
          <w:b/>
          <w:lang w:val="en-US" w:eastAsia="ja-JP"/>
        </w:rPr>
        <w:t>Observation 1: Type 2 and 3 with offline training might be feasible options at least Re.18/19 timeline from standardization effort perspective. Type 1 with network sided training can be potential in the long-term.</w:t>
      </w:r>
    </w:p>
    <w:p w14:paraId="7DD61230" w14:textId="77777777" w:rsidR="00F343A0" w:rsidRDefault="00F343A0" w:rsidP="005C06C1">
      <w:pPr>
        <w:snapToGrid w:val="0"/>
        <w:spacing w:afterLines="50" w:after="120"/>
        <w:rPr>
          <w:b/>
          <w:lang w:val="en-US" w:eastAsia="ja-JP"/>
        </w:rPr>
      </w:pPr>
      <w:r>
        <w:rPr>
          <w:rFonts w:hint="eastAsia"/>
          <w:b/>
          <w:lang w:val="en-US" w:eastAsia="ja-JP"/>
        </w:rPr>
        <w:t>P</w:t>
      </w:r>
      <w:r>
        <w:rPr>
          <w:b/>
          <w:lang w:val="en-US" w:eastAsia="ja-JP"/>
        </w:rPr>
        <w:t>roposal 2: For each option of training collaboration, configuration and content for CSI report should be studied.</w:t>
      </w:r>
    </w:p>
    <w:p w14:paraId="1730E34A" w14:textId="77777777" w:rsidR="00F343A0" w:rsidRDefault="00F343A0" w:rsidP="005C06C1">
      <w:pPr>
        <w:snapToGrid w:val="0"/>
        <w:spacing w:afterLines="50" w:after="120"/>
        <w:rPr>
          <w:b/>
          <w:lang w:val="en-US" w:eastAsia="ja-JP"/>
        </w:rPr>
      </w:pPr>
      <w:r>
        <w:rPr>
          <w:rFonts w:hint="eastAsia"/>
          <w:b/>
          <w:lang w:val="en-US" w:eastAsia="ja-JP"/>
        </w:rPr>
        <w:t>P</w:t>
      </w:r>
      <w:r>
        <w:rPr>
          <w:b/>
          <w:lang w:val="en-US" w:eastAsia="ja-JP"/>
        </w:rPr>
        <w:t>roposal 3: For each option of training collaboration, handling of rank of AI/ML model should studied.</w:t>
      </w:r>
    </w:p>
    <w:p w14:paraId="08EDB9D0" w14:textId="77777777" w:rsidR="00F343A0" w:rsidRDefault="00F343A0" w:rsidP="00F343A0">
      <w:pPr>
        <w:snapToGrid w:val="0"/>
        <w:spacing w:after="0"/>
        <w:rPr>
          <w:b/>
          <w:lang w:val="en-US" w:eastAsia="ja-JP"/>
        </w:rPr>
      </w:pPr>
      <w:r>
        <w:rPr>
          <w:rFonts w:hint="eastAsia"/>
          <w:b/>
          <w:lang w:val="en-US" w:eastAsia="ja-JP"/>
        </w:rPr>
        <w:t>P</w:t>
      </w:r>
      <w:r>
        <w:rPr>
          <w:b/>
          <w:lang w:val="en-US" w:eastAsia="ja-JP"/>
        </w:rPr>
        <w:t>roposal 4: The following options should be studied for life cycle management.</w:t>
      </w:r>
    </w:p>
    <w:p w14:paraId="22FE1131" w14:textId="77777777" w:rsidR="00F343A0" w:rsidRPr="00301D61" w:rsidRDefault="00F343A0" w:rsidP="00F343A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 xml:space="preserve">olution 1: </w:t>
      </w:r>
      <w:proofErr w:type="spellStart"/>
      <w:r w:rsidRPr="00301D61">
        <w:rPr>
          <w:b/>
          <w:lang w:val="en-US" w:eastAsia="ja-JP"/>
        </w:rPr>
        <w:t>gNB</w:t>
      </w:r>
      <w:proofErr w:type="spellEnd"/>
      <w:r w:rsidRPr="00301D61">
        <w:rPr>
          <w:b/>
          <w:lang w:val="en-US" w:eastAsia="ja-JP"/>
        </w:rPr>
        <w:t xml:space="preserve"> side performance monitoring</w:t>
      </w:r>
    </w:p>
    <w:p w14:paraId="07E65A39" w14:textId="77777777" w:rsidR="00F343A0" w:rsidRPr="00301D61" w:rsidRDefault="00F343A0" w:rsidP="00F343A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2B1FF2E2" w14:textId="77777777" w:rsidR="00F343A0" w:rsidRPr="00301D61" w:rsidRDefault="00F343A0" w:rsidP="00F343A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 xml:space="preserve">-2: </w:t>
      </w:r>
      <w:proofErr w:type="spellStart"/>
      <w:r w:rsidRPr="00301D61">
        <w:rPr>
          <w:b/>
          <w:lang w:val="en-US" w:eastAsia="ja-JP"/>
        </w:rPr>
        <w:t>gNB</w:t>
      </w:r>
      <w:proofErr w:type="spellEnd"/>
      <w:r w:rsidRPr="00301D61">
        <w:rPr>
          <w:b/>
          <w:lang w:val="en-US" w:eastAsia="ja-JP"/>
        </w:rPr>
        <w:t xml:space="preserve"> may directly use system throughput or ratio of NACK.</w:t>
      </w:r>
    </w:p>
    <w:p w14:paraId="03B58818" w14:textId="77777777" w:rsidR="00F343A0" w:rsidRPr="00301D61" w:rsidRDefault="00F343A0" w:rsidP="00F343A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6632B8D7" w14:textId="77777777" w:rsidR="00F343A0" w:rsidRPr="00301D61" w:rsidRDefault="00F343A0" w:rsidP="00F343A0">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42E9EBD1" w14:textId="77777777" w:rsidR="00F343A0" w:rsidRPr="00301D61" w:rsidRDefault="00F343A0" w:rsidP="00F343A0">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 xml:space="preserve">-2: UE may obtain the inference results indicated from </w:t>
      </w:r>
      <w:proofErr w:type="spellStart"/>
      <w:r w:rsidRPr="00301D61">
        <w:rPr>
          <w:b/>
          <w:lang w:val="en-US" w:eastAsia="ja-JP"/>
        </w:rPr>
        <w:t>gNB</w:t>
      </w:r>
      <w:proofErr w:type="spellEnd"/>
      <w:r w:rsidRPr="00301D61">
        <w:rPr>
          <w:b/>
          <w:lang w:val="en-US" w:eastAsia="ja-JP"/>
        </w:rPr>
        <w:t xml:space="preserve"> periodically or occasionally</w:t>
      </w:r>
    </w:p>
    <w:p w14:paraId="2308975B" w14:textId="77777777" w:rsidR="00F343A0" w:rsidRPr="00301D61" w:rsidRDefault="00F343A0" w:rsidP="00F343A0">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05314E02" w14:textId="77777777" w:rsidR="00EB4EF7" w:rsidRPr="005C06C1"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5304FECC" w:rsidR="0019640F" w:rsidRPr="00AF0526"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sectPr w:rsidR="0019640F" w:rsidRPr="00AF052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68BA" w14:textId="77777777" w:rsidR="009B1FA9" w:rsidRDefault="009B1FA9">
      <w:r>
        <w:separator/>
      </w:r>
    </w:p>
  </w:endnote>
  <w:endnote w:type="continuationSeparator" w:id="0">
    <w:p w14:paraId="0056773C" w14:textId="77777777" w:rsidR="009B1FA9" w:rsidRDefault="009B1FA9">
      <w:r>
        <w:continuationSeparator/>
      </w:r>
    </w:p>
  </w:endnote>
  <w:endnote w:type="continuationNotice" w:id="1">
    <w:p w14:paraId="0EB7B731" w14:textId="77777777" w:rsidR="009B1FA9" w:rsidRDefault="009B1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E9C94" w14:textId="77777777" w:rsidR="009B1FA9" w:rsidRDefault="009B1FA9">
      <w:r>
        <w:separator/>
      </w:r>
    </w:p>
  </w:footnote>
  <w:footnote w:type="continuationSeparator" w:id="0">
    <w:p w14:paraId="1F59C44C" w14:textId="77777777" w:rsidR="009B1FA9" w:rsidRDefault="009B1FA9">
      <w:r>
        <w:continuationSeparator/>
      </w:r>
    </w:p>
  </w:footnote>
  <w:footnote w:type="continuationNotice" w:id="1">
    <w:p w14:paraId="269CEED4" w14:textId="77777777" w:rsidR="009B1FA9" w:rsidRDefault="009B1F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B15E13"/>
    <w:multiLevelType w:val="hybridMultilevel"/>
    <w:tmpl w:val="C86E9A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1"/>
  </w:num>
  <w:num w:numId="2" w16cid:durableId="2019388201">
    <w:abstractNumId w:val="23"/>
  </w:num>
  <w:num w:numId="3" w16cid:durableId="160127051">
    <w:abstractNumId w:val="11"/>
  </w:num>
  <w:num w:numId="4" w16cid:durableId="1466502952">
    <w:abstractNumId w:val="19"/>
  </w:num>
  <w:num w:numId="5" w16cid:durableId="1077283262">
    <w:abstractNumId w:val="13"/>
  </w:num>
  <w:num w:numId="6" w16cid:durableId="1729303556">
    <w:abstractNumId w:val="14"/>
  </w:num>
  <w:num w:numId="7" w16cid:durableId="920598861">
    <w:abstractNumId w:val="12"/>
  </w:num>
  <w:num w:numId="8" w16cid:durableId="1535460140">
    <w:abstractNumId w:val="22"/>
  </w:num>
  <w:num w:numId="9" w16cid:durableId="444471508">
    <w:abstractNumId w:val="18"/>
  </w:num>
  <w:num w:numId="10" w16cid:durableId="951549533">
    <w:abstractNumId w:val="17"/>
  </w:num>
  <w:num w:numId="11" w16cid:durableId="5834887">
    <w:abstractNumId w:val="1"/>
  </w:num>
  <w:num w:numId="12" w16cid:durableId="942569740">
    <w:abstractNumId w:val="7"/>
  </w:num>
  <w:num w:numId="13" w16cid:durableId="1818448921">
    <w:abstractNumId w:val="15"/>
  </w:num>
  <w:num w:numId="14" w16cid:durableId="573645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6"/>
  </w:num>
  <w:num w:numId="16" w16cid:durableId="1610577092">
    <w:abstractNumId w:val="4"/>
  </w:num>
  <w:num w:numId="17" w16cid:durableId="1447193379">
    <w:abstractNumId w:val="3"/>
  </w:num>
  <w:num w:numId="18" w16cid:durableId="1782139934">
    <w:abstractNumId w:val="5"/>
  </w:num>
  <w:num w:numId="19" w16cid:durableId="1383402992">
    <w:abstractNumId w:val="2"/>
  </w:num>
  <w:num w:numId="20" w16cid:durableId="190076350">
    <w:abstractNumId w:val="9"/>
  </w:num>
  <w:num w:numId="21" w16cid:durableId="874006748">
    <w:abstractNumId w:val="8"/>
  </w:num>
  <w:num w:numId="22" w16cid:durableId="953638530">
    <w:abstractNumId w:val="16"/>
  </w:num>
  <w:num w:numId="23" w16cid:durableId="1743983449">
    <w:abstractNumId w:val="0"/>
  </w:num>
  <w:num w:numId="24" w16cid:durableId="1107043522">
    <w:abstractNumId w:val="20"/>
  </w:num>
  <w:num w:numId="25" w16cid:durableId="72098619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3CC"/>
    <w:rsid w:val="00007483"/>
    <w:rsid w:val="00007DB6"/>
    <w:rsid w:val="000101F1"/>
    <w:rsid w:val="00010801"/>
    <w:rsid w:val="00010D68"/>
    <w:rsid w:val="00010D87"/>
    <w:rsid w:val="0001175D"/>
    <w:rsid w:val="00011D9F"/>
    <w:rsid w:val="00011F63"/>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16C"/>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738"/>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127B"/>
    <w:rsid w:val="002B1348"/>
    <w:rsid w:val="002B1659"/>
    <w:rsid w:val="002B19FC"/>
    <w:rsid w:val="002B1ACB"/>
    <w:rsid w:val="002B1D19"/>
    <w:rsid w:val="002B1D2B"/>
    <w:rsid w:val="002B1F46"/>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3222"/>
    <w:rsid w:val="002C32AD"/>
    <w:rsid w:val="002C3326"/>
    <w:rsid w:val="002C3343"/>
    <w:rsid w:val="002C439E"/>
    <w:rsid w:val="002C4466"/>
    <w:rsid w:val="002C4AF0"/>
    <w:rsid w:val="002C595E"/>
    <w:rsid w:val="002C5B1C"/>
    <w:rsid w:val="002C5B49"/>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50"/>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2955"/>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5841"/>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0EE4"/>
    <w:rsid w:val="005011B7"/>
    <w:rsid w:val="00501639"/>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06"/>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3A07"/>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06C1"/>
    <w:rsid w:val="005C125A"/>
    <w:rsid w:val="005C16B3"/>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B70"/>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27F4B"/>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79A"/>
    <w:rsid w:val="006A4991"/>
    <w:rsid w:val="006A4B74"/>
    <w:rsid w:val="006A4C31"/>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14D"/>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C48"/>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258"/>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346"/>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C6C"/>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F95"/>
    <w:rsid w:val="00844571"/>
    <w:rsid w:val="00844660"/>
    <w:rsid w:val="00844C65"/>
    <w:rsid w:val="008460B0"/>
    <w:rsid w:val="0084618E"/>
    <w:rsid w:val="008466B3"/>
    <w:rsid w:val="0084729A"/>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1044"/>
    <w:rsid w:val="00891618"/>
    <w:rsid w:val="00891785"/>
    <w:rsid w:val="0089212F"/>
    <w:rsid w:val="008924C9"/>
    <w:rsid w:val="0089284F"/>
    <w:rsid w:val="00892F00"/>
    <w:rsid w:val="00893D9D"/>
    <w:rsid w:val="00894D70"/>
    <w:rsid w:val="0089510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9A0"/>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48F"/>
    <w:rsid w:val="008E5685"/>
    <w:rsid w:val="008E691A"/>
    <w:rsid w:val="008E6EC0"/>
    <w:rsid w:val="008E711A"/>
    <w:rsid w:val="008F03FA"/>
    <w:rsid w:val="008F0807"/>
    <w:rsid w:val="008F0D33"/>
    <w:rsid w:val="008F1ED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9DC"/>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07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1E07"/>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9FE"/>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1FA9"/>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5CD"/>
    <w:rsid w:val="00A15DE0"/>
    <w:rsid w:val="00A15EE0"/>
    <w:rsid w:val="00A16181"/>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784"/>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7299"/>
    <w:rsid w:val="00AC7E3D"/>
    <w:rsid w:val="00AC7E97"/>
    <w:rsid w:val="00AD05CF"/>
    <w:rsid w:val="00AD08D1"/>
    <w:rsid w:val="00AD090C"/>
    <w:rsid w:val="00AD0B0A"/>
    <w:rsid w:val="00AD0BDF"/>
    <w:rsid w:val="00AD0D0B"/>
    <w:rsid w:val="00AD0D4F"/>
    <w:rsid w:val="00AD10A0"/>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4FF"/>
    <w:rsid w:val="00B07D26"/>
    <w:rsid w:val="00B10430"/>
    <w:rsid w:val="00B10AD8"/>
    <w:rsid w:val="00B10F6E"/>
    <w:rsid w:val="00B1177B"/>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484"/>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5B3A"/>
    <w:rsid w:val="00B86259"/>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1D92"/>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49A"/>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B3F"/>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935"/>
    <w:rsid w:val="00C1093A"/>
    <w:rsid w:val="00C10946"/>
    <w:rsid w:val="00C110D4"/>
    <w:rsid w:val="00C115FA"/>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276"/>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6C0"/>
    <w:rsid w:val="00C83D25"/>
    <w:rsid w:val="00C83E7C"/>
    <w:rsid w:val="00C8400D"/>
    <w:rsid w:val="00C8401E"/>
    <w:rsid w:val="00C84A08"/>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602"/>
    <w:rsid w:val="00CA0799"/>
    <w:rsid w:val="00CA07B5"/>
    <w:rsid w:val="00CA1641"/>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0AC4"/>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C3A"/>
    <w:rsid w:val="00D04ECE"/>
    <w:rsid w:val="00D05098"/>
    <w:rsid w:val="00D0542A"/>
    <w:rsid w:val="00D0544B"/>
    <w:rsid w:val="00D057DB"/>
    <w:rsid w:val="00D059D4"/>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2BD2"/>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E1"/>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163"/>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18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866"/>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E16"/>
    <w:rsid w:val="00E26092"/>
    <w:rsid w:val="00E261DF"/>
    <w:rsid w:val="00E2647D"/>
    <w:rsid w:val="00E26A1B"/>
    <w:rsid w:val="00E26C9C"/>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BD2"/>
    <w:rsid w:val="00E3557E"/>
    <w:rsid w:val="00E3606D"/>
    <w:rsid w:val="00E36085"/>
    <w:rsid w:val="00E36561"/>
    <w:rsid w:val="00E36AB4"/>
    <w:rsid w:val="00E36B3A"/>
    <w:rsid w:val="00E36F9E"/>
    <w:rsid w:val="00E3756A"/>
    <w:rsid w:val="00E4049C"/>
    <w:rsid w:val="00E40944"/>
    <w:rsid w:val="00E40F8F"/>
    <w:rsid w:val="00E4215A"/>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41A0"/>
    <w:rsid w:val="00E947ED"/>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E17"/>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9BF"/>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CD8"/>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E2F"/>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908EDEB6-E6FF-4381-99DE-04702A98C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4</Pages>
  <Words>2391</Words>
  <Characters>12819</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944</cp:revision>
  <cp:lastPrinted>2010-04-02T09:58:00Z</cp:lastPrinted>
  <dcterms:created xsi:type="dcterms:W3CDTF">2021-01-14T00:52:00Z</dcterms:created>
  <dcterms:modified xsi:type="dcterms:W3CDTF">2022-09-29T01:11:00Z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