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08EF3" w14:textId="33D5FED4" w:rsidR="00CA79DF" w:rsidRPr="00C617E4" w:rsidRDefault="00CA79DF" w:rsidP="00CA79DF">
      <w:pPr>
        <w:tabs>
          <w:tab w:val="center" w:pos="4536"/>
          <w:tab w:val="right" w:pos="7938"/>
          <w:tab w:val="right" w:pos="9639"/>
        </w:tabs>
        <w:ind w:right="2"/>
        <w:rPr>
          <w:b/>
          <w:sz w:val="24"/>
          <w:szCs w:val="24"/>
        </w:rPr>
      </w:pPr>
      <w:r w:rsidRPr="00C617E4">
        <w:rPr>
          <w:b/>
          <w:sz w:val="24"/>
          <w:szCs w:val="24"/>
        </w:rPr>
        <w:t>3GPP TSG RAN WG1 #110bis-e</w:t>
      </w:r>
      <w:r w:rsidRPr="00C617E4">
        <w:rPr>
          <w:b/>
          <w:sz w:val="24"/>
          <w:szCs w:val="24"/>
        </w:rPr>
        <w:tab/>
      </w:r>
      <w:r w:rsidRPr="00C617E4">
        <w:rPr>
          <w:b/>
          <w:sz w:val="24"/>
          <w:szCs w:val="24"/>
        </w:rPr>
        <w:tab/>
      </w:r>
      <w:r w:rsidRPr="00C617E4">
        <w:rPr>
          <w:b/>
          <w:sz w:val="24"/>
          <w:szCs w:val="24"/>
        </w:rPr>
        <w:tab/>
      </w:r>
      <w:r w:rsidR="00C617E4">
        <w:rPr>
          <w:b/>
          <w:sz w:val="24"/>
          <w:szCs w:val="24"/>
        </w:rPr>
        <w:t xml:space="preserve">  </w:t>
      </w:r>
      <w:r w:rsidR="0072146E">
        <w:rPr>
          <w:b/>
          <w:sz w:val="24"/>
          <w:szCs w:val="24"/>
        </w:rPr>
        <w:t xml:space="preserve"> </w:t>
      </w:r>
      <w:r w:rsidRPr="00C617E4">
        <w:rPr>
          <w:b/>
          <w:sz w:val="24"/>
          <w:szCs w:val="24"/>
        </w:rPr>
        <w:t>R1-220</w:t>
      </w:r>
      <w:r w:rsidR="00C617E4">
        <w:rPr>
          <w:b/>
          <w:sz w:val="24"/>
          <w:szCs w:val="24"/>
        </w:rPr>
        <w:t>9</w:t>
      </w:r>
      <w:r w:rsidR="0072146E">
        <w:rPr>
          <w:b/>
          <w:sz w:val="24"/>
          <w:szCs w:val="24"/>
        </w:rPr>
        <w:t>089</w:t>
      </w:r>
    </w:p>
    <w:p w14:paraId="7408F3AA" w14:textId="77777777" w:rsidR="00CA79DF" w:rsidRPr="00C617E4" w:rsidRDefault="00CA79DF" w:rsidP="00CA79DF">
      <w:pPr>
        <w:tabs>
          <w:tab w:val="center" w:pos="4536"/>
          <w:tab w:val="right" w:pos="9072"/>
        </w:tabs>
        <w:rPr>
          <w:b/>
          <w:sz w:val="24"/>
          <w:szCs w:val="24"/>
        </w:rPr>
      </w:pPr>
      <w:r w:rsidRPr="00C617E4">
        <w:rPr>
          <w:b/>
          <w:sz w:val="24"/>
          <w:szCs w:val="24"/>
        </w:rPr>
        <w:t>e-Meeting, October 10</w:t>
      </w:r>
      <w:r w:rsidRPr="00C617E4">
        <w:rPr>
          <w:rFonts w:hint="eastAsia"/>
          <w:b/>
          <w:sz w:val="24"/>
          <w:szCs w:val="24"/>
        </w:rPr>
        <w:t>th</w:t>
      </w:r>
      <w:r w:rsidRPr="00C617E4">
        <w:rPr>
          <w:b/>
          <w:sz w:val="24"/>
          <w:szCs w:val="24"/>
        </w:rPr>
        <w:t xml:space="preserve"> – 19th, 2022</w:t>
      </w:r>
    </w:p>
    <w:p w14:paraId="40A32BAA" w14:textId="77777777" w:rsidR="00090197" w:rsidRDefault="00090197" w:rsidP="002D479B">
      <w:pPr>
        <w:ind w:left="1800" w:hanging="1800"/>
        <w:rPr>
          <w:b/>
          <w:sz w:val="24"/>
          <w:szCs w:val="24"/>
        </w:rPr>
      </w:pPr>
    </w:p>
    <w:p w14:paraId="4ECEF67E" w14:textId="436A43C5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751076">
        <w:rPr>
          <w:b/>
          <w:sz w:val="24"/>
          <w:szCs w:val="24"/>
        </w:rPr>
        <w:t>8.1</w:t>
      </w:r>
    </w:p>
    <w:p w14:paraId="74D32287" w14:textId="6C1437AE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076D90">
        <w:rPr>
          <w:b/>
          <w:sz w:val="24"/>
          <w:szCs w:val="24"/>
        </w:rPr>
        <w:t>, FirstNet</w:t>
      </w:r>
    </w:p>
    <w:p w14:paraId="242867D0" w14:textId="6678F06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751076" w:rsidRPr="00751076">
        <w:rPr>
          <w:b/>
          <w:bCs/>
          <w:sz w:val="24"/>
          <w:szCs w:val="24"/>
        </w:rPr>
        <w:t>Side control information to enable NR network-controlled repeaters</w:t>
      </w:r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3AA24819" w14:textId="77777777" w:rsidR="00D53279" w:rsidRDefault="00D53279" w:rsidP="00D53279">
      <w:pPr>
        <w:rPr>
          <w:rFonts w:ascii="Calibri" w:eastAsia="Malgun Gothic" w:hAnsi="Calibri" w:cs="Batang"/>
          <w:lang w:val="en-GB" w:eastAsia="ko-KR"/>
        </w:rPr>
      </w:pPr>
      <w:bookmarkStart w:id="2" w:name="OLE_LINK41"/>
      <w:bookmarkStart w:id="3" w:name="OLE_LINK42"/>
      <w:r>
        <w:rPr>
          <w:rFonts w:ascii="Calibri" w:eastAsia="Malgun Gothic" w:hAnsi="Calibri" w:cs="Batang"/>
          <w:lang w:val="en-GB" w:eastAsia="ko-KR"/>
        </w:rPr>
        <w:t>As part of</w:t>
      </w:r>
      <w:r w:rsidRPr="00C724F1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Rel-18 Work</w:t>
      </w:r>
      <w:r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hAnsi="Calibri" w:cs="Calibri"/>
        </w:rPr>
        <w:t xml:space="preserve">NR Network-controlled Repeaters </w:t>
      </w:r>
      <w:r w:rsidRPr="00C724F1">
        <w:rPr>
          <w:rFonts w:ascii="Calibri" w:eastAsia="Malgun Gothic" w:hAnsi="Calibri" w:cs="Batang"/>
          <w:lang w:val="en-GB" w:eastAsia="ko-KR"/>
        </w:rPr>
        <w:t xml:space="preserve">[1], 3GPP has agreed </w:t>
      </w:r>
      <w:r>
        <w:rPr>
          <w:rFonts w:ascii="Calibri" w:eastAsia="Malgun Gothic" w:hAnsi="Calibri" w:cs="Batang"/>
          <w:lang w:val="en-GB" w:eastAsia="ko-KR"/>
        </w:rPr>
        <w:t>to specify enhancements over conventional RF repeaters including the following objectives:</w:t>
      </w:r>
    </w:p>
    <w:p w14:paraId="7EB4B17B" w14:textId="316AB9AB" w:rsidR="00D53279" w:rsidRPr="00B437E2" w:rsidRDefault="00D53279" w:rsidP="00D53279">
      <w:pPr>
        <w:spacing w:beforeLines="50" w:before="120" w:afterLines="50"/>
        <w:rPr>
          <w:sz w:val="18"/>
          <w:szCs w:val="18"/>
        </w:rPr>
      </w:pPr>
      <w:r w:rsidRPr="00B437E2">
        <w:rPr>
          <w:sz w:val="18"/>
          <w:szCs w:val="18"/>
        </w:rPr>
        <w:t xml:space="preserve">Specify the </w:t>
      </w:r>
      <w:r w:rsidR="006E3B03" w:rsidRPr="00B437E2">
        <w:rPr>
          <w:sz w:val="18"/>
          <w:szCs w:val="18"/>
        </w:rPr>
        <w:t>signaling</w:t>
      </w:r>
      <w:r w:rsidRPr="00B437E2">
        <w:rPr>
          <w:sz w:val="18"/>
          <w:szCs w:val="18"/>
        </w:rPr>
        <w:t xml:space="preserve"> and behavior of the following side control information for controlling the NCR-</w:t>
      </w:r>
      <w:proofErr w:type="spellStart"/>
      <w:r w:rsidRPr="00B437E2">
        <w:rPr>
          <w:sz w:val="18"/>
          <w:szCs w:val="18"/>
        </w:rPr>
        <w:t>Fwd</w:t>
      </w:r>
      <w:proofErr w:type="spellEnd"/>
      <w:r w:rsidRPr="00B437E2">
        <w:rPr>
          <w:sz w:val="18"/>
          <w:szCs w:val="18"/>
        </w:rPr>
        <w:t xml:space="preserve"> [RAN1, RAN2]</w:t>
      </w:r>
    </w:p>
    <w:p w14:paraId="7509CA0B" w14:textId="77777777" w:rsidR="00D53279" w:rsidRPr="00B437E2" w:rsidRDefault="00D53279" w:rsidP="00D5327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Beamforming</w:t>
      </w:r>
    </w:p>
    <w:p w14:paraId="13990CB2" w14:textId="77777777" w:rsidR="00D53279" w:rsidRPr="00B437E2" w:rsidRDefault="00D53279" w:rsidP="00D5327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UL-DL TDD operation</w:t>
      </w:r>
    </w:p>
    <w:p w14:paraId="7188D683" w14:textId="77777777" w:rsidR="00D53279" w:rsidRPr="00B437E2" w:rsidRDefault="00D53279" w:rsidP="00D53279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Lines="50" w:before="120" w:afterLines="50"/>
        <w:jc w:val="left"/>
        <w:textAlignment w:val="baseline"/>
        <w:rPr>
          <w:sz w:val="18"/>
          <w:szCs w:val="18"/>
        </w:rPr>
      </w:pPr>
      <w:r w:rsidRPr="00B437E2">
        <w:rPr>
          <w:sz w:val="18"/>
          <w:szCs w:val="18"/>
        </w:rPr>
        <w:t>ON-OFF information</w:t>
      </w:r>
    </w:p>
    <w:bookmarkEnd w:id="2"/>
    <w:p w14:paraId="299A553B" w14:textId="77777777" w:rsidR="00D53279" w:rsidRPr="00B437E2" w:rsidRDefault="00D53279" w:rsidP="00D53279">
      <w:pPr>
        <w:pStyle w:val="ListParagraph"/>
        <w:spacing w:beforeLines="50" w:before="120" w:afterLines="50"/>
        <w:ind w:left="0"/>
        <w:rPr>
          <w:sz w:val="18"/>
          <w:szCs w:val="18"/>
          <w:lang w:eastAsia="zh-CN"/>
        </w:rPr>
      </w:pPr>
      <w:r w:rsidRPr="00B437E2">
        <w:rPr>
          <w:sz w:val="18"/>
          <w:szCs w:val="18"/>
          <w:lang w:eastAsia="zh-CN"/>
        </w:rPr>
        <w:t>Note: Power control aspect will be checked in RAN#98e.</w:t>
      </w:r>
      <w:bookmarkEnd w:id="3"/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084904BB" w14:textId="220E5A5B" w:rsidR="00F765DB" w:rsidRPr="00045AED" w:rsidRDefault="00F765DB" w:rsidP="00045AED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bookmarkStart w:id="4" w:name="OLE_LINK84"/>
      <w:r>
        <w:rPr>
          <w:rFonts w:ascii="Calibri" w:eastAsia="Malgun Gothic" w:hAnsi="Calibri" w:cs="Batang"/>
          <w:lang w:val="en-GB" w:eastAsia="ko-KR"/>
        </w:rPr>
        <w:t xml:space="preserve">This contribution focuses on </w:t>
      </w:r>
      <w:r w:rsidR="00071942">
        <w:rPr>
          <w:rFonts w:ascii="Calibri" w:eastAsia="Malgun Gothic" w:hAnsi="Calibri" w:cs="Batang"/>
          <w:lang w:val="en-GB" w:eastAsia="ko-KR"/>
        </w:rPr>
        <w:t xml:space="preserve">requirements </w:t>
      </w:r>
      <w:r w:rsidR="00544843">
        <w:rPr>
          <w:rFonts w:ascii="Calibri" w:eastAsia="Malgun Gothic" w:hAnsi="Calibri" w:cs="Batang"/>
          <w:lang w:val="en-GB" w:eastAsia="ko-KR"/>
        </w:rPr>
        <w:t>for L1/L2</w:t>
      </w:r>
      <w:r w:rsidR="00071942">
        <w:rPr>
          <w:rFonts w:ascii="Calibri" w:eastAsia="Malgun Gothic" w:hAnsi="Calibri" w:cs="Batang"/>
          <w:lang w:val="en-GB" w:eastAsia="ko-KR"/>
        </w:rPr>
        <w:t xml:space="preserve"> side information and </w:t>
      </w:r>
      <w:proofErr w:type="spellStart"/>
      <w:r w:rsidR="00071942">
        <w:rPr>
          <w:rFonts w:ascii="Calibri" w:eastAsia="Malgun Gothic" w:hAnsi="Calibri" w:cs="Batang"/>
          <w:lang w:val="en-GB" w:eastAsia="ko-KR"/>
        </w:rPr>
        <w:t>signaling</w:t>
      </w:r>
      <w:proofErr w:type="spellEnd"/>
      <w:r w:rsidR="00071942">
        <w:rPr>
          <w:rFonts w:ascii="Calibri" w:eastAsia="Malgun Gothic" w:hAnsi="Calibri" w:cs="Batang"/>
          <w:lang w:val="en-GB" w:eastAsia="ko-KR"/>
        </w:rPr>
        <w:t xml:space="preserve"> framework for NR network-controlled repeaters.</w:t>
      </w:r>
    </w:p>
    <w:bookmarkEnd w:id="4"/>
    <w:p w14:paraId="6CB6A382" w14:textId="77777777" w:rsidR="00F765DB" w:rsidRDefault="00F765DB" w:rsidP="00EE2068">
      <w:pPr>
        <w:pStyle w:val="maintext"/>
        <w:ind w:firstLineChars="0" w:firstLine="0"/>
        <w:rPr>
          <w:rFonts w:ascii="Calibri" w:hAnsi="Calibri"/>
        </w:rPr>
      </w:pPr>
    </w:p>
    <w:p w14:paraId="4600A3D6" w14:textId="0047A7CF" w:rsidR="00346605" w:rsidRPr="00172743" w:rsidRDefault="00544843" w:rsidP="00326FF6">
      <w:pPr>
        <w:pStyle w:val="Heading1"/>
      </w:pPr>
      <w:r>
        <w:t>Side control information for NR network-controlled repeaters</w:t>
      </w:r>
    </w:p>
    <w:p w14:paraId="4D9FF756" w14:textId="65B6B15C" w:rsidR="00775387" w:rsidRDefault="00775387" w:rsidP="00775387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  <w:bookmarkStart w:id="5" w:name="OLE_LINK65"/>
      <w:r w:rsidRPr="001C22A7">
        <w:rPr>
          <w:rFonts w:ascii="Calibri" w:eastAsia="Malgun Gothic" w:hAnsi="Calibri" w:cs="Batang"/>
          <w:lang w:val="en-GB" w:eastAsia="ko-KR"/>
        </w:rPr>
        <w:t xml:space="preserve">Due to the native deployment of massive MIMO or multi-beam systems in NR, there is now an opportunity to develop and deploy </w:t>
      </w:r>
      <w:r w:rsidR="006E3B03">
        <w:rPr>
          <w:rFonts w:ascii="Calibri" w:eastAsia="Malgun Gothic" w:hAnsi="Calibri" w:cs="Batang"/>
          <w:lang w:val="en-GB" w:eastAsia="ko-KR"/>
        </w:rPr>
        <w:t>network-controlled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Pr="001C22A7">
        <w:rPr>
          <w:rFonts w:ascii="Calibri" w:eastAsia="Malgun Gothic" w:hAnsi="Calibri" w:cs="Batang"/>
          <w:lang w:val="en-GB" w:eastAsia="ko-KR"/>
        </w:rPr>
        <w:t>repeaters (</w:t>
      </w:r>
      <w:proofErr w:type="gramStart"/>
      <w:r>
        <w:rPr>
          <w:rFonts w:ascii="Calibri" w:eastAsia="Malgun Gothic" w:hAnsi="Calibri" w:cs="Batang"/>
          <w:lang w:val="en-GB" w:eastAsia="ko-KR"/>
        </w:rPr>
        <w:t>e.g.</w:t>
      </w:r>
      <w:proofErr w:type="gramEnd"/>
      <w:r>
        <w:rPr>
          <w:rFonts w:ascii="Calibri" w:eastAsia="Malgun Gothic" w:hAnsi="Calibri" w:cs="Batang"/>
          <w:lang w:val="en-GB" w:eastAsia="ko-KR"/>
        </w:rPr>
        <w:t xml:space="preserve"> “smart” repeaters</w:t>
      </w:r>
      <w:r w:rsidRPr="001C22A7">
        <w:rPr>
          <w:rFonts w:ascii="Calibri" w:eastAsia="Malgun Gothic" w:hAnsi="Calibri" w:cs="Batang"/>
          <w:lang w:val="en-GB" w:eastAsia="ko-KR"/>
        </w:rPr>
        <w:t xml:space="preserve">) </w:t>
      </w:r>
      <w:r>
        <w:rPr>
          <w:rFonts w:ascii="Calibri" w:eastAsia="Malgun Gothic" w:hAnsi="Calibri" w:cs="Batang"/>
          <w:lang w:val="en-GB" w:eastAsia="ko-KR"/>
        </w:rPr>
        <w:t>which utilize</w:t>
      </w:r>
      <w:r w:rsidRPr="001C22A7">
        <w:rPr>
          <w:rFonts w:ascii="Calibri" w:eastAsia="Malgun Gothic" w:hAnsi="Calibri" w:cs="Batang"/>
          <w:lang w:val="en-GB" w:eastAsia="ko-KR"/>
        </w:rPr>
        <w:t xml:space="preserve"> </w:t>
      </w:r>
      <w:r>
        <w:rPr>
          <w:rFonts w:ascii="Calibri" w:eastAsia="Malgun Gothic" w:hAnsi="Calibri" w:cs="Batang"/>
          <w:lang w:val="en-GB" w:eastAsia="ko-KR"/>
        </w:rPr>
        <w:t>an amplify-and-forward</w:t>
      </w:r>
      <w:r w:rsidRPr="001C22A7">
        <w:rPr>
          <w:rFonts w:ascii="Calibri" w:eastAsia="Malgun Gothic" w:hAnsi="Calibri" w:cs="Batang"/>
          <w:lang w:val="en-GB" w:eastAsia="ko-KR"/>
        </w:rPr>
        <w:t xml:space="preserve"> approach to take the DL signal from a donor cell (e.g. macro </w:t>
      </w:r>
      <w:proofErr w:type="spellStart"/>
      <w:r>
        <w:rPr>
          <w:rFonts w:ascii="Calibri" w:eastAsia="Malgun Gothic" w:hAnsi="Calibri" w:cs="Batang"/>
          <w:lang w:val="en-GB" w:eastAsia="ko-KR"/>
        </w:rPr>
        <w:t>gNB</w:t>
      </w:r>
      <w:proofErr w:type="spellEnd"/>
      <w:r w:rsidRPr="001C22A7">
        <w:rPr>
          <w:rFonts w:ascii="Calibri" w:eastAsia="Malgun Gothic" w:hAnsi="Calibri" w:cs="Batang"/>
          <w:lang w:val="en-GB" w:eastAsia="ko-KR"/>
        </w:rPr>
        <w:t xml:space="preserve">) and provide it to users which may be beyond the coverage of the donor cell. Additionally, the </w:t>
      </w:r>
      <w:r>
        <w:rPr>
          <w:rFonts w:ascii="Calibri" w:eastAsia="Malgun Gothic" w:hAnsi="Calibri" w:cs="Batang"/>
          <w:lang w:val="en-GB" w:eastAsia="ko-KR"/>
        </w:rPr>
        <w:t>NCR</w:t>
      </w:r>
      <w:r w:rsidRPr="001C22A7">
        <w:rPr>
          <w:rFonts w:ascii="Calibri" w:eastAsia="Malgun Gothic" w:hAnsi="Calibri" w:cs="Batang"/>
          <w:lang w:val="en-GB" w:eastAsia="ko-KR"/>
        </w:rPr>
        <w:t xml:space="preserve"> can provide the UL signal from the user device to its serving cell</w:t>
      </w:r>
      <w:r>
        <w:rPr>
          <w:rFonts w:ascii="Calibri" w:eastAsia="Malgun Gothic" w:hAnsi="Calibri" w:cs="Batang"/>
          <w:lang w:val="en-GB" w:eastAsia="ko-KR"/>
        </w:rPr>
        <w:t xml:space="preserve"> in a transparent manner</w:t>
      </w:r>
      <w:r w:rsidRPr="001C22A7">
        <w:rPr>
          <w:rFonts w:ascii="Calibri" w:eastAsia="Malgun Gothic" w:hAnsi="Calibri" w:cs="Batang"/>
          <w:lang w:val="en-GB" w:eastAsia="ko-KR"/>
        </w:rPr>
        <w:t xml:space="preserve">. This may allow easier deployment of a dense network of access points </w:t>
      </w:r>
      <w:r>
        <w:rPr>
          <w:rFonts w:ascii="Calibri" w:eastAsia="Malgun Gothic" w:hAnsi="Calibri" w:cs="Batang"/>
          <w:lang w:val="en-GB" w:eastAsia="ko-KR"/>
        </w:rPr>
        <w:t>in FR1 and FR2 as shown in Figure 1.</w:t>
      </w:r>
      <w:r w:rsidR="006E3B03">
        <w:rPr>
          <w:rFonts w:ascii="Calibri" w:eastAsia="Malgun Gothic" w:hAnsi="Calibri" w:cs="Batang"/>
          <w:lang w:val="en-GB" w:eastAsia="ko-KR"/>
        </w:rPr>
        <w:t xml:space="preserve">  </w:t>
      </w:r>
    </w:p>
    <w:p w14:paraId="0CE07F81" w14:textId="77777777" w:rsidR="00775387" w:rsidRDefault="00775387" w:rsidP="00775387">
      <w:pPr>
        <w:spacing w:after="60" w:line="288" w:lineRule="auto"/>
        <w:rPr>
          <w:rFonts w:ascii="Calibri" w:eastAsia="Malgun Gothic" w:hAnsi="Calibri" w:cs="Batang"/>
          <w:lang w:val="en-GB" w:eastAsia="ko-KR"/>
        </w:rPr>
      </w:pPr>
    </w:p>
    <w:p w14:paraId="1B882280" w14:textId="77777777" w:rsidR="00775387" w:rsidRDefault="00775387" w:rsidP="00775387">
      <w:pPr>
        <w:spacing w:after="60" w:line="288" w:lineRule="auto"/>
        <w:jc w:val="center"/>
        <w:rPr>
          <w:rFonts w:ascii="Times New Roman" w:eastAsia="Malgun Gothic" w:hAnsi="Times New Roman" w:cs="Batang"/>
          <w:b/>
          <w:lang w:eastAsia="ko-KR"/>
        </w:rPr>
      </w:pPr>
      <w:r w:rsidRPr="004C7E99">
        <w:rPr>
          <w:rFonts w:ascii="Times New Roman" w:eastAsia="Malgun Gothic" w:hAnsi="Times New Roman" w:cs="Batang"/>
          <w:b/>
          <w:noProof/>
          <w:lang w:eastAsia="ko-KR"/>
        </w:rPr>
        <w:drawing>
          <wp:inline distT="0" distB="0" distL="0" distR="0" wp14:anchorId="30320016" wp14:editId="7352EF13">
            <wp:extent cx="2578308" cy="2189254"/>
            <wp:effectExtent l="0" t="0" r="0" b="0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19887" cy="2224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89A12" w14:textId="1461262C" w:rsidR="00EA219F" w:rsidRPr="00775387" w:rsidRDefault="00775387" w:rsidP="00775387">
      <w:pPr>
        <w:jc w:val="center"/>
        <w:rPr>
          <w:rFonts w:asciiTheme="minorHAnsi" w:hAnsiTheme="minorHAnsi" w:cstheme="minorHAnsi"/>
          <w:b/>
        </w:rPr>
      </w:pPr>
      <w:r w:rsidRPr="00A81AFF">
        <w:rPr>
          <w:rFonts w:asciiTheme="minorHAnsi" w:hAnsiTheme="minorHAnsi" w:cstheme="minorHAnsi"/>
          <w:b/>
        </w:rPr>
        <w:t xml:space="preserve">Figure 1: Network-controlled repeater access and </w:t>
      </w:r>
      <w:r>
        <w:rPr>
          <w:rFonts w:asciiTheme="minorHAnsi" w:hAnsiTheme="minorHAnsi" w:cstheme="minorHAnsi"/>
          <w:b/>
        </w:rPr>
        <w:t>backhaul</w:t>
      </w:r>
      <w:r w:rsidRPr="00A81AFF">
        <w:rPr>
          <w:rFonts w:asciiTheme="minorHAnsi" w:hAnsiTheme="minorHAnsi" w:cstheme="minorHAnsi"/>
          <w:b/>
        </w:rPr>
        <w:t xml:space="preserve"> links</w:t>
      </w:r>
      <w:bookmarkEnd w:id="5"/>
    </w:p>
    <w:p w14:paraId="3B096EDD" w14:textId="47A9E791" w:rsidR="00A81AFF" w:rsidRDefault="00A07EAB" w:rsidP="00AB38F0">
      <w:pPr>
        <w:pStyle w:val="maintext"/>
        <w:ind w:firstLineChars="0" w:firstLine="0"/>
        <w:rPr>
          <w:rFonts w:ascii="Calibri" w:hAnsi="Calibri"/>
        </w:rPr>
      </w:pPr>
      <w:r w:rsidRPr="00A07EAB">
        <w:rPr>
          <w:rFonts w:ascii="Calibri" w:hAnsi="Calibri"/>
        </w:rPr>
        <w:lastRenderedPageBreak/>
        <w:t xml:space="preserve">As a result, there is a need for </w:t>
      </w:r>
      <w:r w:rsidR="004079C3">
        <w:rPr>
          <w:rFonts w:ascii="Calibri" w:hAnsi="Calibri"/>
          <w:lang w:val="en-US"/>
        </w:rPr>
        <w:t>i</w:t>
      </w:r>
      <w:r w:rsidR="004079C3" w:rsidRPr="004079C3">
        <w:rPr>
          <w:rFonts w:ascii="Calibri" w:hAnsi="Calibri"/>
          <w:lang w:val="en-US"/>
        </w:rPr>
        <w:t xml:space="preserve">dentification and authorization of network-controlled repeaters by </w:t>
      </w:r>
      <w:r w:rsidR="00076D90">
        <w:rPr>
          <w:rFonts w:ascii="Calibri" w:hAnsi="Calibri"/>
          <w:lang w:val="en-US"/>
        </w:rPr>
        <w:t>the network</w:t>
      </w:r>
      <w:r w:rsidR="004079C3" w:rsidRPr="004079C3">
        <w:rPr>
          <w:rFonts w:ascii="Calibri" w:hAnsi="Calibri"/>
          <w:lang w:val="en-US"/>
        </w:rPr>
        <w:t xml:space="preserve"> </w:t>
      </w:r>
      <w:r w:rsidR="004079C3">
        <w:rPr>
          <w:rFonts w:ascii="Calibri" w:hAnsi="Calibri"/>
          <w:lang w:val="en-US"/>
        </w:rPr>
        <w:t xml:space="preserve">in addition to </w:t>
      </w:r>
      <w:r w:rsidRPr="00A07EAB">
        <w:rPr>
          <w:rFonts w:ascii="Calibri" w:hAnsi="Calibri"/>
        </w:rPr>
        <w:t xml:space="preserve">OTA configuration and management which can adapt the physical layer </w:t>
      </w:r>
      <w:r w:rsidR="004A20EA">
        <w:rPr>
          <w:rFonts w:ascii="Calibri" w:hAnsi="Calibri"/>
        </w:rPr>
        <w:t xml:space="preserve">L1/L2 </w:t>
      </w:r>
      <w:r w:rsidRPr="00A07EAB">
        <w:rPr>
          <w:rFonts w:ascii="Calibri" w:hAnsi="Calibri"/>
        </w:rPr>
        <w:t xml:space="preserve">parameters used by the </w:t>
      </w:r>
      <w:r w:rsidR="004A20EA">
        <w:rPr>
          <w:rFonts w:ascii="Calibri" w:hAnsi="Calibri"/>
        </w:rPr>
        <w:t>NCR-MT for its control link a</w:t>
      </w:r>
      <w:r w:rsidR="006533C2">
        <w:rPr>
          <w:rFonts w:ascii="Calibri" w:hAnsi="Calibri"/>
        </w:rPr>
        <w:t>s well as the L1/L2 parameters used by the NCR-</w:t>
      </w:r>
      <w:proofErr w:type="spellStart"/>
      <w:r w:rsidR="006533C2">
        <w:rPr>
          <w:rFonts w:ascii="Calibri" w:hAnsi="Calibri"/>
        </w:rPr>
        <w:t>Fwd</w:t>
      </w:r>
      <w:proofErr w:type="spellEnd"/>
      <w:r w:rsidR="006533C2">
        <w:rPr>
          <w:rFonts w:ascii="Calibri" w:hAnsi="Calibri"/>
        </w:rPr>
        <w:t xml:space="preserve"> </w:t>
      </w:r>
      <w:r w:rsidRPr="00A07EAB">
        <w:rPr>
          <w:rFonts w:ascii="Calibri" w:hAnsi="Calibri"/>
        </w:rPr>
        <w:t xml:space="preserve">for </w:t>
      </w:r>
      <w:r w:rsidR="00043F30">
        <w:rPr>
          <w:rFonts w:ascii="Calibri" w:hAnsi="Calibri"/>
        </w:rPr>
        <w:t xml:space="preserve">its </w:t>
      </w:r>
      <w:r w:rsidR="00A81AFF">
        <w:rPr>
          <w:rFonts w:ascii="Calibri" w:hAnsi="Calibri"/>
        </w:rPr>
        <w:t>forwarding operation</w:t>
      </w:r>
      <w:r w:rsidR="006533C2">
        <w:rPr>
          <w:rFonts w:ascii="Calibri" w:hAnsi="Calibri"/>
        </w:rPr>
        <w:t xml:space="preserve"> (which may be the same or different resources/beams)</w:t>
      </w:r>
      <w:r w:rsidRPr="00A07EAB">
        <w:rPr>
          <w:rFonts w:ascii="Calibri" w:hAnsi="Calibri"/>
        </w:rPr>
        <w:t>.</w:t>
      </w:r>
      <w:r w:rsidR="00A81AFF">
        <w:rPr>
          <w:rFonts w:ascii="Calibri" w:hAnsi="Calibri"/>
        </w:rPr>
        <w:t xml:space="preserve"> This configuration should include at the least the following side control information:</w:t>
      </w:r>
    </w:p>
    <w:p w14:paraId="2C923420" w14:textId="77777777" w:rsidR="00A81AFF" w:rsidRPr="00A81AFF" w:rsidRDefault="00A81AFF" w:rsidP="00A81AF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A81AFF">
        <w:rPr>
          <w:rFonts w:ascii="Calibri" w:eastAsia="Malgun Gothic" w:hAnsi="Calibri" w:cs="Batang"/>
          <w:lang w:val="en-GB" w:eastAsia="ko-KR"/>
        </w:rPr>
        <w:t>Beamforming information</w:t>
      </w:r>
    </w:p>
    <w:p w14:paraId="496E14D3" w14:textId="77777777" w:rsidR="00A81AFF" w:rsidRPr="00A81AFF" w:rsidRDefault="00A81AFF" w:rsidP="00A81AF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A81AFF">
        <w:rPr>
          <w:rFonts w:ascii="Calibri" w:eastAsia="Malgun Gothic" w:hAnsi="Calibri" w:cs="Batang"/>
          <w:lang w:val="en-GB" w:eastAsia="ko-KR"/>
        </w:rPr>
        <w:t>Information on UL-DL TDD configuration</w:t>
      </w:r>
    </w:p>
    <w:p w14:paraId="39455D27" w14:textId="77777777" w:rsidR="00A81AFF" w:rsidRPr="00A81AFF" w:rsidRDefault="00A81AFF" w:rsidP="00A81AFF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  <w:r w:rsidRPr="00A81AFF">
        <w:rPr>
          <w:rFonts w:ascii="Calibri" w:eastAsia="Malgun Gothic" w:hAnsi="Calibri" w:cs="Batang"/>
          <w:lang w:val="en-GB" w:eastAsia="ko-KR"/>
        </w:rPr>
        <w:t>ON-OFF information for efficient interference management and improved energy efficiency</w:t>
      </w:r>
    </w:p>
    <w:p w14:paraId="1F16904A" w14:textId="7961854D" w:rsidR="00861EBA" w:rsidRDefault="00861EBA" w:rsidP="00A81AFF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1FD3468F" w14:textId="1F8FEB00" w:rsidR="006533C2" w:rsidRPr="006533C2" w:rsidRDefault="000361A5" w:rsidP="006533C2">
      <w:pPr>
        <w:rPr>
          <w:rFonts w:ascii="Calibri" w:eastAsia="Malgun Gothic" w:hAnsi="Calibri" w:cs="Batang"/>
          <w:lang w:val="en-GB" w:eastAsia="ko-KR"/>
        </w:rPr>
      </w:pPr>
      <w:bookmarkStart w:id="6" w:name="OLE_LINK76"/>
      <w:r>
        <w:rPr>
          <w:rFonts w:ascii="Calibri" w:eastAsia="Malgun Gothic" w:hAnsi="Calibri" w:cs="Batang"/>
          <w:lang w:val="en-GB" w:eastAsia="ko-KR"/>
        </w:rPr>
        <w:t>In case of beamforming information</w:t>
      </w:r>
      <w:r w:rsidR="00BB0B45">
        <w:rPr>
          <w:rFonts w:ascii="Calibri" w:eastAsia="Malgun Gothic" w:hAnsi="Calibri" w:cs="Batang"/>
          <w:lang w:val="en-GB" w:eastAsia="ko-KR"/>
        </w:rPr>
        <w:t>,</w:t>
      </w:r>
      <w:r w:rsidR="008566DA">
        <w:rPr>
          <w:rFonts w:ascii="Calibri" w:eastAsia="Malgun Gothic" w:hAnsi="Calibri" w:cs="Batang"/>
          <w:lang w:val="en-GB" w:eastAsia="ko-KR"/>
        </w:rPr>
        <w:t xml:space="preserve"> </w:t>
      </w:r>
      <w:r w:rsidR="001D09F6">
        <w:rPr>
          <w:rFonts w:ascii="Calibri" w:eastAsia="Malgun Gothic" w:hAnsi="Calibri" w:cs="Batang"/>
          <w:lang w:val="en-GB" w:eastAsia="ko-KR"/>
        </w:rPr>
        <w:t>two</w:t>
      </w:r>
      <w:r w:rsidR="008566DA">
        <w:rPr>
          <w:rFonts w:ascii="Calibri" w:eastAsia="Malgun Gothic" w:hAnsi="Calibri" w:cs="Batang"/>
          <w:lang w:val="en-GB" w:eastAsia="ko-KR"/>
        </w:rPr>
        <w:t xml:space="preserve"> solutions for NCR beamforming configurations have been captured in the study item phase for d</w:t>
      </w:r>
      <w:r w:rsidR="008566DA" w:rsidRPr="004C7E99">
        <w:rPr>
          <w:rFonts w:ascii="Calibri" w:eastAsia="Malgun Gothic" w:hAnsi="Calibri" w:cs="Batang"/>
          <w:lang w:val="en-GB" w:eastAsia="ko-KR"/>
        </w:rPr>
        <w:t>own-selection</w:t>
      </w:r>
      <w:r w:rsidR="00BB0B45">
        <w:rPr>
          <w:rFonts w:ascii="Calibri" w:eastAsia="Malgun Gothic" w:hAnsi="Calibri" w:cs="Batang"/>
          <w:lang w:val="en-GB" w:eastAsia="ko-KR"/>
        </w:rPr>
        <w:t>:</w:t>
      </w:r>
    </w:p>
    <w:p w14:paraId="278A117E" w14:textId="33D57AC2" w:rsidR="00D2587F" w:rsidRPr="00BB0B45" w:rsidRDefault="00D2587F" w:rsidP="002416BD">
      <w:pPr>
        <w:ind w:left="284"/>
        <w:rPr>
          <w:rFonts w:ascii="Times New Roman" w:eastAsia="DengXian" w:hAnsi="Times New Roman"/>
          <w:lang w:val="en-GB"/>
        </w:rPr>
      </w:pPr>
      <w:r w:rsidRPr="00BB0B45">
        <w:rPr>
          <w:rFonts w:ascii="Times New Roman" w:eastAsia="DengXian" w:hAnsi="Times New Roman"/>
          <w:lang w:val="en-GB"/>
        </w:rPr>
        <w:t>As a baseline, the same TCI states as C-link are assumed for beams at NCR-</w:t>
      </w:r>
      <w:proofErr w:type="spellStart"/>
      <w:r w:rsidRPr="00BB0B45">
        <w:rPr>
          <w:rFonts w:ascii="Times New Roman" w:eastAsia="DengXian" w:hAnsi="Times New Roman"/>
          <w:lang w:val="en-GB"/>
        </w:rPr>
        <w:t>Fwd</w:t>
      </w:r>
      <w:proofErr w:type="spellEnd"/>
      <w:r w:rsidRPr="00BB0B45">
        <w:rPr>
          <w:rFonts w:ascii="Times New Roman" w:eastAsia="DengXian" w:hAnsi="Times New Roman"/>
          <w:lang w:val="en-GB"/>
        </w:rPr>
        <w:t xml:space="preserve"> for backhaul link if the NCR-MT's carrier(s) is operating within the frequency band forwarded by the NCR-Fwd. </w:t>
      </w:r>
      <w:bookmarkStart w:id="7" w:name="OLE_LINK91"/>
      <w:r w:rsidRPr="00BB0B45">
        <w:rPr>
          <w:rFonts w:ascii="Times New Roman" w:eastAsia="DengXian" w:hAnsi="Times New Roman"/>
          <w:lang w:val="en-GB"/>
        </w:rPr>
        <w:t>In case that the adaptive beams are adopted for C-link and backhaul link, the indication and determination of beams of backhaul link can be achieved by:</w:t>
      </w:r>
    </w:p>
    <w:p w14:paraId="76CDE144" w14:textId="77777777" w:rsidR="00D2587F" w:rsidRPr="00C015CE" w:rsidRDefault="00D2587F" w:rsidP="002416BD">
      <w:pPr>
        <w:pStyle w:val="B1"/>
        <w:ind w:left="852"/>
        <w:rPr>
          <w:rFonts w:ascii="PMingLiU" w:eastAsia="PMingLiU" w:hAnsi="PMingLiU" w:cs="Calibri"/>
          <w:sz w:val="22"/>
        </w:rPr>
      </w:pPr>
      <w:r>
        <w:t>-</w:t>
      </w:r>
      <w:r>
        <w:tab/>
        <w:t xml:space="preserve">Option 1: The beam of backhaul link is indicated by a new </w:t>
      </w:r>
      <w:proofErr w:type="spellStart"/>
      <w:r>
        <w:t>signaling</w:t>
      </w:r>
      <w:proofErr w:type="spellEnd"/>
      <w:r>
        <w:t xml:space="preserve">. </w:t>
      </w:r>
      <w:r w:rsidRPr="00C015CE">
        <w:t xml:space="preserve">The new </w:t>
      </w:r>
      <w:proofErr w:type="spellStart"/>
      <w:r w:rsidRPr="00C015CE">
        <w:t>signaling</w:t>
      </w:r>
      <w:proofErr w:type="spellEnd"/>
      <w:r w:rsidRPr="00C015CE">
        <w:t xml:space="preserve"> is dynamic </w:t>
      </w:r>
      <w:proofErr w:type="spellStart"/>
      <w:r w:rsidRPr="00C015CE">
        <w:t>signaling</w:t>
      </w:r>
      <w:proofErr w:type="spellEnd"/>
      <w:r w:rsidRPr="00C015CE">
        <w:t xml:space="preserve"> and/or semi-static </w:t>
      </w:r>
      <w:proofErr w:type="spellStart"/>
      <w:r w:rsidRPr="00C015CE">
        <w:t>signaling</w:t>
      </w:r>
      <w:proofErr w:type="spellEnd"/>
      <w:r w:rsidRPr="00C015CE">
        <w:t xml:space="preserve"> (e.g., RRC </w:t>
      </w:r>
      <w:proofErr w:type="spellStart"/>
      <w:r w:rsidRPr="00C015CE">
        <w:t>signaling</w:t>
      </w:r>
      <w:proofErr w:type="spellEnd"/>
      <w:r w:rsidRPr="00C015CE">
        <w:t>/ MAC CE) indicating a beam(s) from the set of beams of the C-link</w:t>
      </w:r>
      <w:r>
        <w:t xml:space="preserve">. </w:t>
      </w:r>
      <w:bookmarkEnd w:id="7"/>
      <w:r w:rsidRPr="00C015CE">
        <w:t xml:space="preserve">This does not imply that the beam of backhaul link is always indicated by the new </w:t>
      </w:r>
      <w:proofErr w:type="spellStart"/>
      <w:r w:rsidRPr="00C015CE">
        <w:t>signaling</w:t>
      </w:r>
      <w:proofErr w:type="spellEnd"/>
    </w:p>
    <w:p w14:paraId="5347ED61" w14:textId="77777777" w:rsidR="00D2587F" w:rsidRDefault="00D2587F" w:rsidP="002416BD">
      <w:pPr>
        <w:pStyle w:val="B1"/>
        <w:ind w:left="852"/>
        <w:rPr>
          <w:rFonts w:eastAsia="PMingLiU"/>
          <w:sz w:val="22"/>
        </w:rPr>
      </w:pPr>
      <w:r>
        <w:t>-</w:t>
      </w:r>
      <w:r>
        <w:tab/>
      </w:r>
      <w:r w:rsidRPr="00AD1542">
        <w:t>Option 2: The beam of backhaul link is determined by a pre-defined rul</w:t>
      </w:r>
      <w:r w:rsidRPr="005C0967">
        <w:rPr>
          <w:lang w:eastAsia="zh-CN"/>
        </w:rPr>
        <w:t>e, e.g., i</w:t>
      </w:r>
      <w:r w:rsidRPr="00AD1542">
        <w:t>n slots/symbols with simultaneous DL receptions / UL transmissions in both C-link and backhaul link, the beam of backhaul link is the same as the beam of C-link. Otherwise, the beam of backhaul link follows one of the beams of the C link.</w:t>
      </w:r>
    </w:p>
    <w:bookmarkEnd w:id="6"/>
    <w:p w14:paraId="3D62C772" w14:textId="77777777" w:rsidR="006533C2" w:rsidRDefault="006533C2" w:rsidP="00BB0B45">
      <w:pPr>
        <w:rPr>
          <w:rFonts w:ascii="Calibri" w:eastAsia="Malgun Gothic" w:hAnsi="Calibri" w:cs="Batang"/>
          <w:lang w:val="en-GB" w:eastAsia="ko-KR"/>
        </w:rPr>
      </w:pPr>
    </w:p>
    <w:p w14:paraId="2D43D602" w14:textId="0746ACE0" w:rsidR="00D2587F" w:rsidRDefault="00BB0B45" w:rsidP="00BB0B4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Option 1 in Section 6.1 of 38.867 [2]</w:t>
      </w:r>
      <w:r w:rsidRPr="00762AE5">
        <w:rPr>
          <w:rFonts w:ascii="Calibri" w:eastAsia="Malgun Gothic" w:hAnsi="Calibri" w:cs="Batang"/>
          <w:lang w:val="en-GB" w:eastAsia="ko-KR"/>
        </w:rPr>
        <w:t xml:space="preserve">, </w:t>
      </w:r>
      <w:r>
        <w:rPr>
          <w:rFonts w:ascii="Calibri" w:eastAsia="Malgun Gothic" w:hAnsi="Calibri" w:cs="Batang"/>
          <w:lang w:val="en-GB" w:eastAsia="ko-KR"/>
        </w:rPr>
        <w:t xml:space="preserve">is the most attractive solution in our view since it is </w:t>
      </w:r>
      <w:proofErr w:type="gramStart"/>
      <w:r w:rsidRPr="00762AE5">
        <w:rPr>
          <w:rFonts w:ascii="Calibri" w:eastAsia="Malgun Gothic" w:hAnsi="Calibri" w:cs="Batang"/>
          <w:lang w:val="en-GB" w:eastAsia="ko-KR"/>
        </w:rPr>
        <w:t>similar to</w:t>
      </w:r>
      <w:proofErr w:type="gramEnd"/>
      <w:r w:rsidRPr="00762AE5">
        <w:rPr>
          <w:rFonts w:ascii="Calibri" w:eastAsia="Malgun Gothic" w:hAnsi="Calibri" w:cs="Batang"/>
          <w:lang w:val="en-GB" w:eastAsia="ko-KR"/>
        </w:rPr>
        <w:t xml:space="preserve"> the handling of</w:t>
      </w:r>
      <w:r>
        <w:rPr>
          <w:rFonts w:ascii="Calibri" w:eastAsia="Malgun Gothic" w:hAnsi="Calibri" w:cs="Batang"/>
          <w:lang w:val="en-GB" w:eastAsia="ko-KR"/>
        </w:rPr>
        <w:t xml:space="preserve"> the</w:t>
      </w:r>
      <w:r w:rsidRPr="00762AE5">
        <w:rPr>
          <w:rFonts w:ascii="Calibri" w:eastAsia="Malgun Gothic" w:hAnsi="Calibri" w:cs="Batang"/>
          <w:lang w:val="en-GB" w:eastAsia="ko-KR"/>
        </w:rPr>
        <w:t xml:space="preserve"> IAB-MT</w:t>
      </w:r>
      <w:r>
        <w:rPr>
          <w:rFonts w:ascii="Calibri" w:eastAsia="Malgun Gothic" w:hAnsi="Calibri" w:cs="Batang"/>
          <w:lang w:val="en-GB" w:eastAsia="ko-KR"/>
        </w:rPr>
        <w:t xml:space="preserve"> where sets of beams can be semi-statically indicated for the backhaul link from the parent node via MAC-CE signalling.</w:t>
      </w:r>
    </w:p>
    <w:p w14:paraId="4CE223D8" w14:textId="5E6C7666" w:rsidR="000361A5" w:rsidRPr="00513BBD" w:rsidRDefault="000361A5" w:rsidP="00BB0B45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8" w:name="OLE_LINK96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 w:rsidRPr="000361A5">
        <w:rPr>
          <w:rFonts w:ascii="Calibri" w:eastAsia="Malgun Gothic" w:hAnsi="Calibri" w:cs="Batang"/>
          <w:b/>
          <w:bCs/>
          <w:lang w:val="en-GB" w:eastAsia="ko-KR"/>
        </w:rPr>
        <w:t>In case that the adaptive beams are adopted for C-link and backhaul link, the indication and determination of beams of backhaul link can be achieved by semi-static signa</w:t>
      </w:r>
      <w:r w:rsidR="00513BBD">
        <w:rPr>
          <w:rFonts w:ascii="Calibri" w:eastAsia="Malgun Gothic" w:hAnsi="Calibri" w:cs="Batang"/>
          <w:b/>
          <w:bCs/>
          <w:lang w:val="en-GB" w:eastAsia="ko-KR"/>
        </w:rPr>
        <w:t>l</w:t>
      </w:r>
      <w:r w:rsidRPr="000361A5">
        <w:rPr>
          <w:rFonts w:ascii="Calibri" w:eastAsia="Malgun Gothic" w:hAnsi="Calibri" w:cs="Batang"/>
          <w:b/>
          <w:bCs/>
          <w:lang w:val="en-GB" w:eastAsia="ko-KR"/>
        </w:rPr>
        <w:t>ling (e.g., MAC CE) indicating a beam(s) from the set of beams of the C-link.</w:t>
      </w:r>
    </w:p>
    <w:p w14:paraId="59364B9B" w14:textId="77777777" w:rsidR="00BB0B45" w:rsidRDefault="00BB0B45" w:rsidP="0025565D">
      <w:pPr>
        <w:rPr>
          <w:rFonts w:ascii="Calibri" w:eastAsia="Malgun Gothic" w:hAnsi="Calibri" w:cs="Batang"/>
          <w:lang w:val="en-GB" w:eastAsia="ko-KR"/>
        </w:rPr>
      </w:pPr>
      <w:bookmarkStart w:id="9" w:name="OLE_LINK89"/>
      <w:bookmarkStart w:id="10" w:name="OLE_LINK92"/>
      <w:bookmarkEnd w:id="8"/>
    </w:p>
    <w:p w14:paraId="528159B0" w14:textId="7DAEE1B3" w:rsidR="006533C2" w:rsidRPr="006533C2" w:rsidRDefault="00BB0B45" w:rsidP="006533C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For</w:t>
      </w:r>
      <w:r w:rsidR="00513BBD">
        <w:rPr>
          <w:rFonts w:ascii="Calibri" w:eastAsia="Malgun Gothic" w:hAnsi="Calibri" w:cs="Batang"/>
          <w:lang w:val="en-GB" w:eastAsia="ko-KR"/>
        </w:rPr>
        <w:t xml:space="preserve"> </w:t>
      </w:r>
      <w:r w:rsidR="0025565D">
        <w:rPr>
          <w:rFonts w:ascii="Calibri" w:eastAsia="Malgun Gothic" w:hAnsi="Calibri" w:cs="Batang"/>
          <w:lang w:val="en-GB" w:eastAsia="ko-KR"/>
        </w:rPr>
        <w:t>NCR TDD configurations</w:t>
      </w:r>
      <w:r w:rsidR="00513BBD">
        <w:rPr>
          <w:rFonts w:ascii="Calibri" w:eastAsia="Malgun Gothic" w:hAnsi="Calibri" w:cs="Batang"/>
          <w:lang w:val="en-GB" w:eastAsia="ko-KR"/>
        </w:rPr>
        <w:t>, three solutions</w:t>
      </w:r>
      <w:r w:rsidR="0025565D">
        <w:rPr>
          <w:rFonts w:ascii="Calibri" w:eastAsia="Malgun Gothic" w:hAnsi="Calibri" w:cs="Batang"/>
          <w:lang w:val="en-GB" w:eastAsia="ko-KR"/>
        </w:rPr>
        <w:t xml:space="preserve"> have been captured in the study item phase for d</w:t>
      </w:r>
      <w:r w:rsidR="0025565D" w:rsidRPr="004C7E99">
        <w:rPr>
          <w:rFonts w:ascii="Calibri" w:eastAsia="Malgun Gothic" w:hAnsi="Calibri" w:cs="Batang"/>
          <w:lang w:val="en-GB" w:eastAsia="ko-KR"/>
        </w:rPr>
        <w:t>own-selection</w:t>
      </w:r>
      <w:r>
        <w:rPr>
          <w:rFonts w:ascii="Calibri" w:eastAsia="Malgun Gothic" w:hAnsi="Calibri" w:cs="Batang"/>
          <w:lang w:val="en-GB" w:eastAsia="ko-KR"/>
        </w:rPr>
        <w:t>:</w:t>
      </w:r>
      <w:bookmarkStart w:id="11" w:name="OLE_LINK75"/>
      <w:bookmarkEnd w:id="9"/>
    </w:p>
    <w:p w14:paraId="78CDB784" w14:textId="496C157E" w:rsidR="00861EBA" w:rsidRPr="00BB0B45" w:rsidRDefault="00861EBA" w:rsidP="001629BD">
      <w:pPr>
        <w:ind w:left="284"/>
        <w:rPr>
          <w:rFonts w:ascii="Times New Roman" w:eastAsia="DengXian" w:hAnsi="Times New Roman"/>
          <w:lang w:val="en-GB"/>
        </w:rPr>
      </w:pPr>
      <w:r w:rsidRPr="00BB0B45">
        <w:rPr>
          <w:rFonts w:ascii="Times New Roman" w:eastAsia="DengXian" w:hAnsi="Times New Roman"/>
          <w:lang w:val="en-GB"/>
        </w:rPr>
        <w:t>For the TDD UL/DL configuration of network controller repeater, at least semi-static TDD UL/DL configuration is needed for network-controlled repeater for links including C-link, backhaul link and access link</w:t>
      </w:r>
      <w:r w:rsidRPr="00BB0B45">
        <w:rPr>
          <w:rFonts w:ascii="Times New Roman" w:eastAsia="DengXian" w:hAnsi="Times New Roman" w:hint="eastAsia"/>
          <w:lang w:val="en-GB"/>
        </w:rPr>
        <w:t>.</w:t>
      </w:r>
      <w:r w:rsidRPr="00BB0B45">
        <w:rPr>
          <w:rFonts w:ascii="Times New Roman" w:eastAsia="DengXian" w:hAnsi="Times New Roman"/>
          <w:lang w:val="en-GB"/>
        </w:rPr>
        <w:t xml:space="preserve"> </w:t>
      </w:r>
      <w:bookmarkStart w:id="12" w:name="OLE_LINK87"/>
      <w:r w:rsidRPr="00BB0B45">
        <w:rPr>
          <w:rFonts w:ascii="Times New Roman" w:eastAsia="DengXian" w:hAnsi="Times New Roman"/>
          <w:lang w:val="en-GB"/>
        </w:rPr>
        <w:t>On the flexible symbols based on the semi-static configuration (e.g., TDD-UL-DL-</w:t>
      </w:r>
      <w:proofErr w:type="spellStart"/>
      <w:r w:rsidRPr="00BB0B45">
        <w:rPr>
          <w:rFonts w:ascii="Times New Roman" w:eastAsia="DengXian" w:hAnsi="Times New Roman"/>
          <w:lang w:val="en-GB"/>
        </w:rPr>
        <w:t>ConfigCommon</w:t>
      </w:r>
      <w:proofErr w:type="spellEnd"/>
      <w:r w:rsidRPr="00BB0B45">
        <w:rPr>
          <w:rFonts w:ascii="Times New Roman" w:eastAsia="DengXian" w:hAnsi="Times New Roman"/>
          <w:lang w:val="en-GB"/>
        </w:rPr>
        <w:t>, TDD-UL-DL-</w:t>
      </w:r>
      <w:proofErr w:type="spellStart"/>
      <w:r w:rsidRPr="00BB0B45">
        <w:rPr>
          <w:rFonts w:ascii="Times New Roman" w:eastAsia="DengXian" w:hAnsi="Times New Roman"/>
          <w:lang w:val="en-GB"/>
        </w:rPr>
        <w:t>ConfigDedicated</w:t>
      </w:r>
      <w:proofErr w:type="spellEnd"/>
      <w:r w:rsidRPr="00BB0B45">
        <w:rPr>
          <w:rFonts w:ascii="Times New Roman" w:eastAsia="DengXian" w:hAnsi="Times New Roman"/>
          <w:lang w:val="en-GB"/>
        </w:rPr>
        <w:t>), the following behaviours of the NCR-</w:t>
      </w:r>
      <w:proofErr w:type="spellStart"/>
      <w:r w:rsidRPr="00BB0B45">
        <w:rPr>
          <w:rFonts w:ascii="Times New Roman" w:eastAsia="DengXian" w:hAnsi="Times New Roman"/>
          <w:lang w:val="en-GB"/>
        </w:rPr>
        <w:t>Fwd</w:t>
      </w:r>
      <w:proofErr w:type="spellEnd"/>
      <w:r w:rsidRPr="00BB0B45">
        <w:rPr>
          <w:rFonts w:ascii="Times New Roman" w:eastAsia="DengXian" w:hAnsi="Times New Roman"/>
          <w:lang w:val="en-GB"/>
        </w:rPr>
        <w:t xml:space="preserve"> are considered:</w:t>
      </w:r>
    </w:p>
    <w:p w14:paraId="070643AF" w14:textId="77777777" w:rsidR="00861EBA" w:rsidRPr="00D80745" w:rsidRDefault="00861EBA" w:rsidP="001629BD">
      <w:pPr>
        <w:pStyle w:val="B1"/>
        <w:ind w:left="852"/>
      </w:pPr>
      <w:r>
        <w:t>-</w:t>
      </w:r>
      <w:r>
        <w:tab/>
      </w:r>
      <w:r w:rsidRPr="00D80745">
        <w:t>Option 1:</w:t>
      </w:r>
      <w:r>
        <w:t xml:space="preserve"> </w:t>
      </w:r>
      <w:r w:rsidRPr="00D80745">
        <w:t>The NCR-</w:t>
      </w:r>
      <w:proofErr w:type="spellStart"/>
      <w:r w:rsidRPr="00D80745">
        <w:t>Fwd</w:t>
      </w:r>
      <w:proofErr w:type="spellEnd"/>
      <w:r w:rsidRPr="00D80745">
        <w:t xml:space="preserve"> is expected to be OFF or not forwarding over these symbols</w:t>
      </w:r>
    </w:p>
    <w:p w14:paraId="165F4673" w14:textId="77777777" w:rsidR="00861EBA" w:rsidRPr="00D80745" w:rsidRDefault="00861EBA" w:rsidP="001629BD">
      <w:pPr>
        <w:pStyle w:val="B1"/>
        <w:ind w:left="852"/>
      </w:pPr>
      <w:r>
        <w:t>-</w:t>
      </w:r>
      <w:r>
        <w:tab/>
      </w:r>
      <w:r w:rsidRPr="00D80745">
        <w:t>Option 2:</w:t>
      </w:r>
      <w:r>
        <w:t xml:space="preserve"> </w:t>
      </w:r>
      <w:r w:rsidRPr="00D80745">
        <w:t>The NCR-</w:t>
      </w:r>
      <w:proofErr w:type="spellStart"/>
      <w:r w:rsidRPr="00D80745">
        <w:t>Fwd</w:t>
      </w:r>
      <w:proofErr w:type="spellEnd"/>
      <w:r w:rsidRPr="00D80745">
        <w:t xml:space="preserve"> will follow the TDD operation determined by NCR-MT, i.e., determined by NCR-MT based on the received SFI indication or scheduling from </w:t>
      </w:r>
      <w:proofErr w:type="spellStart"/>
      <w:r w:rsidRPr="00D80745">
        <w:t>gNB</w:t>
      </w:r>
      <w:proofErr w:type="spellEnd"/>
      <w:r w:rsidRPr="00D80745">
        <w:t>. It means that no new side control signalling is needed.</w:t>
      </w:r>
    </w:p>
    <w:bookmarkEnd w:id="12"/>
    <w:p w14:paraId="601E7441" w14:textId="77777777" w:rsidR="00861EBA" w:rsidRPr="00D80745" w:rsidRDefault="00861EBA" w:rsidP="001629BD">
      <w:pPr>
        <w:pStyle w:val="B1"/>
        <w:ind w:left="852"/>
      </w:pPr>
      <w:r>
        <w:t>-</w:t>
      </w:r>
      <w:r>
        <w:tab/>
      </w:r>
      <w:r w:rsidRPr="00D80745">
        <w:t>Option 3: The NCR-</w:t>
      </w:r>
      <w:proofErr w:type="spellStart"/>
      <w:r w:rsidRPr="00D80745">
        <w:t>Fwd</w:t>
      </w:r>
      <w:proofErr w:type="spellEnd"/>
      <w:r w:rsidRPr="00D80745">
        <w:t xml:space="preserve"> will follow a new dynamic side control signalling of DL/UL forwarding over these symbols to NCR-</w:t>
      </w:r>
      <w:proofErr w:type="spellStart"/>
      <w:r w:rsidRPr="00D80745">
        <w:t>Fwd</w:t>
      </w:r>
      <w:proofErr w:type="spellEnd"/>
    </w:p>
    <w:bookmarkEnd w:id="11"/>
    <w:p w14:paraId="7C2F0B67" w14:textId="77777777" w:rsidR="006533C2" w:rsidRDefault="006533C2" w:rsidP="00BB0B45">
      <w:pPr>
        <w:rPr>
          <w:rFonts w:ascii="Calibri" w:eastAsia="Malgun Gothic" w:hAnsi="Calibri" w:cs="Batang"/>
          <w:lang w:val="en-GB" w:eastAsia="ko-KR"/>
        </w:rPr>
      </w:pPr>
    </w:p>
    <w:p w14:paraId="6422BCF7" w14:textId="475AA9C0" w:rsidR="00BB0B45" w:rsidRDefault="00BB0B45" w:rsidP="00BB0B4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Option 2 in Section 6.3 of 38.867 [2]</w:t>
      </w:r>
      <w:r w:rsidRPr="00762AE5">
        <w:rPr>
          <w:rFonts w:ascii="Calibri" w:eastAsia="Malgun Gothic" w:hAnsi="Calibri" w:cs="Batang"/>
          <w:lang w:val="en-GB" w:eastAsia="ko-KR"/>
        </w:rPr>
        <w:t xml:space="preserve">, </w:t>
      </w:r>
      <w:r>
        <w:rPr>
          <w:rFonts w:ascii="Calibri" w:eastAsia="Malgun Gothic" w:hAnsi="Calibri" w:cs="Batang"/>
          <w:lang w:val="en-GB" w:eastAsia="ko-KR"/>
        </w:rPr>
        <w:t xml:space="preserve">is the most attractive solution in our view since it is </w:t>
      </w:r>
      <w:proofErr w:type="gramStart"/>
      <w:r w:rsidRPr="00762AE5">
        <w:rPr>
          <w:rFonts w:ascii="Calibri" w:eastAsia="Malgun Gothic" w:hAnsi="Calibri" w:cs="Batang"/>
          <w:lang w:val="en-GB" w:eastAsia="ko-KR"/>
        </w:rPr>
        <w:t>similar to</w:t>
      </w:r>
      <w:proofErr w:type="gramEnd"/>
      <w:r w:rsidRPr="00762AE5">
        <w:rPr>
          <w:rFonts w:ascii="Calibri" w:eastAsia="Malgun Gothic" w:hAnsi="Calibri" w:cs="Batang"/>
          <w:lang w:val="en-GB" w:eastAsia="ko-KR"/>
        </w:rPr>
        <w:t xml:space="preserve"> the handling of</w:t>
      </w:r>
      <w:r>
        <w:rPr>
          <w:rFonts w:ascii="Calibri" w:eastAsia="Malgun Gothic" w:hAnsi="Calibri" w:cs="Batang"/>
          <w:lang w:val="en-GB" w:eastAsia="ko-KR"/>
        </w:rPr>
        <w:t xml:space="preserve"> the</w:t>
      </w:r>
      <w:r w:rsidRPr="00762AE5">
        <w:rPr>
          <w:rFonts w:ascii="Calibri" w:eastAsia="Malgun Gothic" w:hAnsi="Calibri" w:cs="Batang"/>
          <w:lang w:val="en-GB" w:eastAsia="ko-KR"/>
        </w:rPr>
        <w:t xml:space="preserve"> IAB-MT</w:t>
      </w:r>
      <w:r>
        <w:rPr>
          <w:rFonts w:ascii="Calibri" w:eastAsia="Malgun Gothic" w:hAnsi="Calibri" w:cs="Batang"/>
          <w:lang w:val="en-GB" w:eastAsia="ko-KR"/>
        </w:rPr>
        <w:t xml:space="preserve"> and access UEs without requiring new signalling to be defined.</w:t>
      </w:r>
    </w:p>
    <w:p w14:paraId="7B82E6F0" w14:textId="5185009F" w:rsidR="00861EBA" w:rsidRDefault="00861EBA" w:rsidP="00A81AFF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77BE8E9C" w14:textId="35B25A74" w:rsidR="001629BD" w:rsidRPr="001629BD" w:rsidRDefault="001629BD" w:rsidP="00EC030D">
      <w:pPr>
        <w:rPr>
          <w:rFonts w:ascii="Calibri" w:eastAsia="Malgun Gothic" w:hAnsi="Calibri" w:cs="Batang"/>
          <w:b/>
          <w:bCs/>
          <w:lang w:val="en-GB" w:eastAsia="ko-KR"/>
        </w:rPr>
      </w:pPr>
      <w:bookmarkStart w:id="13" w:name="OLE_LINK90"/>
      <w:bookmarkStart w:id="14" w:name="OLE_LINK95"/>
      <w:r w:rsidRPr="001629BD">
        <w:rPr>
          <w:rFonts w:ascii="Calibri" w:eastAsia="Malgun Gothic" w:hAnsi="Calibri" w:cs="Batang"/>
          <w:b/>
          <w:bCs/>
          <w:lang w:val="en-GB" w:eastAsia="ko-KR"/>
        </w:rPr>
        <w:t>Proposal 2: On the flexible symbols based on the semi-static configuration (e.g., TDD-UL-DL-</w:t>
      </w:r>
      <w:proofErr w:type="spellStart"/>
      <w:r w:rsidRPr="001629BD">
        <w:rPr>
          <w:rFonts w:ascii="Calibri" w:eastAsia="Malgun Gothic" w:hAnsi="Calibri" w:cs="Batang"/>
          <w:b/>
          <w:bCs/>
          <w:lang w:val="en-GB" w:eastAsia="ko-KR"/>
        </w:rPr>
        <w:t>ConfigCommon</w:t>
      </w:r>
      <w:proofErr w:type="spellEnd"/>
      <w:r w:rsidRPr="001629BD">
        <w:rPr>
          <w:rFonts w:ascii="Calibri" w:eastAsia="Malgun Gothic" w:hAnsi="Calibri" w:cs="Batang"/>
          <w:b/>
          <w:bCs/>
          <w:lang w:val="en-GB" w:eastAsia="ko-KR"/>
        </w:rPr>
        <w:t>, TDD-UL-DL-</w:t>
      </w:r>
      <w:proofErr w:type="spellStart"/>
      <w:r w:rsidRPr="001629BD">
        <w:rPr>
          <w:rFonts w:ascii="Calibri" w:eastAsia="Malgun Gothic" w:hAnsi="Calibri" w:cs="Batang"/>
          <w:b/>
          <w:bCs/>
          <w:lang w:val="en-GB" w:eastAsia="ko-KR"/>
        </w:rPr>
        <w:t>ConfigDedicated</w:t>
      </w:r>
      <w:proofErr w:type="spellEnd"/>
      <w:r w:rsidRPr="001629BD">
        <w:rPr>
          <w:rFonts w:ascii="Calibri" w:eastAsia="Malgun Gothic" w:hAnsi="Calibri" w:cs="Batang"/>
          <w:b/>
          <w:bCs/>
          <w:lang w:val="en-GB" w:eastAsia="ko-KR"/>
        </w:rPr>
        <w:t>), the following behaviour of the NCR-</w:t>
      </w:r>
      <w:proofErr w:type="spellStart"/>
      <w:r w:rsidRPr="001629BD">
        <w:rPr>
          <w:rFonts w:ascii="Calibri" w:eastAsia="Malgun Gothic" w:hAnsi="Calibri" w:cs="Batang"/>
          <w:b/>
          <w:bCs/>
          <w:lang w:val="en-GB" w:eastAsia="ko-KR"/>
        </w:rPr>
        <w:t>Fwd</w:t>
      </w:r>
      <w:proofErr w:type="spellEnd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 is supported:</w:t>
      </w:r>
    </w:p>
    <w:p w14:paraId="23C9B159" w14:textId="05AC92E4" w:rsidR="006533C2" w:rsidRPr="006533C2" w:rsidRDefault="001629BD" w:rsidP="006533C2">
      <w:pPr>
        <w:pStyle w:val="B1"/>
        <w:ind w:left="284" w:firstLine="0"/>
        <w:rPr>
          <w:rFonts w:ascii="Calibri" w:eastAsia="Malgun Gothic" w:hAnsi="Calibri" w:cs="Batang"/>
          <w:b/>
          <w:bCs/>
          <w:lang w:eastAsia="ko-KR"/>
        </w:rPr>
      </w:pPr>
      <w:r w:rsidRPr="001629BD">
        <w:rPr>
          <w:rFonts w:ascii="Calibri" w:eastAsia="Malgun Gothic" w:hAnsi="Calibri" w:cs="Batang"/>
          <w:b/>
          <w:bCs/>
          <w:lang w:eastAsia="ko-KR"/>
        </w:rPr>
        <w:t>Option 2: The NCR-</w:t>
      </w:r>
      <w:proofErr w:type="spellStart"/>
      <w:r w:rsidRPr="001629BD">
        <w:rPr>
          <w:rFonts w:ascii="Calibri" w:eastAsia="Malgun Gothic" w:hAnsi="Calibri" w:cs="Batang"/>
          <w:b/>
          <w:bCs/>
          <w:lang w:eastAsia="ko-KR"/>
        </w:rPr>
        <w:t>Fwd</w:t>
      </w:r>
      <w:proofErr w:type="spellEnd"/>
      <w:r w:rsidRPr="001629BD">
        <w:rPr>
          <w:rFonts w:ascii="Calibri" w:eastAsia="Malgun Gothic" w:hAnsi="Calibri" w:cs="Batang"/>
          <w:b/>
          <w:bCs/>
          <w:lang w:eastAsia="ko-KR"/>
        </w:rPr>
        <w:t xml:space="preserve"> will follow the TDD operation determined by NCR-MT, i.e., determined by NCR-MT based on the received SFI indication or scheduling from </w:t>
      </w:r>
      <w:proofErr w:type="spellStart"/>
      <w:r w:rsidRPr="001629BD">
        <w:rPr>
          <w:rFonts w:ascii="Calibri" w:eastAsia="Malgun Gothic" w:hAnsi="Calibri" w:cs="Batang"/>
          <w:b/>
          <w:bCs/>
          <w:lang w:eastAsia="ko-KR"/>
        </w:rPr>
        <w:t>gNB</w:t>
      </w:r>
      <w:proofErr w:type="spellEnd"/>
      <w:r w:rsidRPr="001629BD">
        <w:rPr>
          <w:rFonts w:ascii="Calibri" w:eastAsia="Malgun Gothic" w:hAnsi="Calibri" w:cs="Batang"/>
          <w:b/>
          <w:bCs/>
          <w:lang w:eastAsia="ko-KR"/>
        </w:rPr>
        <w:t>. It means that no new side control signalling is needed</w:t>
      </w:r>
      <w:bookmarkEnd w:id="10"/>
      <w:bookmarkEnd w:id="13"/>
    </w:p>
    <w:bookmarkEnd w:id="14"/>
    <w:p w14:paraId="633BE8D7" w14:textId="257781FF" w:rsidR="00EC030D" w:rsidRDefault="00EC030D" w:rsidP="006533C2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lastRenderedPageBreak/>
        <w:t xml:space="preserve">In case of </w:t>
      </w:r>
      <w:r w:rsidR="00BB0B45">
        <w:rPr>
          <w:rFonts w:ascii="Calibri" w:eastAsia="Malgun Gothic" w:hAnsi="Calibri" w:cs="Batang"/>
          <w:lang w:val="en-GB" w:eastAsia="ko-KR"/>
        </w:rPr>
        <w:t>ON-OFF indications</w:t>
      </w:r>
      <w:r>
        <w:rPr>
          <w:rFonts w:ascii="Calibri" w:eastAsia="Malgun Gothic" w:hAnsi="Calibri" w:cs="Batang"/>
          <w:lang w:val="en-GB" w:eastAsia="ko-KR"/>
        </w:rPr>
        <w:t xml:space="preserve">, </w:t>
      </w:r>
      <w:r w:rsidR="00BB0B45">
        <w:rPr>
          <w:rFonts w:ascii="Calibri" w:eastAsia="Malgun Gothic" w:hAnsi="Calibri" w:cs="Batang"/>
          <w:lang w:val="en-GB" w:eastAsia="ko-KR"/>
        </w:rPr>
        <w:t>the following</w:t>
      </w:r>
      <w:r>
        <w:rPr>
          <w:rFonts w:ascii="Calibri" w:eastAsia="Malgun Gothic" w:hAnsi="Calibri" w:cs="Batang"/>
          <w:lang w:val="en-GB" w:eastAsia="ko-KR"/>
        </w:rPr>
        <w:t xml:space="preserve"> solutions have been captured in the study item phase for d</w:t>
      </w:r>
      <w:r w:rsidRPr="004C7E99">
        <w:rPr>
          <w:rFonts w:ascii="Calibri" w:eastAsia="Malgun Gothic" w:hAnsi="Calibri" w:cs="Batang"/>
          <w:lang w:val="en-GB" w:eastAsia="ko-KR"/>
        </w:rPr>
        <w:t>own-selection</w:t>
      </w:r>
      <w:r w:rsidR="006533C2">
        <w:rPr>
          <w:rFonts w:ascii="Calibri" w:eastAsia="Malgun Gothic" w:hAnsi="Calibri" w:cs="Batang"/>
          <w:lang w:val="en-GB" w:eastAsia="ko-KR"/>
        </w:rPr>
        <w:t>:</w:t>
      </w:r>
    </w:p>
    <w:p w14:paraId="6F614C5A" w14:textId="5C25703A" w:rsidR="00BB0B45" w:rsidRDefault="00BB0B45" w:rsidP="006533C2">
      <w:pPr>
        <w:ind w:left="284"/>
        <w:rPr>
          <w:lang w:eastAsia="zh-CN"/>
        </w:rPr>
      </w:pPr>
      <w:bookmarkStart w:id="15" w:name="OLE_LINK74"/>
      <w:r>
        <w:rPr>
          <w:bCs/>
          <w:lang w:eastAsia="zh-CN"/>
        </w:rPr>
        <w:t xml:space="preserve">The following options can be considered </w:t>
      </w:r>
      <w:bookmarkStart w:id="16" w:name="OLE_LINK93"/>
      <w:r>
        <w:rPr>
          <w:bCs/>
          <w:lang w:eastAsia="zh-CN"/>
        </w:rPr>
        <w:t xml:space="preserve">to indicate the ON-OFF information from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 xml:space="preserve"> to NCR for controlling the </w:t>
      </w:r>
      <w:r w:rsidR="004079C3">
        <w:rPr>
          <w:bCs/>
          <w:lang w:eastAsia="zh-CN"/>
        </w:rPr>
        <w:t>behavior</w:t>
      </w:r>
      <w:r>
        <w:rPr>
          <w:bCs/>
          <w:lang w:eastAsia="zh-CN"/>
        </w:rPr>
        <w:t xml:space="preserve"> of NCR-</w:t>
      </w:r>
      <w:proofErr w:type="spellStart"/>
      <w:r>
        <w:rPr>
          <w:bCs/>
          <w:lang w:eastAsia="zh-CN"/>
        </w:rPr>
        <w:t>Fwd</w:t>
      </w:r>
      <w:proofErr w:type="spellEnd"/>
      <w:r>
        <w:rPr>
          <w:bCs/>
          <w:lang w:eastAsia="zh-CN"/>
        </w:rPr>
        <w:t>:</w:t>
      </w:r>
    </w:p>
    <w:p w14:paraId="02BB1395" w14:textId="77777777" w:rsidR="00BB0B45" w:rsidRDefault="00BB0B45" w:rsidP="006533C2">
      <w:pPr>
        <w:pStyle w:val="B1"/>
        <w:ind w:left="852"/>
      </w:pPr>
      <w:r>
        <w:t>-</w:t>
      </w:r>
      <w:r>
        <w:tab/>
        <w:t>Option 1: Explicit indication with ON-OFF state (e.g., via dynamic or semi-static signalling) or ON-OFF pattern (e.g., periodic</w:t>
      </w:r>
      <w:r>
        <w:rPr>
          <w:iCs/>
        </w:rPr>
        <w:t>/semi-static</w:t>
      </w:r>
      <w:r>
        <w:t xml:space="preserve"> ON-OFF pattern or new DRX-like pattern for ON-OFF)</w:t>
      </w:r>
    </w:p>
    <w:bookmarkEnd w:id="16"/>
    <w:p w14:paraId="5DEAEA68" w14:textId="77777777" w:rsidR="00BB0B45" w:rsidRDefault="00BB0B45" w:rsidP="006533C2">
      <w:pPr>
        <w:pStyle w:val="B1"/>
        <w:ind w:left="852"/>
      </w:pPr>
      <w:r>
        <w:t>-</w:t>
      </w:r>
      <w:r>
        <w:tab/>
        <w:t>Option 2: Implicit indication via the signalling for other side-control information (e.g., beam, DL/UL configuration, or PC information). It should be noticed that</w:t>
      </w:r>
      <w:r>
        <w:rPr>
          <w:iCs/>
        </w:rPr>
        <w:t xml:space="preserve"> this example does not imply that PC information is necessary or not.</w:t>
      </w:r>
    </w:p>
    <w:bookmarkEnd w:id="15"/>
    <w:p w14:paraId="632FAA17" w14:textId="3F073B9A" w:rsidR="00EC030D" w:rsidRDefault="00EC030D" w:rsidP="00EC030D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263A8A54" w14:textId="0E7EFC26" w:rsidR="00BB0B45" w:rsidRDefault="00BB0B45" w:rsidP="00BB0B45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 xml:space="preserve">Option </w:t>
      </w:r>
      <w:r w:rsidR="00170598">
        <w:rPr>
          <w:rFonts w:ascii="Calibri" w:eastAsia="Malgun Gothic" w:hAnsi="Calibri" w:cs="Batang"/>
          <w:lang w:val="en-GB" w:eastAsia="ko-KR"/>
        </w:rPr>
        <w:t>1</w:t>
      </w:r>
      <w:r>
        <w:rPr>
          <w:rFonts w:ascii="Calibri" w:eastAsia="Malgun Gothic" w:hAnsi="Calibri" w:cs="Batang"/>
          <w:lang w:val="en-GB" w:eastAsia="ko-KR"/>
        </w:rPr>
        <w:t xml:space="preserve"> in Section 6.</w:t>
      </w:r>
      <w:r w:rsidR="00170598">
        <w:rPr>
          <w:rFonts w:ascii="Calibri" w:eastAsia="Malgun Gothic" w:hAnsi="Calibri" w:cs="Batang"/>
          <w:lang w:val="en-GB" w:eastAsia="ko-KR"/>
        </w:rPr>
        <w:t>4</w:t>
      </w:r>
      <w:r>
        <w:rPr>
          <w:rFonts w:ascii="Calibri" w:eastAsia="Malgun Gothic" w:hAnsi="Calibri" w:cs="Batang"/>
          <w:lang w:val="en-GB" w:eastAsia="ko-KR"/>
        </w:rPr>
        <w:t xml:space="preserve"> of 38.867 [2]</w:t>
      </w:r>
      <w:r w:rsidRPr="00762AE5">
        <w:rPr>
          <w:rFonts w:ascii="Calibri" w:eastAsia="Malgun Gothic" w:hAnsi="Calibri" w:cs="Batang"/>
          <w:lang w:val="en-GB" w:eastAsia="ko-KR"/>
        </w:rPr>
        <w:t xml:space="preserve">, </w:t>
      </w:r>
      <w:r>
        <w:rPr>
          <w:rFonts w:ascii="Calibri" w:eastAsia="Malgun Gothic" w:hAnsi="Calibri" w:cs="Batang"/>
          <w:lang w:val="en-GB" w:eastAsia="ko-KR"/>
        </w:rPr>
        <w:t xml:space="preserve">is the most attractive solution in our view since it is </w:t>
      </w:r>
      <w:r w:rsidRPr="00762AE5">
        <w:rPr>
          <w:rFonts w:ascii="Calibri" w:eastAsia="Malgun Gothic" w:hAnsi="Calibri" w:cs="Batang"/>
          <w:lang w:val="en-GB" w:eastAsia="ko-KR"/>
        </w:rPr>
        <w:t>similar to the handling of</w:t>
      </w:r>
      <w:r>
        <w:rPr>
          <w:rFonts w:ascii="Calibri" w:eastAsia="Malgun Gothic" w:hAnsi="Calibri" w:cs="Batang"/>
          <w:lang w:val="en-GB" w:eastAsia="ko-KR"/>
        </w:rPr>
        <w:t xml:space="preserve"> the</w:t>
      </w:r>
      <w:r w:rsidRPr="00762AE5">
        <w:rPr>
          <w:rFonts w:ascii="Calibri" w:eastAsia="Malgun Gothic" w:hAnsi="Calibri" w:cs="Batang"/>
          <w:lang w:val="en-GB" w:eastAsia="ko-KR"/>
        </w:rPr>
        <w:t xml:space="preserve"> IAB-MT</w:t>
      </w:r>
      <w:r>
        <w:rPr>
          <w:rFonts w:ascii="Calibri" w:eastAsia="Malgun Gothic" w:hAnsi="Calibri" w:cs="Batang"/>
          <w:lang w:val="en-GB" w:eastAsia="ko-KR"/>
        </w:rPr>
        <w:t xml:space="preserve"> </w:t>
      </w:r>
      <w:r w:rsidR="00B77AA2">
        <w:rPr>
          <w:rFonts w:ascii="Calibri" w:eastAsia="Malgun Gothic" w:hAnsi="Calibri" w:cs="Batang"/>
          <w:lang w:val="en-GB" w:eastAsia="ko-KR"/>
        </w:rPr>
        <w:t>in the definition of Hard (</w:t>
      </w:r>
      <w:proofErr w:type="gramStart"/>
      <w:r w:rsidR="00B77AA2">
        <w:rPr>
          <w:rFonts w:ascii="Calibri" w:eastAsia="Malgun Gothic" w:hAnsi="Calibri" w:cs="Batang"/>
          <w:lang w:val="en-GB" w:eastAsia="ko-KR"/>
        </w:rPr>
        <w:t>i.e.</w:t>
      </w:r>
      <w:proofErr w:type="gramEnd"/>
      <w:r w:rsidR="00B77AA2">
        <w:rPr>
          <w:rFonts w:ascii="Calibri" w:eastAsia="Malgun Gothic" w:hAnsi="Calibri" w:cs="Batang"/>
          <w:lang w:val="en-GB" w:eastAsia="ko-KR"/>
        </w:rPr>
        <w:t xml:space="preserve"> always ON), </w:t>
      </w:r>
      <w:r w:rsidR="00992357">
        <w:rPr>
          <w:rFonts w:ascii="Calibri" w:eastAsia="Malgun Gothic" w:hAnsi="Calibri" w:cs="Batang"/>
          <w:lang w:val="en-GB" w:eastAsia="ko-KR"/>
        </w:rPr>
        <w:t xml:space="preserve">Not Available (i.e. always OFF), and Soft (i.e. ON if indicated via dynamic </w:t>
      </w:r>
      <w:proofErr w:type="spellStart"/>
      <w:r w:rsidR="00992357">
        <w:rPr>
          <w:rFonts w:ascii="Calibri" w:eastAsia="Malgun Gothic" w:hAnsi="Calibri" w:cs="Batang"/>
          <w:lang w:val="en-GB" w:eastAsia="ko-KR"/>
        </w:rPr>
        <w:t>signaling</w:t>
      </w:r>
      <w:proofErr w:type="spellEnd"/>
      <w:r w:rsidR="00992357">
        <w:rPr>
          <w:rFonts w:ascii="Calibri" w:eastAsia="Malgun Gothic" w:hAnsi="Calibri" w:cs="Batang"/>
          <w:lang w:val="en-GB" w:eastAsia="ko-KR"/>
        </w:rPr>
        <w:t xml:space="preserve"> from the parent node) resources for the </w:t>
      </w:r>
      <w:r w:rsidR="00D03510">
        <w:rPr>
          <w:rFonts w:ascii="Calibri" w:eastAsia="Malgun Gothic" w:hAnsi="Calibri" w:cs="Batang"/>
          <w:lang w:val="en-GB" w:eastAsia="ko-KR"/>
        </w:rPr>
        <w:t xml:space="preserve">access link. </w:t>
      </w:r>
      <w:r w:rsidR="00271019">
        <w:rPr>
          <w:rFonts w:ascii="Calibri" w:eastAsia="Malgun Gothic" w:hAnsi="Calibri" w:cs="Batang"/>
          <w:lang w:val="en-GB" w:eastAsia="ko-KR"/>
        </w:rPr>
        <w:t>U</w:t>
      </w:r>
      <w:r w:rsidR="00EF2B92">
        <w:rPr>
          <w:rFonts w:ascii="Calibri" w:eastAsia="Malgun Gothic" w:hAnsi="Calibri" w:cs="Batang"/>
          <w:lang w:val="en-GB" w:eastAsia="ko-KR"/>
        </w:rPr>
        <w:t>nlike IAB</w:t>
      </w:r>
      <w:r w:rsidR="00271019">
        <w:rPr>
          <w:rFonts w:ascii="Calibri" w:eastAsia="Malgun Gothic" w:hAnsi="Calibri" w:cs="Batang"/>
          <w:lang w:val="en-GB" w:eastAsia="ko-KR"/>
        </w:rPr>
        <w:t xml:space="preserve">, since </w:t>
      </w:r>
      <w:r w:rsidR="00C668AC">
        <w:rPr>
          <w:rFonts w:ascii="Calibri" w:eastAsia="Malgun Gothic" w:hAnsi="Calibri" w:cs="Batang"/>
          <w:lang w:val="en-GB" w:eastAsia="ko-KR"/>
        </w:rPr>
        <w:t xml:space="preserve">the NCR does not have a DU function, </w:t>
      </w:r>
      <w:r w:rsidR="00EF2B92">
        <w:rPr>
          <w:rFonts w:ascii="Calibri" w:eastAsia="Malgun Gothic" w:hAnsi="Calibri" w:cs="Batang"/>
          <w:lang w:val="en-GB" w:eastAsia="ko-KR"/>
        </w:rPr>
        <w:t xml:space="preserve">implicit rules as defined in Option 2 may not be necessary </w:t>
      </w:r>
      <w:r w:rsidR="00271019">
        <w:rPr>
          <w:rFonts w:ascii="Calibri" w:eastAsia="Malgun Gothic" w:hAnsi="Calibri" w:cs="Batang"/>
          <w:lang w:val="en-GB" w:eastAsia="ko-KR"/>
        </w:rPr>
        <w:t>as</w:t>
      </w:r>
      <w:r w:rsidR="00EF2B92">
        <w:rPr>
          <w:rFonts w:ascii="Calibri" w:eastAsia="Malgun Gothic" w:hAnsi="Calibri" w:cs="Batang"/>
          <w:lang w:val="en-GB" w:eastAsia="ko-KR"/>
        </w:rPr>
        <w:t xml:space="preserve"> </w:t>
      </w:r>
      <w:r w:rsidR="00271019">
        <w:rPr>
          <w:rFonts w:ascii="Calibri" w:eastAsia="Malgun Gothic" w:hAnsi="Calibri" w:cs="Batang"/>
          <w:lang w:val="en-GB" w:eastAsia="ko-KR"/>
        </w:rPr>
        <w:t xml:space="preserve">there should not be any conflicts between the NCR and parent </w:t>
      </w:r>
      <w:proofErr w:type="spellStart"/>
      <w:r w:rsidR="00271019">
        <w:rPr>
          <w:rFonts w:ascii="Calibri" w:eastAsia="Malgun Gothic" w:hAnsi="Calibri" w:cs="Batang"/>
          <w:lang w:val="en-GB" w:eastAsia="ko-KR"/>
        </w:rPr>
        <w:t>gNB</w:t>
      </w:r>
      <w:proofErr w:type="spellEnd"/>
      <w:r w:rsidR="00EF2B92">
        <w:rPr>
          <w:rFonts w:ascii="Calibri" w:eastAsia="Malgun Gothic" w:hAnsi="Calibri" w:cs="Batang"/>
          <w:lang w:val="en-GB" w:eastAsia="ko-KR"/>
        </w:rPr>
        <w:t xml:space="preserve"> </w:t>
      </w:r>
      <w:r w:rsidR="00271019">
        <w:rPr>
          <w:rFonts w:ascii="Calibri" w:eastAsia="Malgun Gothic" w:hAnsi="Calibri" w:cs="Batang"/>
          <w:lang w:val="en-GB" w:eastAsia="ko-KR"/>
        </w:rPr>
        <w:t xml:space="preserve">which </w:t>
      </w:r>
      <w:r w:rsidR="00414F00">
        <w:rPr>
          <w:rFonts w:ascii="Calibri" w:eastAsia="Malgun Gothic" w:hAnsi="Calibri" w:cs="Batang"/>
          <w:lang w:val="en-GB" w:eastAsia="ko-KR"/>
        </w:rPr>
        <w:t>needs</w:t>
      </w:r>
      <w:r w:rsidR="00271019">
        <w:rPr>
          <w:rFonts w:ascii="Calibri" w:eastAsia="Malgun Gothic" w:hAnsi="Calibri" w:cs="Batang"/>
          <w:lang w:val="en-GB" w:eastAsia="ko-KR"/>
        </w:rPr>
        <w:t xml:space="preserve"> full control</w:t>
      </w:r>
      <w:r w:rsidR="00414F00">
        <w:rPr>
          <w:rFonts w:ascii="Calibri" w:eastAsia="Malgun Gothic" w:hAnsi="Calibri" w:cs="Batang"/>
          <w:lang w:val="en-GB" w:eastAsia="ko-KR"/>
        </w:rPr>
        <w:t xml:space="preserve"> and visibility</w:t>
      </w:r>
      <w:r w:rsidR="00271019">
        <w:rPr>
          <w:rFonts w:ascii="Calibri" w:eastAsia="Malgun Gothic" w:hAnsi="Calibri" w:cs="Batang"/>
          <w:lang w:val="en-GB" w:eastAsia="ko-KR"/>
        </w:rPr>
        <w:t xml:space="preserve"> of the </w:t>
      </w:r>
      <w:r w:rsidR="00414F00">
        <w:rPr>
          <w:rFonts w:ascii="Calibri" w:eastAsia="Malgun Gothic" w:hAnsi="Calibri" w:cs="Batang"/>
          <w:lang w:val="en-GB" w:eastAsia="ko-KR"/>
        </w:rPr>
        <w:t xml:space="preserve">resources used on the C-link and </w:t>
      </w:r>
      <w:proofErr w:type="spellStart"/>
      <w:r w:rsidR="00414F00">
        <w:rPr>
          <w:rFonts w:ascii="Calibri" w:eastAsia="Malgun Gothic" w:hAnsi="Calibri" w:cs="Batang"/>
          <w:lang w:val="en-GB" w:eastAsia="ko-KR"/>
        </w:rPr>
        <w:t>Fwd</w:t>
      </w:r>
      <w:proofErr w:type="spellEnd"/>
      <w:r w:rsidR="00414F00">
        <w:rPr>
          <w:rFonts w:ascii="Calibri" w:eastAsia="Malgun Gothic" w:hAnsi="Calibri" w:cs="Batang"/>
          <w:lang w:val="en-GB" w:eastAsia="ko-KR"/>
        </w:rPr>
        <w:t>-link.</w:t>
      </w:r>
      <w:r>
        <w:rPr>
          <w:rFonts w:ascii="Calibri" w:eastAsia="Malgun Gothic" w:hAnsi="Calibri" w:cs="Batang"/>
          <w:lang w:val="en-GB" w:eastAsia="ko-KR"/>
        </w:rPr>
        <w:t xml:space="preserve"> </w:t>
      </w:r>
    </w:p>
    <w:p w14:paraId="1386676D" w14:textId="77777777" w:rsidR="00BB0B45" w:rsidRDefault="00BB0B45" w:rsidP="00EC030D">
      <w:pPr>
        <w:overflowPunct w:val="0"/>
        <w:autoSpaceDE w:val="0"/>
        <w:autoSpaceDN w:val="0"/>
        <w:adjustRightInd w:val="0"/>
        <w:spacing w:before="0" w:after="0"/>
        <w:jc w:val="left"/>
        <w:textAlignment w:val="baseline"/>
        <w:rPr>
          <w:rFonts w:ascii="Calibri" w:eastAsia="Malgun Gothic" w:hAnsi="Calibri" w:cs="Batang"/>
          <w:lang w:val="en-GB" w:eastAsia="ko-KR"/>
        </w:rPr>
      </w:pPr>
    </w:p>
    <w:p w14:paraId="5DD702FA" w14:textId="69F71B61" w:rsidR="00D353AD" w:rsidRPr="00D353AD" w:rsidRDefault="00EC030D" w:rsidP="00D353AD">
      <w:pPr>
        <w:rPr>
          <w:rFonts w:ascii="Calibri" w:eastAsia="Malgun Gothic" w:hAnsi="Calibri" w:cs="Batang"/>
          <w:b/>
          <w:bCs/>
          <w:lang w:eastAsia="ko-KR"/>
        </w:rPr>
      </w:pPr>
      <w:bookmarkStart w:id="17" w:name="OLE_LINK94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 w:rsidR="00170598">
        <w:rPr>
          <w:rFonts w:ascii="Calibri" w:eastAsia="Malgun Gothic" w:hAnsi="Calibri" w:cs="Batang"/>
          <w:b/>
          <w:bCs/>
          <w:lang w:val="en-GB" w:eastAsia="ko-KR"/>
        </w:rPr>
        <w:t>3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 w:rsidR="00D353AD">
        <w:rPr>
          <w:rFonts w:ascii="Calibri" w:eastAsia="Malgun Gothic" w:hAnsi="Calibri" w:cs="Batang"/>
          <w:b/>
          <w:bCs/>
          <w:lang w:val="en-GB" w:eastAsia="ko-KR"/>
        </w:rPr>
        <w:t>T</w:t>
      </w:r>
      <w:r w:rsidR="00D353AD" w:rsidRPr="00D353AD">
        <w:rPr>
          <w:rFonts w:ascii="Calibri" w:eastAsia="Malgun Gothic" w:hAnsi="Calibri" w:cs="Batang"/>
          <w:b/>
          <w:bCs/>
          <w:lang w:val="en-GB" w:eastAsia="ko-KR"/>
        </w:rPr>
        <w:t xml:space="preserve">o indicate the ON-OFF information from </w:t>
      </w:r>
      <w:proofErr w:type="spellStart"/>
      <w:r w:rsidR="00D353AD" w:rsidRPr="00D353AD">
        <w:rPr>
          <w:rFonts w:ascii="Calibri" w:eastAsia="Malgun Gothic" w:hAnsi="Calibri" w:cs="Batang"/>
          <w:b/>
          <w:bCs/>
          <w:lang w:val="en-GB" w:eastAsia="ko-KR"/>
        </w:rPr>
        <w:t>gNB</w:t>
      </w:r>
      <w:proofErr w:type="spellEnd"/>
      <w:r w:rsidR="00D353AD" w:rsidRPr="00D353AD">
        <w:rPr>
          <w:rFonts w:ascii="Calibri" w:eastAsia="Malgun Gothic" w:hAnsi="Calibri" w:cs="Batang"/>
          <w:b/>
          <w:bCs/>
          <w:lang w:val="en-GB" w:eastAsia="ko-KR"/>
        </w:rPr>
        <w:t xml:space="preserve"> to NCR for controlling the behaviour of NCR-</w:t>
      </w:r>
      <w:proofErr w:type="spellStart"/>
      <w:r w:rsidR="00D353AD" w:rsidRPr="00D353AD">
        <w:rPr>
          <w:rFonts w:ascii="Calibri" w:eastAsia="Malgun Gothic" w:hAnsi="Calibri" w:cs="Batang"/>
          <w:b/>
          <w:bCs/>
          <w:lang w:val="en-GB" w:eastAsia="ko-KR"/>
        </w:rPr>
        <w:t>Fwd</w:t>
      </w:r>
      <w:proofErr w:type="spellEnd"/>
      <w:r w:rsidR="00D353AD">
        <w:rPr>
          <w:rFonts w:ascii="Calibri" w:eastAsia="Malgun Gothic" w:hAnsi="Calibri" w:cs="Batang"/>
          <w:b/>
          <w:bCs/>
          <w:lang w:val="en-GB" w:eastAsia="ko-KR"/>
        </w:rPr>
        <w:t xml:space="preserve">, </w:t>
      </w:r>
      <w:r w:rsidR="00D353AD">
        <w:rPr>
          <w:rFonts w:ascii="Calibri" w:eastAsia="Malgun Gothic" w:hAnsi="Calibri" w:cs="Batang"/>
          <w:b/>
          <w:bCs/>
          <w:lang w:eastAsia="ko-KR"/>
        </w:rPr>
        <w:t>e</w:t>
      </w:r>
      <w:r w:rsidR="00D353AD" w:rsidRPr="00D353AD">
        <w:rPr>
          <w:rFonts w:ascii="Calibri" w:eastAsia="Malgun Gothic" w:hAnsi="Calibri" w:cs="Batang"/>
          <w:b/>
          <w:bCs/>
          <w:lang w:eastAsia="ko-KR"/>
        </w:rPr>
        <w:t xml:space="preserve">xplicit indication with ON-OFF state (e.g., via dynamic or semi-static </w:t>
      </w:r>
      <w:proofErr w:type="spellStart"/>
      <w:r w:rsidR="00D353AD" w:rsidRPr="00D353AD">
        <w:rPr>
          <w:rFonts w:ascii="Calibri" w:eastAsia="Malgun Gothic" w:hAnsi="Calibri" w:cs="Batang"/>
          <w:b/>
          <w:bCs/>
          <w:lang w:eastAsia="ko-KR"/>
        </w:rPr>
        <w:t>signalling</w:t>
      </w:r>
      <w:proofErr w:type="spellEnd"/>
      <w:r w:rsidR="00D353AD" w:rsidRPr="00D353AD">
        <w:rPr>
          <w:rFonts w:ascii="Calibri" w:eastAsia="Malgun Gothic" w:hAnsi="Calibri" w:cs="Batang"/>
          <w:b/>
          <w:bCs/>
          <w:lang w:eastAsia="ko-KR"/>
        </w:rPr>
        <w:t xml:space="preserve">) </w:t>
      </w:r>
      <w:r w:rsidR="00D353AD">
        <w:rPr>
          <w:rFonts w:ascii="Calibri" w:eastAsia="Malgun Gothic" w:hAnsi="Calibri" w:cs="Batang"/>
          <w:b/>
          <w:bCs/>
          <w:lang w:eastAsia="ko-KR"/>
        </w:rPr>
        <w:t>is supported</w:t>
      </w:r>
      <w:r w:rsidR="00B77AA2">
        <w:rPr>
          <w:rFonts w:ascii="Calibri" w:eastAsia="Malgun Gothic" w:hAnsi="Calibri" w:cs="Batang"/>
          <w:b/>
          <w:bCs/>
          <w:lang w:eastAsia="ko-KR"/>
        </w:rPr>
        <w:t>.</w:t>
      </w:r>
    </w:p>
    <w:bookmarkEnd w:id="17"/>
    <w:p w14:paraId="243CBE86" w14:textId="1C9A1B39" w:rsidR="00D353AD" w:rsidRPr="001629BD" w:rsidRDefault="00D353AD" w:rsidP="00D353AD">
      <w:pPr>
        <w:rPr>
          <w:rFonts w:ascii="Calibri" w:eastAsia="Malgun Gothic" w:hAnsi="Calibri" w:cs="Batang"/>
          <w:b/>
          <w:bCs/>
          <w:lang w:eastAsia="ko-KR"/>
        </w:rPr>
      </w:pP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12E93E7C" w:rsidR="00F00551" w:rsidRPr="00B17FD9" w:rsidRDefault="0045180D" w:rsidP="00B17FD9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B17FD9">
        <w:rPr>
          <w:rFonts w:ascii="Calibri" w:eastAsia="Malgun Gothic" w:hAnsi="Calibri" w:cs="Batang"/>
          <w:lang w:val="en-GB" w:eastAsia="ko-KR"/>
        </w:rPr>
        <w:t xml:space="preserve">requirements for L1/L2 side information and </w:t>
      </w:r>
      <w:proofErr w:type="spellStart"/>
      <w:r w:rsidR="00B17FD9">
        <w:rPr>
          <w:rFonts w:ascii="Calibri" w:eastAsia="Malgun Gothic" w:hAnsi="Calibri" w:cs="Batang"/>
          <w:lang w:val="en-GB" w:eastAsia="ko-KR"/>
        </w:rPr>
        <w:t>signaling</w:t>
      </w:r>
      <w:proofErr w:type="spellEnd"/>
      <w:r w:rsidR="00B17FD9">
        <w:rPr>
          <w:rFonts w:ascii="Calibri" w:eastAsia="Malgun Gothic" w:hAnsi="Calibri" w:cs="Batang"/>
          <w:lang w:val="en-GB" w:eastAsia="ko-KR"/>
        </w:rPr>
        <w:t xml:space="preserve"> framework for NR network-controlled repeaters</w:t>
      </w:r>
      <w:r w:rsidR="000F6423">
        <w:rPr>
          <w:rFonts w:ascii="Calibri" w:hAnsi="Calibri"/>
        </w:rPr>
        <w:t xml:space="preserve">. We made the following </w:t>
      </w:r>
      <w:r w:rsidR="00D53279">
        <w:rPr>
          <w:rFonts w:ascii="Calibri" w:hAnsi="Calibri"/>
        </w:rPr>
        <w:t>proposals:</w:t>
      </w:r>
    </w:p>
    <w:p w14:paraId="608DAB06" w14:textId="4EE31072" w:rsidR="000F6423" w:rsidRDefault="000F6423" w:rsidP="00172743">
      <w:pPr>
        <w:spacing w:before="0" w:after="0"/>
        <w:rPr>
          <w:rFonts w:ascii="Calibri" w:hAnsi="Calibri"/>
        </w:rPr>
      </w:pPr>
    </w:p>
    <w:p w14:paraId="32828BFC" w14:textId="77777777" w:rsidR="002A19AF" w:rsidRPr="00513BBD" w:rsidRDefault="002A19AF" w:rsidP="002A19AF">
      <w:pPr>
        <w:rPr>
          <w:rFonts w:ascii="Calibri" w:eastAsia="Malgun Gothic" w:hAnsi="Calibri" w:cs="Batang"/>
          <w:b/>
          <w:bCs/>
          <w:lang w:val="en-GB"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1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 w:rsidRPr="000361A5">
        <w:rPr>
          <w:rFonts w:ascii="Calibri" w:eastAsia="Malgun Gothic" w:hAnsi="Calibri" w:cs="Batang"/>
          <w:b/>
          <w:bCs/>
          <w:lang w:val="en-GB" w:eastAsia="ko-KR"/>
        </w:rPr>
        <w:t>In case that the adaptive beams are adopted for C-link and backhaul link, the indication and determination of beams of backhaul link can be achieved by semi-static signa</w:t>
      </w:r>
      <w:r>
        <w:rPr>
          <w:rFonts w:ascii="Calibri" w:eastAsia="Malgun Gothic" w:hAnsi="Calibri" w:cs="Batang"/>
          <w:b/>
          <w:bCs/>
          <w:lang w:val="en-GB" w:eastAsia="ko-KR"/>
        </w:rPr>
        <w:t>l</w:t>
      </w:r>
      <w:r w:rsidRPr="000361A5">
        <w:rPr>
          <w:rFonts w:ascii="Calibri" w:eastAsia="Malgun Gothic" w:hAnsi="Calibri" w:cs="Batang"/>
          <w:b/>
          <w:bCs/>
          <w:lang w:val="en-GB" w:eastAsia="ko-KR"/>
        </w:rPr>
        <w:t>ling (e.g., MAC CE) indicating a beam(s) from the set of beams of the C-link.</w:t>
      </w:r>
    </w:p>
    <w:p w14:paraId="55DCB18F" w14:textId="77777777" w:rsidR="002A19AF" w:rsidRPr="001629BD" w:rsidRDefault="002A19AF" w:rsidP="002A19AF">
      <w:pPr>
        <w:rPr>
          <w:rFonts w:ascii="Calibri" w:eastAsia="Malgun Gothic" w:hAnsi="Calibri" w:cs="Batang"/>
          <w:b/>
          <w:bCs/>
          <w:lang w:val="en-GB"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>Proposal 2: On the flexible symbols based on the semi-static configuration (e.g., TDD-UL-DL-</w:t>
      </w:r>
      <w:proofErr w:type="spellStart"/>
      <w:r w:rsidRPr="001629BD">
        <w:rPr>
          <w:rFonts w:ascii="Calibri" w:eastAsia="Malgun Gothic" w:hAnsi="Calibri" w:cs="Batang"/>
          <w:b/>
          <w:bCs/>
          <w:lang w:val="en-GB" w:eastAsia="ko-KR"/>
        </w:rPr>
        <w:t>ConfigCommon</w:t>
      </w:r>
      <w:proofErr w:type="spellEnd"/>
      <w:r w:rsidRPr="001629BD">
        <w:rPr>
          <w:rFonts w:ascii="Calibri" w:eastAsia="Malgun Gothic" w:hAnsi="Calibri" w:cs="Batang"/>
          <w:b/>
          <w:bCs/>
          <w:lang w:val="en-GB" w:eastAsia="ko-KR"/>
        </w:rPr>
        <w:t>, TDD-UL-DL-</w:t>
      </w:r>
      <w:proofErr w:type="spellStart"/>
      <w:r w:rsidRPr="001629BD">
        <w:rPr>
          <w:rFonts w:ascii="Calibri" w:eastAsia="Malgun Gothic" w:hAnsi="Calibri" w:cs="Batang"/>
          <w:b/>
          <w:bCs/>
          <w:lang w:val="en-GB" w:eastAsia="ko-KR"/>
        </w:rPr>
        <w:t>ConfigDedicated</w:t>
      </w:r>
      <w:proofErr w:type="spellEnd"/>
      <w:r w:rsidRPr="001629BD">
        <w:rPr>
          <w:rFonts w:ascii="Calibri" w:eastAsia="Malgun Gothic" w:hAnsi="Calibri" w:cs="Batang"/>
          <w:b/>
          <w:bCs/>
          <w:lang w:val="en-GB" w:eastAsia="ko-KR"/>
        </w:rPr>
        <w:t>), the following behaviour of the NCR-</w:t>
      </w:r>
      <w:proofErr w:type="spellStart"/>
      <w:r w:rsidRPr="001629BD">
        <w:rPr>
          <w:rFonts w:ascii="Calibri" w:eastAsia="Malgun Gothic" w:hAnsi="Calibri" w:cs="Batang"/>
          <w:b/>
          <w:bCs/>
          <w:lang w:val="en-GB" w:eastAsia="ko-KR"/>
        </w:rPr>
        <w:t>Fwd</w:t>
      </w:r>
      <w:proofErr w:type="spellEnd"/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 is supported:</w:t>
      </w:r>
    </w:p>
    <w:p w14:paraId="0E949E15" w14:textId="77777777" w:rsidR="002A19AF" w:rsidRPr="006533C2" w:rsidRDefault="002A19AF" w:rsidP="002A19AF">
      <w:pPr>
        <w:pStyle w:val="B1"/>
        <w:ind w:left="284" w:firstLine="0"/>
        <w:rPr>
          <w:rFonts w:ascii="Calibri" w:eastAsia="Malgun Gothic" w:hAnsi="Calibri" w:cs="Batang"/>
          <w:b/>
          <w:bCs/>
          <w:lang w:eastAsia="ko-KR"/>
        </w:rPr>
      </w:pPr>
      <w:r w:rsidRPr="001629BD">
        <w:rPr>
          <w:rFonts w:ascii="Calibri" w:eastAsia="Malgun Gothic" w:hAnsi="Calibri" w:cs="Batang"/>
          <w:b/>
          <w:bCs/>
          <w:lang w:eastAsia="ko-KR"/>
        </w:rPr>
        <w:t>Option 2: The NCR-</w:t>
      </w:r>
      <w:proofErr w:type="spellStart"/>
      <w:r w:rsidRPr="001629BD">
        <w:rPr>
          <w:rFonts w:ascii="Calibri" w:eastAsia="Malgun Gothic" w:hAnsi="Calibri" w:cs="Batang"/>
          <w:b/>
          <w:bCs/>
          <w:lang w:eastAsia="ko-KR"/>
        </w:rPr>
        <w:t>Fwd</w:t>
      </w:r>
      <w:proofErr w:type="spellEnd"/>
      <w:r w:rsidRPr="001629BD">
        <w:rPr>
          <w:rFonts w:ascii="Calibri" w:eastAsia="Malgun Gothic" w:hAnsi="Calibri" w:cs="Batang"/>
          <w:b/>
          <w:bCs/>
          <w:lang w:eastAsia="ko-KR"/>
        </w:rPr>
        <w:t xml:space="preserve"> will follow the TDD operation determined by NCR-MT, i.e., determined by NCR-MT based on the received SFI indication or scheduling from </w:t>
      </w:r>
      <w:proofErr w:type="spellStart"/>
      <w:r w:rsidRPr="001629BD">
        <w:rPr>
          <w:rFonts w:ascii="Calibri" w:eastAsia="Malgun Gothic" w:hAnsi="Calibri" w:cs="Batang"/>
          <w:b/>
          <w:bCs/>
          <w:lang w:eastAsia="ko-KR"/>
        </w:rPr>
        <w:t>gNB</w:t>
      </w:r>
      <w:proofErr w:type="spellEnd"/>
      <w:r w:rsidRPr="001629BD">
        <w:rPr>
          <w:rFonts w:ascii="Calibri" w:eastAsia="Malgun Gothic" w:hAnsi="Calibri" w:cs="Batang"/>
          <w:b/>
          <w:bCs/>
          <w:lang w:eastAsia="ko-KR"/>
        </w:rPr>
        <w:t>. It means that no new side control signalling is needed</w:t>
      </w:r>
    </w:p>
    <w:p w14:paraId="261D368D" w14:textId="77777777" w:rsidR="002A19AF" w:rsidRPr="00D353AD" w:rsidRDefault="002A19AF" w:rsidP="002A19AF">
      <w:pPr>
        <w:rPr>
          <w:rFonts w:ascii="Calibri" w:eastAsia="Malgun Gothic" w:hAnsi="Calibri" w:cs="Batang"/>
          <w:b/>
          <w:bCs/>
          <w:lang w:eastAsia="ko-KR"/>
        </w:rPr>
      </w:pP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Proposal </w:t>
      </w:r>
      <w:r>
        <w:rPr>
          <w:rFonts w:ascii="Calibri" w:eastAsia="Malgun Gothic" w:hAnsi="Calibri" w:cs="Batang"/>
          <w:b/>
          <w:bCs/>
          <w:lang w:val="en-GB" w:eastAsia="ko-KR"/>
        </w:rPr>
        <w:t>3</w:t>
      </w:r>
      <w:r w:rsidRPr="001629BD">
        <w:rPr>
          <w:rFonts w:ascii="Calibri" w:eastAsia="Malgun Gothic" w:hAnsi="Calibri" w:cs="Batang"/>
          <w:b/>
          <w:bCs/>
          <w:lang w:val="en-GB" w:eastAsia="ko-KR"/>
        </w:rPr>
        <w:t xml:space="preserve">: </w:t>
      </w:r>
      <w:r>
        <w:rPr>
          <w:rFonts w:ascii="Calibri" w:eastAsia="Malgun Gothic" w:hAnsi="Calibri" w:cs="Batang"/>
          <w:b/>
          <w:bCs/>
          <w:lang w:val="en-GB" w:eastAsia="ko-KR"/>
        </w:rPr>
        <w:t>T</w:t>
      </w:r>
      <w:r w:rsidRPr="00D353AD">
        <w:rPr>
          <w:rFonts w:ascii="Calibri" w:eastAsia="Malgun Gothic" w:hAnsi="Calibri" w:cs="Batang"/>
          <w:b/>
          <w:bCs/>
          <w:lang w:val="en-GB" w:eastAsia="ko-KR"/>
        </w:rPr>
        <w:t xml:space="preserve">o indicate the ON-OFF information from </w:t>
      </w:r>
      <w:proofErr w:type="spellStart"/>
      <w:r w:rsidRPr="00D353AD">
        <w:rPr>
          <w:rFonts w:ascii="Calibri" w:eastAsia="Malgun Gothic" w:hAnsi="Calibri" w:cs="Batang"/>
          <w:b/>
          <w:bCs/>
          <w:lang w:val="en-GB" w:eastAsia="ko-KR"/>
        </w:rPr>
        <w:t>gNB</w:t>
      </w:r>
      <w:proofErr w:type="spellEnd"/>
      <w:r w:rsidRPr="00D353AD">
        <w:rPr>
          <w:rFonts w:ascii="Calibri" w:eastAsia="Malgun Gothic" w:hAnsi="Calibri" w:cs="Batang"/>
          <w:b/>
          <w:bCs/>
          <w:lang w:val="en-GB" w:eastAsia="ko-KR"/>
        </w:rPr>
        <w:t xml:space="preserve"> to NCR for controlling the behaviour of NCR-</w:t>
      </w:r>
      <w:proofErr w:type="spellStart"/>
      <w:r w:rsidRPr="00D353AD">
        <w:rPr>
          <w:rFonts w:ascii="Calibri" w:eastAsia="Malgun Gothic" w:hAnsi="Calibri" w:cs="Batang"/>
          <w:b/>
          <w:bCs/>
          <w:lang w:val="en-GB" w:eastAsia="ko-KR"/>
        </w:rPr>
        <w:t>Fwd</w:t>
      </w:r>
      <w:proofErr w:type="spellEnd"/>
      <w:r>
        <w:rPr>
          <w:rFonts w:ascii="Calibri" w:eastAsia="Malgun Gothic" w:hAnsi="Calibri" w:cs="Batang"/>
          <w:b/>
          <w:bCs/>
          <w:lang w:val="en-GB" w:eastAsia="ko-KR"/>
        </w:rPr>
        <w:t xml:space="preserve">, </w:t>
      </w:r>
      <w:r>
        <w:rPr>
          <w:rFonts w:ascii="Calibri" w:eastAsia="Malgun Gothic" w:hAnsi="Calibri" w:cs="Batang"/>
          <w:b/>
          <w:bCs/>
          <w:lang w:eastAsia="ko-KR"/>
        </w:rPr>
        <w:t>e</w:t>
      </w:r>
      <w:r w:rsidRPr="00D353AD">
        <w:rPr>
          <w:rFonts w:ascii="Calibri" w:eastAsia="Malgun Gothic" w:hAnsi="Calibri" w:cs="Batang"/>
          <w:b/>
          <w:bCs/>
          <w:lang w:eastAsia="ko-KR"/>
        </w:rPr>
        <w:t xml:space="preserve">xplicit indication with ON-OFF state (e.g., via dynamic or semi-static </w:t>
      </w:r>
      <w:proofErr w:type="spellStart"/>
      <w:r w:rsidRPr="00D353AD">
        <w:rPr>
          <w:rFonts w:ascii="Calibri" w:eastAsia="Malgun Gothic" w:hAnsi="Calibri" w:cs="Batang"/>
          <w:b/>
          <w:bCs/>
          <w:lang w:eastAsia="ko-KR"/>
        </w:rPr>
        <w:t>signalling</w:t>
      </w:r>
      <w:proofErr w:type="spellEnd"/>
      <w:r w:rsidRPr="00D353AD">
        <w:rPr>
          <w:rFonts w:ascii="Calibri" w:eastAsia="Malgun Gothic" w:hAnsi="Calibri" w:cs="Batang"/>
          <w:b/>
          <w:bCs/>
          <w:lang w:eastAsia="ko-KR"/>
        </w:rPr>
        <w:t xml:space="preserve">) </w:t>
      </w:r>
      <w:r>
        <w:rPr>
          <w:rFonts w:ascii="Calibri" w:eastAsia="Malgun Gothic" w:hAnsi="Calibri" w:cs="Batang"/>
          <w:b/>
          <w:bCs/>
          <w:lang w:eastAsia="ko-KR"/>
        </w:rPr>
        <w:t>is supported.</w:t>
      </w:r>
    </w:p>
    <w:p w14:paraId="42F6A97E" w14:textId="77777777" w:rsidR="00D5391C" w:rsidRDefault="00D5391C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189E7A4E" w14:textId="77777777" w:rsidR="006F74BB" w:rsidRDefault="006F74BB" w:rsidP="006F74B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bookmarkStart w:id="18" w:name="OLE_LINK51"/>
      <w:r>
        <w:rPr>
          <w:rFonts w:cs="Times New Roman"/>
          <w:lang w:eastAsia="ko-KR"/>
        </w:rPr>
        <w:t xml:space="preserve">[1] RP-222673 </w:t>
      </w:r>
      <w:r w:rsidRPr="0078157E">
        <w:rPr>
          <w:rFonts w:cs="Times New Roman"/>
          <w:lang w:eastAsia="ko-KR"/>
        </w:rPr>
        <w:t>New WID on NR network-controlled repeaters</w:t>
      </w:r>
    </w:p>
    <w:p w14:paraId="12C6CDCB" w14:textId="77777777" w:rsidR="006F74BB" w:rsidRPr="0098270C" w:rsidRDefault="006F74BB" w:rsidP="006F74B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 xml:space="preserve">[2] TR 38.867 </w:t>
      </w:r>
      <w:r w:rsidRPr="00762AE5">
        <w:rPr>
          <w:rFonts w:cs="Times New Roman"/>
          <w:lang w:eastAsia="ko-KR"/>
        </w:rPr>
        <w:t>Study on NR network-controlled repeate</w:t>
      </w:r>
      <w:r>
        <w:rPr>
          <w:rFonts w:cs="Times New Roman"/>
          <w:lang w:eastAsia="ko-KR"/>
        </w:rPr>
        <w:t>rs</w:t>
      </w:r>
      <w:bookmarkEnd w:id="18"/>
    </w:p>
    <w:p w14:paraId="6BCD9F0E" w14:textId="77B93E78" w:rsidR="00FE6C15" w:rsidRPr="0098270C" w:rsidRDefault="00FE6C15" w:rsidP="006F74BB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D3B42" w14:textId="77777777" w:rsidR="009A74D1" w:rsidRDefault="009A74D1" w:rsidP="00424124">
      <w:pPr>
        <w:spacing w:before="0" w:after="0"/>
      </w:pPr>
      <w:r>
        <w:separator/>
      </w:r>
    </w:p>
  </w:endnote>
  <w:endnote w:type="continuationSeparator" w:id="0">
    <w:p w14:paraId="2119C76F" w14:textId="77777777" w:rsidR="009A74D1" w:rsidRDefault="009A74D1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3A5E" w14:textId="77777777" w:rsidR="009A74D1" w:rsidRDefault="009A74D1" w:rsidP="00424124">
      <w:pPr>
        <w:spacing w:before="0" w:after="0"/>
      </w:pPr>
      <w:r>
        <w:separator/>
      </w:r>
    </w:p>
  </w:footnote>
  <w:footnote w:type="continuationSeparator" w:id="0">
    <w:p w14:paraId="4A2138A8" w14:textId="77777777" w:rsidR="009A74D1" w:rsidRDefault="009A74D1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9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2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5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3"/>
  </w:num>
  <w:num w:numId="2" w16cid:durableId="532350607">
    <w:abstractNumId w:val="5"/>
  </w:num>
  <w:num w:numId="3" w16cid:durableId="55055014">
    <w:abstractNumId w:val="18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2"/>
  </w:num>
  <w:num w:numId="7" w16cid:durableId="1076710325">
    <w:abstractNumId w:val="10"/>
  </w:num>
  <w:num w:numId="8" w16cid:durableId="1466198720">
    <w:abstractNumId w:val="8"/>
  </w:num>
  <w:num w:numId="9" w16cid:durableId="1957785771">
    <w:abstractNumId w:val="20"/>
  </w:num>
  <w:num w:numId="10" w16cid:durableId="2056272075">
    <w:abstractNumId w:val="3"/>
  </w:num>
  <w:num w:numId="11" w16cid:durableId="1864515689">
    <w:abstractNumId w:val="11"/>
  </w:num>
  <w:num w:numId="12" w16cid:durableId="1952394860">
    <w:abstractNumId w:val="4"/>
  </w:num>
  <w:num w:numId="13" w16cid:durableId="1474566431">
    <w:abstractNumId w:val="21"/>
  </w:num>
  <w:num w:numId="14" w16cid:durableId="1100880490">
    <w:abstractNumId w:val="14"/>
  </w:num>
  <w:num w:numId="15" w16cid:durableId="994186523">
    <w:abstractNumId w:val="16"/>
  </w:num>
  <w:num w:numId="16" w16cid:durableId="1105661787">
    <w:abstractNumId w:val="7"/>
  </w:num>
  <w:num w:numId="17" w16cid:durableId="1849176171">
    <w:abstractNumId w:val="15"/>
  </w:num>
  <w:num w:numId="18" w16cid:durableId="438988858">
    <w:abstractNumId w:val="22"/>
  </w:num>
  <w:num w:numId="19" w16cid:durableId="1404446140">
    <w:abstractNumId w:val="6"/>
  </w:num>
  <w:num w:numId="20" w16cid:durableId="442191714">
    <w:abstractNumId w:val="9"/>
  </w:num>
  <w:num w:numId="21" w16cid:durableId="684134916">
    <w:abstractNumId w:val="17"/>
  </w:num>
  <w:num w:numId="22" w16cid:durableId="2142722593">
    <w:abstractNumId w:val="19"/>
  </w:num>
  <w:num w:numId="23" w16cid:durableId="430900579">
    <w:abstractNumId w:val="23"/>
  </w:num>
  <w:num w:numId="24" w16cid:durableId="1763842146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485D"/>
    <w:rsid w:val="000149EC"/>
    <w:rsid w:val="000208A6"/>
    <w:rsid w:val="00020F1A"/>
    <w:rsid w:val="00032D47"/>
    <w:rsid w:val="00034E1E"/>
    <w:rsid w:val="00035EAF"/>
    <w:rsid w:val="000361A5"/>
    <w:rsid w:val="00043F30"/>
    <w:rsid w:val="00045AED"/>
    <w:rsid w:val="000463E4"/>
    <w:rsid w:val="0004664E"/>
    <w:rsid w:val="00051B4B"/>
    <w:rsid w:val="00051EBB"/>
    <w:rsid w:val="000550BC"/>
    <w:rsid w:val="00057E9B"/>
    <w:rsid w:val="000643FA"/>
    <w:rsid w:val="00071942"/>
    <w:rsid w:val="000724AF"/>
    <w:rsid w:val="000730C9"/>
    <w:rsid w:val="0007575F"/>
    <w:rsid w:val="00075B2C"/>
    <w:rsid w:val="00075FD1"/>
    <w:rsid w:val="00076D90"/>
    <w:rsid w:val="00077712"/>
    <w:rsid w:val="00085800"/>
    <w:rsid w:val="000865E3"/>
    <w:rsid w:val="0008716F"/>
    <w:rsid w:val="00087E5C"/>
    <w:rsid w:val="00090197"/>
    <w:rsid w:val="000917C5"/>
    <w:rsid w:val="00095E02"/>
    <w:rsid w:val="00097DC6"/>
    <w:rsid w:val="000A093A"/>
    <w:rsid w:val="000A36A9"/>
    <w:rsid w:val="000B0720"/>
    <w:rsid w:val="000B58AF"/>
    <w:rsid w:val="000B6D99"/>
    <w:rsid w:val="000C1344"/>
    <w:rsid w:val="000C21D0"/>
    <w:rsid w:val="000C42E2"/>
    <w:rsid w:val="000C57B9"/>
    <w:rsid w:val="000D38DC"/>
    <w:rsid w:val="000E29D8"/>
    <w:rsid w:val="000F6423"/>
    <w:rsid w:val="0010303E"/>
    <w:rsid w:val="001116B0"/>
    <w:rsid w:val="0011327D"/>
    <w:rsid w:val="00115E2D"/>
    <w:rsid w:val="00116DA6"/>
    <w:rsid w:val="00126BEC"/>
    <w:rsid w:val="001306D1"/>
    <w:rsid w:val="00133F21"/>
    <w:rsid w:val="00137E15"/>
    <w:rsid w:val="001417A8"/>
    <w:rsid w:val="00145540"/>
    <w:rsid w:val="00153793"/>
    <w:rsid w:val="001547B6"/>
    <w:rsid w:val="00155C3C"/>
    <w:rsid w:val="001629BD"/>
    <w:rsid w:val="00163E5F"/>
    <w:rsid w:val="0016445D"/>
    <w:rsid w:val="00164BF6"/>
    <w:rsid w:val="001677A3"/>
    <w:rsid w:val="00170598"/>
    <w:rsid w:val="00172743"/>
    <w:rsid w:val="00175301"/>
    <w:rsid w:val="00176A86"/>
    <w:rsid w:val="001A12F1"/>
    <w:rsid w:val="001A5A68"/>
    <w:rsid w:val="001A6212"/>
    <w:rsid w:val="001A75E0"/>
    <w:rsid w:val="001B731B"/>
    <w:rsid w:val="001C22A7"/>
    <w:rsid w:val="001C2DBE"/>
    <w:rsid w:val="001C4ACE"/>
    <w:rsid w:val="001C699C"/>
    <w:rsid w:val="001D09F6"/>
    <w:rsid w:val="001D1016"/>
    <w:rsid w:val="001E0CE1"/>
    <w:rsid w:val="001E58CC"/>
    <w:rsid w:val="001F2A01"/>
    <w:rsid w:val="001F59ED"/>
    <w:rsid w:val="002111DF"/>
    <w:rsid w:val="00211D37"/>
    <w:rsid w:val="00212204"/>
    <w:rsid w:val="00216763"/>
    <w:rsid w:val="00222269"/>
    <w:rsid w:val="00222811"/>
    <w:rsid w:val="00225464"/>
    <w:rsid w:val="00227E55"/>
    <w:rsid w:val="00233D70"/>
    <w:rsid w:val="00235373"/>
    <w:rsid w:val="002416BD"/>
    <w:rsid w:val="00242080"/>
    <w:rsid w:val="00246D61"/>
    <w:rsid w:val="0024786A"/>
    <w:rsid w:val="0025058B"/>
    <w:rsid w:val="00252F50"/>
    <w:rsid w:val="0025565D"/>
    <w:rsid w:val="00260D45"/>
    <w:rsid w:val="00262116"/>
    <w:rsid w:val="002641FE"/>
    <w:rsid w:val="00264826"/>
    <w:rsid w:val="00265254"/>
    <w:rsid w:val="00267362"/>
    <w:rsid w:val="00271019"/>
    <w:rsid w:val="002725E8"/>
    <w:rsid w:val="00272EC2"/>
    <w:rsid w:val="00273B2A"/>
    <w:rsid w:val="00274677"/>
    <w:rsid w:val="00276785"/>
    <w:rsid w:val="0029147A"/>
    <w:rsid w:val="00297225"/>
    <w:rsid w:val="002A005E"/>
    <w:rsid w:val="002A0270"/>
    <w:rsid w:val="002A189A"/>
    <w:rsid w:val="002A19AF"/>
    <w:rsid w:val="002A50E9"/>
    <w:rsid w:val="002A66E2"/>
    <w:rsid w:val="002B7AEB"/>
    <w:rsid w:val="002C0488"/>
    <w:rsid w:val="002C4097"/>
    <w:rsid w:val="002C594E"/>
    <w:rsid w:val="002D3D42"/>
    <w:rsid w:val="002D479B"/>
    <w:rsid w:val="002D4DDC"/>
    <w:rsid w:val="002D6EC9"/>
    <w:rsid w:val="002D787B"/>
    <w:rsid w:val="002E04E4"/>
    <w:rsid w:val="002E188B"/>
    <w:rsid w:val="002E5135"/>
    <w:rsid w:val="002F692C"/>
    <w:rsid w:val="00315DC4"/>
    <w:rsid w:val="00317020"/>
    <w:rsid w:val="00317054"/>
    <w:rsid w:val="00320B4D"/>
    <w:rsid w:val="00326FF6"/>
    <w:rsid w:val="00327A22"/>
    <w:rsid w:val="00332BB8"/>
    <w:rsid w:val="0033513A"/>
    <w:rsid w:val="00342130"/>
    <w:rsid w:val="00343561"/>
    <w:rsid w:val="00346605"/>
    <w:rsid w:val="0035318F"/>
    <w:rsid w:val="00354C01"/>
    <w:rsid w:val="00355FF9"/>
    <w:rsid w:val="00361C2F"/>
    <w:rsid w:val="0036306A"/>
    <w:rsid w:val="003727DB"/>
    <w:rsid w:val="00386642"/>
    <w:rsid w:val="0039078B"/>
    <w:rsid w:val="00390912"/>
    <w:rsid w:val="00392176"/>
    <w:rsid w:val="003921D6"/>
    <w:rsid w:val="003A298A"/>
    <w:rsid w:val="003A553B"/>
    <w:rsid w:val="003A566A"/>
    <w:rsid w:val="003B1EC9"/>
    <w:rsid w:val="003B2DFA"/>
    <w:rsid w:val="003B32A7"/>
    <w:rsid w:val="003B4548"/>
    <w:rsid w:val="003C2392"/>
    <w:rsid w:val="003C2E75"/>
    <w:rsid w:val="003D3004"/>
    <w:rsid w:val="003D523C"/>
    <w:rsid w:val="003E1304"/>
    <w:rsid w:val="003E35D4"/>
    <w:rsid w:val="003E3DEA"/>
    <w:rsid w:val="003E4685"/>
    <w:rsid w:val="003E7121"/>
    <w:rsid w:val="003F0731"/>
    <w:rsid w:val="003F33B4"/>
    <w:rsid w:val="003F36B0"/>
    <w:rsid w:val="003F5CAC"/>
    <w:rsid w:val="0040372C"/>
    <w:rsid w:val="004047F5"/>
    <w:rsid w:val="00405F6D"/>
    <w:rsid w:val="004079C3"/>
    <w:rsid w:val="00414F00"/>
    <w:rsid w:val="00424124"/>
    <w:rsid w:val="00434212"/>
    <w:rsid w:val="0043652D"/>
    <w:rsid w:val="00440F6E"/>
    <w:rsid w:val="00443645"/>
    <w:rsid w:val="00443CD6"/>
    <w:rsid w:val="0045180D"/>
    <w:rsid w:val="004552C9"/>
    <w:rsid w:val="004607AC"/>
    <w:rsid w:val="0046127E"/>
    <w:rsid w:val="004627EF"/>
    <w:rsid w:val="00466E46"/>
    <w:rsid w:val="004678E1"/>
    <w:rsid w:val="004729B6"/>
    <w:rsid w:val="00473281"/>
    <w:rsid w:val="00473B68"/>
    <w:rsid w:val="004776CE"/>
    <w:rsid w:val="0047793F"/>
    <w:rsid w:val="00480799"/>
    <w:rsid w:val="00480BBD"/>
    <w:rsid w:val="00481601"/>
    <w:rsid w:val="0048301B"/>
    <w:rsid w:val="004866E3"/>
    <w:rsid w:val="00492168"/>
    <w:rsid w:val="004A20E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1CAD"/>
    <w:rsid w:val="004D453B"/>
    <w:rsid w:val="004D780D"/>
    <w:rsid w:val="004D7CF8"/>
    <w:rsid w:val="004E4188"/>
    <w:rsid w:val="004E6BC0"/>
    <w:rsid w:val="004E6D3B"/>
    <w:rsid w:val="004F3417"/>
    <w:rsid w:val="004F39D2"/>
    <w:rsid w:val="004F46BC"/>
    <w:rsid w:val="004F47DC"/>
    <w:rsid w:val="004F5864"/>
    <w:rsid w:val="005007E9"/>
    <w:rsid w:val="00504C05"/>
    <w:rsid w:val="00504E5F"/>
    <w:rsid w:val="00504E73"/>
    <w:rsid w:val="005055A6"/>
    <w:rsid w:val="00507060"/>
    <w:rsid w:val="0051179B"/>
    <w:rsid w:val="00513BBD"/>
    <w:rsid w:val="0051424F"/>
    <w:rsid w:val="005174AE"/>
    <w:rsid w:val="00523623"/>
    <w:rsid w:val="005300F0"/>
    <w:rsid w:val="00534DE7"/>
    <w:rsid w:val="005363F5"/>
    <w:rsid w:val="00544843"/>
    <w:rsid w:val="0054560C"/>
    <w:rsid w:val="00545FD3"/>
    <w:rsid w:val="0055464C"/>
    <w:rsid w:val="00561FB7"/>
    <w:rsid w:val="0056238B"/>
    <w:rsid w:val="00563129"/>
    <w:rsid w:val="00565BDB"/>
    <w:rsid w:val="005666A4"/>
    <w:rsid w:val="0057145F"/>
    <w:rsid w:val="005758E7"/>
    <w:rsid w:val="005778C8"/>
    <w:rsid w:val="0058120D"/>
    <w:rsid w:val="00586C5F"/>
    <w:rsid w:val="00591529"/>
    <w:rsid w:val="005A0E71"/>
    <w:rsid w:val="005A1A97"/>
    <w:rsid w:val="005A1F9F"/>
    <w:rsid w:val="005B31EF"/>
    <w:rsid w:val="005B47BD"/>
    <w:rsid w:val="005B6FA6"/>
    <w:rsid w:val="005C0F4C"/>
    <w:rsid w:val="005D2C51"/>
    <w:rsid w:val="005F1619"/>
    <w:rsid w:val="005F21BF"/>
    <w:rsid w:val="005F613D"/>
    <w:rsid w:val="005F7630"/>
    <w:rsid w:val="005F7F36"/>
    <w:rsid w:val="006010E0"/>
    <w:rsid w:val="00603015"/>
    <w:rsid w:val="0060603E"/>
    <w:rsid w:val="00616A59"/>
    <w:rsid w:val="00620C27"/>
    <w:rsid w:val="00623B38"/>
    <w:rsid w:val="0063087B"/>
    <w:rsid w:val="00632789"/>
    <w:rsid w:val="00634707"/>
    <w:rsid w:val="00635D05"/>
    <w:rsid w:val="006439F2"/>
    <w:rsid w:val="00644034"/>
    <w:rsid w:val="006477B7"/>
    <w:rsid w:val="00652AC8"/>
    <w:rsid w:val="006533C2"/>
    <w:rsid w:val="00655FEB"/>
    <w:rsid w:val="0066157D"/>
    <w:rsid w:val="0067125A"/>
    <w:rsid w:val="00671E30"/>
    <w:rsid w:val="006756FB"/>
    <w:rsid w:val="00677BD0"/>
    <w:rsid w:val="006843E1"/>
    <w:rsid w:val="00685B82"/>
    <w:rsid w:val="00685E11"/>
    <w:rsid w:val="0069705B"/>
    <w:rsid w:val="006A0EDC"/>
    <w:rsid w:val="006A18DB"/>
    <w:rsid w:val="006A2D2E"/>
    <w:rsid w:val="006A583A"/>
    <w:rsid w:val="006A7498"/>
    <w:rsid w:val="006B16C1"/>
    <w:rsid w:val="006C1C85"/>
    <w:rsid w:val="006C452E"/>
    <w:rsid w:val="006C48AC"/>
    <w:rsid w:val="006D6ABC"/>
    <w:rsid w:val="006E1CF4"/>
    <w:rsid w:val="006E3B03"/>
    <w:rsid w:val="006E790B"/>
    <w:rsid w:val="006F055C"/>
    <w:rsid w:val="006F5485"/>
    <w:rsid w:val="006F74BB"/>
    <w:rsid w:val="00702C40"/>
    <w:rsid w:val="00707D20"/>
    <w:rsid w:val="00710F58"/>
    <w:rsid w:val="00714B77"/>
    <w:rsid w:val="00716F18"/>
    <w:rsid w:val="0072146E"/>
    <w:rsid w:val="00721AD7"/>
    <w:rsid w:val="007225EF"/>
    <w:rsid w:val="00722BA6"/>
    <w:rsid w:val="00723DC5"/>
    <w:rsid w:val="00727952"/>
    <w:rsid w:val="007338D6"/>
    <w:rsid w:val="00737F2A"/>
    <w:rsid w:val="00740B36"/>
    <w:rsid w:val="00741B79"/>
    <w:rsid w:val="00747A6F"/>
    <w:rsid w:val="00751076"/>
    <w:rsid w:val="007531BC"/>
    <w:rsid w:val="00755E5E"/>
    <w:rsid w:val="0075622F"/>
    <w:rsid w:val="0075696D"/>
    <w:rsid w:val="0076067D"/>
    <w:rsid w:val="007677CC"/>
    <w:rsid w:val="007704B9"/>
    <w:rsid w:val="00775387"/>
    <w:rsid w:val="00776EF2"/>
    <w:rsid w:val="00782CDC"/>
    <w:rsid w:val="007839F9"/>
    <w:rsid w:val="00784132"/>
    <w:rsid w:val="00786229"/>
    <w:rsid w:val="00791D57"/>
    <w:rsid w:val="00795A55"/>
    <w:rsid w:val="007A2765"/>
    <w:rsid w:val="007B13E5"/>
    <w:rsid w:val="007B2F6B"/>
    <w:rsid w:val="007B473A"/>
    <w:rsid w:val="007B4C06"/>
    <w:rsid w:val="007D0BB2"/>
    <w:rsid w:val="007D2C48"/>
    <w:rsid w:val="007D672A"/>
    <w:rsid w:val="007E546F"/>
    <w:rsid w:val="007F0AF3"/>
    <w:rsid w:val="007F1928"/>
    <w:rsid w:val="007F3600"/>
    <w:rsid w:val="007F392E"/>
    <w:rsid w:val="00807435"/>
    <w:rsid w:val="00811A1B"/>
    <w:rsid w:val="00813DEF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437B2"/>
    <w:rsid w:val="00843F1C"/>
    <w:rsid w:val="00844420"/>
    <w:rsid w:val="00850DCE"/>
    <w:rsid w:val="00853591"/>
    <w:rsid w:val="00854FBB"/>
    <w:rsid w:val="008566DA"/>
    <w:rsid w:val="00861EBA"/>
    <w:rsid w:val="0086373E"/>
    <w:rsid w:val="008661BA"/>
    <w:rsid w:val="008671A6"/>
    <w:rsid w:val="00871CA8"/>
    <w:rsid w:val="00872E80"/>
    <w:rsid w:val="00874586"/>
    <w:rsid w:val="00885004"/>
    <w:rsid w:val="00886B7B"/>
    <w:rsid w:val="00887AB4"/>
    <w:rsid w:val="00894290"/>
    <w:rsid w:val="008A03FB"/>
    <w:rsid w:val="008A25A1"/>
    <w:rsid w:val="008A5D14"/>
    <w:rsid w:val="008B39B6"/>
    <w:rsid w:val="008B4455"/>
    <w:rsid w:val="008C1AFD"/>
    <w:rsid w:val="008C4B67"/>
    <w:rsid w:val="008D1AEF"/>
    <w:rsid w:val="008D5DB8"/>
    <w:rsid w:val="008E48C2"/>
    <w:rsid w:val="008E526C"/>
    <w:rsid w:val="008F1CFE"/>
    <w:rsid w:val="008F2160"/>
    <w:rsid w:val="00905E86"/>
    <w:rsid w:val="009124E4"/>
    <w:rsid w:val="00917D0F"/>
    <w:rsid w:val="00921CC4"/>
    <w:rsid w:val="00924EA9"/>
    <w:rsid w:val="00925FA2"/>
    <w:rsid w:val="009268AE"/>
    <w:rsid w:val="00926A9C"/>
    <w:rsid w:val="00927803"/>
    <w:rsid w:val="0093139A"/>
    <w:rsid w:val="009453B3"/>
    <w:rsid w:val="00957CD1"/>
    <w:rsid w:val="00960F96"/>
    <w:rsid w:val="00961DB2"/>
    <w:rsid w:val="00962456"/>
    <w:rsid w:val="009626B8"/>
    <w:rsid w:val="0097292F"/>
    <w:rsid w:val="009741D9"/>
    <w:rsid w:val="0098270C"/>
    <w:rsid w:val="00982CA4"/>
    <w:rsid w:val="00984235"/>
    <w:rsid w:val="00992357"/>
    <w:rsid w:val="00993D92"/>
    <w:rsid w:val="00996BC6"/>
    <w:rsid w:val="009A2180"/>
    <w:rsid w:val="009A4D63"/>
    <w:rsid w:val="009A54FC"/>
    <w:rsid w:val="009A74D1"/>
    <w:rsid w:val="009B08C5"/>
    <w:rsid w:val="009B52C0"/>
    <w:rsid w:val="009B5F13"/>
    <w:rsid w:val="009C2167"/>
    <w:rsid w:val="009C3A43"/>
    <w:rsid w:val="009C7547"/>
    <w:rsid w:val="009D46C1"/>
    <w:rsid w:val="009E0D02"/>
    <w:rsid w:val="009E4418"/>
    <w:rsid w:val="009E5838"/>
    <w:rsid w:val="00A0235E"/>
    <w:rsid w:val="00A024AB"/>
    <w:rsid w:val="00A04526"/>
    <w:rsid w:val="00A07EAB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07FF"/>
    <w:rsid w:val="00A359C7"/>
    <w:rsid w:val="00A35DBF"/>
    <w:rsid w:val="00A41CF3"/>
    <w:rsid w:val="00A4200A"/>
    <w:rsid w:val="00A4674D"/>
    <w:rsid w:val="00A547CE"/>
    <w:rsid w:val="00A55FF3"/>
    <w:rsid w:val="00A603CE"/>
    <w:rsid w:val="00A64CF7"/>
    <w:rsid w:val="00A65FD7"/>
    <w:rsid w:val="00A7535D"/>
    <w:rsid w:val="00A7677A"/>
    <w:rsid w:val="00A80FA1"/>
    <w:rsid w:val="00A81AFF"/>
    <w:rsid w:val="00A821EA"/>
    <w:rsid w:val="00A8721E"/>
    <w:rsid w:val="00A92495"/>
    <w:rsid w:val="00AA5160"/>
    <w:rsid w:val="00AA5899"/>
    <w:rsid w:val="00AA6DEA"/>
    <w:rsid w:val="00AB38F0"/>
    <w:rsid w:val="00AB75A3"/>
    <w:rsid w:val="00AB7FC6"/>
    <w:rsid w:val="00AC05AE"/>
    <w:rsid w:val="00AD115D"/>
    <w:rsid w:val="00AD16AE"/>
    <w:rsid w:val="00AD6C53"/>
    <w:rsid w:val="00AE72F4"/>
    <w:rsid w:val="00AF0A4B"/>
    <w:rsid w:val="00AF4BBC"/>
    <w:rsid w:val="00AF637C"/>
    <w:rsid w:val="00AF65DE"/>
    <w:rsid w:val="00B04278"/>
    <w:rsid w:val="00B07458"/>
    <w:rsid w:val="00B12672"/>
    <w:rsid w:val="00B14ADC"/>
    <w:rsid w:val="00B15E6A"/>
    <w:rsid w:val="00B17FD9"/>
    <w:rsid w:val="00B2434D"/>
    <w:rsid w:val="00B24D29"/>
    <w:rsid w:val="00B34716"/>
    <w:rsid w:val="00B3707E"/>
    <w:rsid w:val="00B468FE"/>
    <w:rsid w:val="00B50950"/>
    <w:rsid w:val="00B61A13"/>
    <w:rsid w:val="00B62196"/>
    <w:rsid w:val="00B6232D"/>
    <w:rsid w:val="00B648CA"/>
    <w:rsid w:val="00B66CC1"/>
    <w:rsid w:val="00B7173E"/>
    <w:rsid w:val="00B747E3"/>
    <w:rsid w:val="00B74894"/>
    <w:rsid w:val="00B749FB"/>
    <w:rsid w:val="00B75800"/>
    <w:rsid w:val="00B75FF7"/>
    <w:rsid w:val="00B77AA2"/>
    <w:rsid w:val="00B82B83"/>
    <w:rsid w:val="00B8611D"/>
    <w:rsid w:val="00B86A23"/>
    <w:rsid w:val="00B909F7"/>
    <w:rsid w:val="00B96A24"/>
    <w:rsid w:val="00BA677D"/>
    <w:rsid w:val="00BA6FDB"/>
    <w:rsid w:val="00BB02ED"/>
    <w:rsid w:val="00BB0B45"/>
    <w:rsid w:val="00BB3CBF"/>
    <w:rsid w:val="00BB5132"/>
    <w:rsid w:val="00BB606C"/>
    <w:rsid w:val="00BB65B4"/>
    <w:rsid w:val="00BC31F9"/>
    <w:rsid w:val="00BC6F83"/>
    <w:rsid w:val="00BC704C"/>
    <w:rsid w:val="00BD34B4"/>
    <w:rsid w:val="00BD4EE7"/>
    <w:rsid w:val="00BD70CD"/>
    <w:rsid w:val="00BF0E9C"/>
    <w:rsid w:val="00BF1232"/>
    <w:rsid w:val="00BF2C5D"/>
    <w:rsid w:val="00BF31E3"/>
    <w:rsid w:val="00BF5F1C"/>
    <w:rsid w:val="00C0471E"/>
    <w:rsid w:val="00C07731"/>
    <w:rsid w:val="00C17339"/>
    <w:rsid w:val="00C17E83"/>
    <w:rsid w:val="00C218A9"/>
    <w:rsid w:val="00C2430C"/>
    <w:rsid w:val="00C40BE6"/>
    <w:rsid w:val="00C47EE0"/>
    <w:rsid w:val="00C517CE"/>
    <w:rsid w:val="00C55337"/>
    <w:rsid w:val="00C55AFA"/>
    <w:rsid w:val="00C60F90"/>
    <w:rsid w:val="00C617E4"/>
    <w:rsid w:val="00C61EB9"/>
    <w:rsid w:val="00C63006"/>
    <w:rsid w:val="00C6623E"/>
    <w:rsid w:val="00C668AC"/>
    <w:rsid w:val="00C67568"/>
    <w:rsid w:val="00C67B33"/>
    <w:rsid w:val="00C7007B"/>
    <w:rsid w:val="00C71871"/>
    <w:rsid w:val="00C724F1"/>
    <w:rsid w:val="00C735F1"/>
    <w:rsid w:val="00C913B6"/>
    <w:rsid w:val="00C91C5E"/>
    <w:rsid w:val="00C92E44"/>
    <w:rsid w:val="00CA6EA3"/>
    <w:rsid w:val="00CA79DF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B1A"/>
    <w:rsid w:val="00CC6426"/>
    <w:rsid w:val="00CD32A6"/>
    <w:rsid w:val="00CD451E"/>
    <w:rsid w:val="00CD7021"/>
    <w:rsid w:val="00CE0C9D"/>
    <w:rsid w:val="00CF29C8"/>
    <w:rsid w:val="00D03510"/>
    <w:rsid w:val="00D11258"/>
    <w:rsid w:val="00D12496"/>
    <w:rsid w:val="00D134C5"/>
    <w:rsid w:val="00D20E5E"/>
    <w:rsid w:val="00D23CDC"/>
    <w:rsid w:val="00D2587F"/>
    <w:rsid w:val="00D26593"/>
    <w:rsid w:val="00D268EB"/>
    <w:rsid w:val="00D26CFF"/>
    <w:rsid w:val="00D274C6"/>
    <w:rsid w:val="00D353AD"/>
    <w:rsid w:val="00D446F1"/>
    <w:rsid w:val="00D4500C"/>
    <w:rsid w:val="00D456D8"/>
    <w:rsid w:val="00D45A0E"/>
    <w:rsid w:val="00D4758C"/>
    <w:rsid w:val="00D50169"/>
    <w:rsid w:val="00D506AA"/>
    <w:rsid w:val="00D522CC"/>
    <w:rsid w:val="00D53279"/>
    <w:rsid w:val="00D5391C"/>
    <w:rsid w:val="00D55FAB"/>
    <w:rsid w:val="00D56786"/>
    <w:rsid w:val="00D61EAB"/>
    <w:rsid w:val="00D645A9"/>
    <w:rsid w:val="00D701D3"/>
    <w:rsid w:val="00D7445F"/>
    <w:rsid w:val="00D9137B"/>
    <w:rsid w:val="00D91E8D"/>
    <w:rsid w:val="00D92B1D"/>
    <w:rsid w:val="00DA4D4A"/>
    <w:rsid w:val="00DA75DC"/>
    <w:rsid w:val="00DB0323"/>
    <w:rsid w:val="00DB1FA7"/>
    <w:rsid w:val="00DB3BFC"/>
    <w:rsid w:val="00DB5910"/>
    <w:rsid w:val="00DC0E31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74FC"/>
    <w:rsid w:val="00E20070"/>
    <w:rsid w:val="00E20994"/>
    <w:rsid w:val="00E22124"/>
    <w:rsid w:val="00E261AD"/>
    <w:rsid w:val="00E324C0"/>
    <w:rsid w:val="00E40344"/>
    <w:rsid w:val="00E56C7E"/>
    <w:rsid w:val="00E576BD"/>
    <w:rsid w:val="00E57BE9"/>
    <w:rsid w:val="00E604D6"/>
    <w:rsid w:val="00E625D9"/>
    <w:rsid w:val="00E67086"/>
    <w:rsid w:val="00E67A6E"/>
    <w:rsid w:val="00E857E4"/>
    <w:rsid w:val="00E85B05"/>
    <w:rsid w:val="00E9139D"/>
    <w:rsid w:val="00E92487"/>
    <w:rsid w:val="00E94123"/>
    <w:rsid w:val="00E96414"/>
    <w:rsid w:val="00EA219F"/>
    <w:rsid w:val="00EA26E5"/>
    <w:rsid w:val="00EA3B02"/>
    <w:rsid w:val="00EA5A59"/>
    <w:rsid w:val="00EA6213"/>
    <w:rsid w:val="00EB0C39"/>
    <w:rsid w:val="00EB3301"/>
    <w:rsid w:val="00EB7F64"/>
    <w:rsid w:val="00EC030D"/>
    <w:rsid w:val="00EC66AA"/>
    <w:rsid w:val="00EE013E"/>
    <w:rsid w:val="00EE2068"/>
    <w:rsid w:val="00EE4A18"/>
    <w:rsid w:val="00EF1F69"/>
    <w:rsid w:val="00EF2787"/>
    <w:rsid w:val="00EF2B92"/>
    <w:rsid w:val="00EF61D1"/>
    <w:rsid w:val="00F00551"/>
    <w:rsid w:val="00F01D00"/>
    <w:rsid w:val="00F05333"/>
    <w:rsid w:val="00F154D0"/>
    <w:rsid w:val="00F173D1"/>
    <w:rsid w:val="00F24880"/>
    <w:rsid w:val="00F261D6"/>
    <w:rsid w:val="00F26D45"/>
    <w:rsid w:val="00F30C84"/>
    <w:rsid w:val="00F35704"/>
    <w:rsid w:val="00F35911"/>
    <w:rsid w:val="00F35DD7"/>
    <w:rsid w:val="00F37513"/>
    <w:rsid w:val="00F42D43"/>
    <w:rsid w:val="00F44535"/>
    <w:rsid w:val="00F465CD"/>
    <w:rsid w:val="00F57965"/>
    <w:rsid w:val="00F60351"/>
    <w:rsid w:val="00F60640"/>
    <w:rsid w:val="00F6398D"/>
    <w:rsid w:val="00F66A95"/>
    <w:rsid w:val="00F70A83"/>
    <w:rsid w:val="00F70F29"/>
    <w:rsid w:val="00F71810"/>
    <w:rsid w:val="00F72ABE"/>
    <w:rsid w:val="00F72B1B"/>
    <w:rsid w:val="00F75873"/>
    <w:rsid w:val="00F7596C"/>
    <w:rsid w:val="00F765DB"/>
    <w:rsid w:val="00F77BAA"/>
    <w:rsid w:val="00F77E12"/>
    <w:rsid w:val="00F80CBC"/>
    <w:rsid w:val="00F814DE"/>
    <w:rsid w:val="00F90045"/>
    <w:rsid w:val="00F925FE"/>
    <w:rsid w:val="00FA0472"/>
    <w:rsid w:val="00FA28D1"/>
    <w:rsid w:val="00FA41E9"/>
    <w:rsid w:val="00FA6558"/>
    <w:rsid w:val="00FB2665"/>
    <w:rsid w:val="00FC46AF"/>
    <w:rsid w:val="00FD489B"/>
    <w:rsid w:val="00FD530D"/>
    <w:rsid w:val="00FD791D"/>
    <w:rsid w:val="00FE0217"/>
    <w:rsid w:val="00FE4824"/>
    <w:rsid w:val="00FE6C15"/>
    <w:rsid w:val="00FF02B6"/>
    <w:rsid w:val="00FF0F79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9AF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B1">
    <w:name w:val="B1"/>
    <w:basedOn w:val="Normal"/>
    <w:link w:val="B10"/>
    <w:qFormat/>
    <w:rsid w:val="00861EBA"/>
    <w:pPr>
      <w:spacing w:before="0" w:after="180"/>
      <w:ind w:left="568" w:hanging="284"/>
      <w:jc w:val="left"/>
    </w:pPr>
    <w:rPr>
      <w:rFonts w:ascii="Times New Roman" w:eastAsia="DengXian" w:hAnsi="Times New Roman"/>
      <w:lang w:val="en-GB"/>
    </w:rPr>
  </w:style>
  <w:style w:type="character" w:customStyle="1" w:styleId="B10">
    <w:name w:val="B1 (文字)"/>
    <w:link w:val="B1"/>
    <w:qFormat/>
    <w:rsid w:val="00861EBA"/>
    <w:rPr>
      <w:rFonts w:ascii="Times New Roman" w:eastAsia="DengXian" w:hAnsi="Times New Roman"/>
      <w:lang w:val="en-GB"/>
    </w:rPr>
  </w:style>
  <w:style w:type="character" w:customStyle="1" w:styleId="apple-converted-space">
    <w:name w:val="apple-converted-space"/>
    <w:qFormat/>
    <w:rsid w:val="00861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7907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4</cp:revision>
  <cp:lastPrinted>2016-02-23T14:51:00Z</cp:lastPrinted>
  <dcterms:created xsi:type="dcterms:W3CDTF">2022-09-29T19:18:00Z</dcterms:created>
  <dcterms:modified xsi:type="dcterms:W3CDTF">2022-09-29T19:27:00Z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