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#110bis-e</w:t>
      </w:r>
      <w:r>
        <w:rPr>
          <w:rFonts w:eastAsia="宋体"/>
          <w:b/>
          <w:sz w:val="22"/>
          <w:szCs w:val="22"/>
          <w:lang w:eastAsia="zh-CN"/>
        </w:rPr>
        <w:tab/>
      </w:r>
      <w:r>
        <w:rPr>
          <w:rFonts w:eastAsia="宋体"/>
          <w:b/>
          <w:sz w:val="22"/>
          <w:szCs w:val="22"/>
          <w:lang w:eastAsia="zh-CN"/>
        </w:rPr>
        <w:tab/>
      </w:r>
      <w:r>
        <w:rPr>
          <w:rFonts w:eastAsia="宋体"/>
          <w:b/>
          <w:sz w:val="22"/>
          <w:szCs w:val="22"/>
          <w:lang w:eastAsia="zh-CN"/>
        </w:rPr>
        <w:t>R1-</w:t>
      </w:r>
      <w:r>
        <w:rPr>
          <w:rFonts w:hint="eastAsia" w:eastAsia="宋体"/>
          <w:b/>
          <w:sz w:val="22"/>
          <w:szCs w:val="22"/>
          <w:lang w:eastAsia="zh-CN"/>
        </w:rPr>
        <w:t>2208834</w:t>
      </w:r>
    </w:p>
    <w:p>
      <w:pPr>
        <w:tabs>
          <w:tab w:val="center" w:pos="4536"/>
          <w:tab w:val="right" w:pos="9072"/>
        </w:tabs>
        <w:rPr>
          <w:rFonts w:eastAsia="MS Mincho"/>
          <w:b/>
          <w:bCs/>
          <w:sz w:val="22"/>
          <w:szCs w:val="22"/>
          <w:lang w:eastAsia="ja-JP"/>
        </w:rPr>
      </w:pPr>
      <w:r>
        <w:rPr>
          <w:rFonts w:eastAsia="MS Mincho"/>
          <w:b/>
          <w:bCs/>
          <w:sz w:val="22"/>
          <w:szCs w:val="22"/>
          <w:lang w:val="en-GB" w:eastAsia="ja-JP"/>
        </w:rPr>
        <w:t>e-Meeting, October 10</w:t>
      </w:r>
      <w:r>
        <w:rPr>
          <w:rFonts w:eastAsia="MS Mincho"/>
          <w:b/>
          <w:bCs/>
          <w:sz w:val="22"/>
          <w:szCs w:val="22"/>
          <w:vertAlign w:val="superscript"/>
          <w:lang w:val="en-GB" w:eastAsia="ja-JP"/>
        </w:rPr>
        <w:t>th</w:t>
      </w:r>
      <w:r>
        <w:rPr>
          <w:rFonts w:eastAsia="MS Mincho"/>
          <w:b/>
          <w:bCs/>
          <w:sz w:val="22"/>
          <w:szCs w:val="22"/>
          <w:lang w:val="en-GB" w:eastAsia="ja-JP"/>
        </w:rPr>
        <w:t xml:space="preserve"> – 19</w:t>
      </w:r>
      <w:r>
        <w:rPr>
          <w:rFonts w:eastAsia="MS Mincho"/>
          <w:b/>
          <w:bCs/>
          <w:sz w:val="22"/>
          <w:szCs w:val="22"/>
          <w:vertAlign w:val="superscript"/>
          <w:lang w:val="en-GB" w:eastAsia="ja-JP"/>
        </w:rPr>
        <w:t>th</w:t>
      </w:r>
      <w:r>
        <w:rPr>
          <w:rFonts w:eastAsia="MS Mincho"/>
          <w:b/>
          <w:bCs/>
          <w:sz w:val="22"/>
          <w:szCs w:val="22"/>
          <w:lang w:val="en-GB" w:eastAsia="ja-JP"/>
        </w:rPr>
        <w:t>, 2022</w:t>
      </w:r>
    </w:p>
    <w:p>
      <w:pPr>
        <w:pStyle w:val="15"/>
        <w:rPr>
          <w:rFonts w:ascii="Times New Roman" w:hAnsi="Times New Roman" w:eastAsia="宋体"/>
          <w:sz w:val="22"/>
          <w:szCs w:val="22"/>
          <w:lang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coverage enhancement for NR NTN</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9.11.1</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line="252" w:lineRule="auto"/>
        <w:rPr>
          <w:rFonts w:eastAsia="等线"/>
          <w:szCs w:val="20"/>
          <w:lang w:eastAsia="zh-CN"/>
        </w:rPr>
      </w:pPr>
      <w:r>
        <w:rPr>
          <w:rFonts w:hint="eastAsia" w:eastAsia="等线"/>
          <w:szCs w:val="20"/>
          <w:lang w:eastAsia="zh-CN"/>
        </w:rPr>
        <w:t>I</w:t>
      </w:r>
      <w:r>
        <w:rPr>
          <w:rFonts w:eastAsia="等线"/>
          <w:szCs w:val="20"/>
          <w:lang w:eastAsia="zh-CN"/>
        </w:rPr>
        <w:t>n RAN#97-e meeting, extensive discussion on the coverage enhancement for NR NTN was conducted and the WID was updated based on RAN1’s input as follows[1]:</w:t>
      </w:r>
    </w:p>
    <w:tbl>
      <w:tblPr>
        <w:tblStyle w:val="20"/>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shd w:val="clear" w:color="auto" w:fill="auto"/>
          </w:tcPr>
          <w:p>
            <w:pPr>
              <w:rPr>
                <w:bCs/>
              </w:rPr>
            </w:pPr>
            <w:r>
              <w:rPr>
                <w:bCs/>
              </w:rPr>
              <w:t>4.1.1</w:t>
            </w:r>
            <w:r>
              <w:rPr>
                <w:bCs/>
              </w:rPr>
              <w:tab/>
            </w:r>
            <w:r>
              <w:rPr>
                <w:bCs/>
              </w:rPr>
              <w:t>Coverage enhancement</w:t>
            </w:r>
          </w:p>
          <w:p>
            <w:pPr>
              <w:rPr>
                <w:bCs/>
              </w:rPr>
            </w:pPr>
          </w:p>
          <w:p>
            <w:pPr>
              <w:rPr>
                <w:bCs/>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rPr>
                <w:bCs/>
              </w:rPr>
            </w:pPr>
          </w:p>
          <w:p>
            <w:pPr>
              <w:rPr>
                <w:bCs/>
                <w:highlight w:val="yellow"/>
              </w:rPr>
            </w:pPr>
            <w:r>
              <w:rPr>
                <w:bCs/>
                <w:highlight w:val="yellow"/>
              </w:rPr>
              <w:t>The following sentence will be revisited in RAN#99 as part of the DL enhancements discussion:</w:t>
            </w:r>
          </w:p>
          <w:p>
            <w:pPr>
              <w:rPr>
                <w:bCs/>
              </w:rPr>
            </w:pPr>
            <w:r>
              <w:rPr>
                <w:bCs/>
                <w:highlight w:val="yellow"/>
              </w:rPr>
              <w:t>“The evaluation should also take into account any related regulatory requirements, e.g., ITU limitation of power flux density.” No work on this topic will take place in RAN WGs before the discussion on DL enhancements in RAN#99.</w:t>
            </w:r>
          </w:p>
          <w:p>
            <w:pPr>
              <w:rPr>
                <w:bCs/>
              </w:rPr>
            </w:pPr>
          </w:p>
          <w:p>
            <w:pPr>
              <w:rPr>
                <w:bCs/>
                <w:highlight w:val="yellow"/>
              </w:rPr>
            </w:pPr>
            <w:r>
              <w:rPr>
                <w:bCs/>
                <w:highlight w:val="yellow"/>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pStyle w:val="92"/>
            </w:pPr>
            <w:r>
              <w:rPr>
                <w:highlight w:val="yellow"/>
              </w:rPr>
              <w:t>Note: It is understood that the enhancements defined for LEO can also apply to GEO and MEO scenarios as appropriate. No additional work is expected for MEO/GEO.</w:t>
            </w:r>
          </w:p>
          <w:p>
            <w:pPr>
              <w:rPr>
                <w:bCs/>
              </w:rPr>
            </w:pPr>
            <w:r>
              <w:rPr>
                <w:bCs/>
                <w:highlight w:val="yellow"/>
              </w:rPr>
              <w:t>The targeted services are VoIP using AMR 4.75 kbps and data transmission services with Low data rate of 3 kbps.</w:t>
            </w:r>
          </w:p>
          <w:p>
            <w:pPr>
              <w:rPr>
                <w:bCs/>
              </w:rPr>
            </w:pPr>
          </w:p>
          <w:p>
            <w:pPr>
              <w:rPr>
                <w:bCs/>
                <w:highlight w:val="yellow"/>
              </w:rPr>
            </w:pPr>
            <w:r>
              <w:rPr>
                <w:bCs/>
                <w:highlight w:val="yellow"/>
              </w:rPr>
              <w:t>The detailed objectives are for NTN:</w:t>
            </w:r>
          </w:p>
          <w:p>
            <w:pPr>
              <w:numPr>
                <w:ilvl w:val="0"/>
                <w:numId w:val="7"/>
              </w:numPr>
              <w:overflowPunct w:val="0"/>
              <w:autoSpaceDE w:val="0"/>
              <w:autoSpaceDN w:val="0"/>
              <w:adjustRightInd w:val="0"/>
              <w:textAlignment w:val="baseline"/>
              <w:rPr>
                <w:bCs/>
                <w:highlight w:val="yellow"/>
              </w:rPr>
            </w:pPr>
            <w:r>
              <w:rPr>
                <w:bCs/>
                <w:highlight w:val="yellow"/>
              </w:rPr>
              <w:t>To specify PUCCH enhancements for Msg4 HARQ-ACK (e.g. repetition) [RAN1, RAN4]</w:t>
            </w:r>
          </w:p>
          <w:p>
            <w:pPr>
              <w:numPr>
                <w:ilvl w:val="0"/>
                <w:numId w:val="7"/>
              </w:numPr>
              <w:overflowPunct w:val="0"/>
              <w:autoSpaceDE w:val="0"/>
              <w:autoSpaceDN w:val="0"/>
              <w:adjustRightInd w:val="0"/>
              <w:textAlignment w:val="baseline"/>
              <w:rPr>
                <w:bCs/>
                <w:highlight w:val="yellow"/>
              </w:rPr>
            </w:pPr>
            <w:r>
              <w:rPr>
                <w:bCs/>
                <w:highlight w:val="yellow"/>
              </w:rPr>
              <w:t>To study DMRS bundling for PUSCH taking into account NTN-specifics (e.g. time-frequency pre-compensation) and, if necessary, specify enhancements to the Rel-17 procedures [RAN1]</w:t>
            </w:r>
          </w:p>
          <w:p>
            <w:pPr>
              <w:rPr>
                <w:bCs/>
              </w:rPr>
            </w:pPr>
          </w:p>
          <w:p>
            <w:pPr>
              <w:rPr>
                <w:bCs/>
              </w:rPr>
            </w:pPr>
            <w:r>
              <w:rPr>
                <w:bCs/>
              </w:rPr>
              <w:t>Have a 1-TU 6-month study phase focusing on the following (to derive clear &amp; limited scope):</w:t>
            </w:r>
          </w:p>
          <w:p>
            <w:pPr>
              <w:rPr>
                <w:bCs/>
              </w:rPr>
            </w:pPr>
          </w:p>
          <w:p>
            <w:pPr>
              <w:numPr>
                <w:ilvl w:val="0"/>
                <w:numId w:val="7"/>
              </w:numPr>
              <w:overflowPunct w:val="0"/>
              <w:autoSpaceDE w:val="0"/>
              <w:autoSpaceDN w:val="0"/>
              <w:adjustRightInd w:val="0"/>
              <w:textAlignment w:val="baseline"/>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pPr>
              <w:numPr>
                <w:ilvl w:val="1"/>
                <w:numId w:val="7"/>
              </w:numPr>
              <w:overflowPunct w:val="0"/>
              <w:autoSpaceDE w:val="0"/>
              <w:autoSpaceDN w:val="0"/>
              <w:adjustRightInd w:val="0"/>
              <w:textAlignment w:val="baseline"/>
              <w:rPr>
                <w:bCs/>
              </w:rPr>
            </w:pPr>
            <w:r>
              <w:rPr>
                <w:bCs/>
              </w:rPr>
              <w:t>VoIP and low-data rate services for commercial handset terminals</w:t>
            </w:r>
          </w:p>
          <w:p>
            <w:pPr>
              <w:rPr>
                <w:bCs/>
              </w:rPr>
            </w:pPr>
            <w:bookmarkStart w:id="0" w:name="_Hlk90207880"/>
            <w:r>
              <w:rPr>
                <w:bCs/>
              </w:rPr>
              <w:t>The following items are shown as examples of areas to consider</w:t>
            </w:r>
            <w:r>
              <w:t xml:space="preserve"> </w:t>
            </w:r>
            <w:r>
              <w:rPr>
                <w:bCs/>
              </w:rPr>
              <w:t>in the RAN2 study.</w:t>
            </w:r>
            <w:bookmarkEnd w:id="0"/>
          </w:p>
          <w:p>
            <w:pPr>
              <w:numPr>
                <w:ilvl w:val="0"/>
                <w:numId w:val="7"/>
              </w:numPr>
              <w:overflowPunct w:val="0"/>
              <w:autoSpaceDE w:val="0"/>
              <w:autoSpaceDN w:val="0"/>
              <w:adjustRightInd w:val="0"/>
              <w:textAlignment w:val="baseline"/>
              <w:rPr>
                <w:bCs/>
              </w:rPr>
            </w:pPr>
            <w:r>
              <w:rPr>
                <w:bCs/>
              </w:rPr>
              <w:t>Improved performance of low-rate codecs in link budget limited situation including reducing RAN protocol overhead for VoNR</w:t>
            </w:r>
          </w:p>
          <w:p>
            <w:pPr>
              <w:numPr>
                <w:ilvl w:val="1"/>
                <w:numId w:val="7"/>
              </w:numPr>
              <w:overflowPunct w:val="0"/>
              <w:autoSpaceDE w:val="0"/>
              <w:autoSpaceDN w:val="0"/>
              <w:adjustRightInd w:val="0"/>
              <w:textAlignment w:val="baseline"/>
              <w:rPr>
                <w:bCs/>
              </w:rPr>
            </w:pPr>
            <w:r>
              <w:rPr>
                <w:bCs/>
              </w:rPr>
              <w:t>NOTE: Intent is not to introduce a new codec.</w:t>
            </w:r>
          </w:p>
          <w:p>
            <w:pPr>
              <w:rPr>
                <w:bCs/>
              </w:rPr>
            </w:pPr>
          </w:p>
          <w:p>
            <w:pPr>
              <w:rPr>
                <w:bCs/>
              </w:rPr>
            </w:pPr>
            <w:bookmarkStart w:id="1" w:name="_Hlk86407239"/>
            <w:r>
              <w:rPr>
                <w:bCs/>
              </w:rPr>
              <w:t>RAN to determine by RAN#97 (for RAN1 items) and RAN#98 (for RAN2 items) whether the study phase has identified any need for NTN-specific coverage enhancements in Rel-18</w:t>
            </w:r>
            <w:bookmarkEnd w:id="1"/>
            <w:r>
              <w:rPr>
                <w:bCs/>
              </w:rPr>
              <w:t>. If needed, the set of NTN-specific work item objectives will be further updated.</w:t>
            </w:r>
          </w:p>
        </w:tc>
      </w:tr>
    </w:tbl>
    <w:p>
      <w:pPr>
        <w:pStyle w:val="3"/>
        <w:spacing w:after="0"/>
        <w:rPr>
          <w:rFonts w:eastAsia="等线"/>
          <w:szCs w:val="20"/>
          <w:lang w:eastAsia="zh-CN"/>
        </w:rPr>
      </w:pPr>
    </w:p>
    <w:p>
      <w:pPr>
        <w:pStyle w:val="3"/>
        <w:rPr>
          <w:rFonts w:eastAsia="等线"/>
          <w:szCs w:val="20"/>
          <w:lang w:eastAsia="zh-CN"/>
        </w:rPr>
      </w:pPr>
      <w:r>
        <w:rPr>
          <w:rFonts w:hint="eastAsia" w:eastAsia="等线"/>
          <w:szCs w:val="20"/>
          <w:lang w:eastAsia="zh-CN"/>
        </w:rPr>
        <w:t>A</w:t>
      </w:r>
      <w:r>
        <w:rPr>
          <w:rFonts w:eastAsia="等线"/>
          <w:szCs w:val="20"/>
          <w:lang w:eastAsia="zh-CN"/>
        </w:rPr>
        <w:t xml:space="preserve">ccording to the WID, LEO-1200 set-1 satellite under LOS environment and commercial smartphones with -5.5dBi antenna gain and 3dB polarization loss is considered as the target scenario to identify the candidate physical channels with coverage issues. In this case, PUCCH for Msg4 HARQ-ACK and DMRS bundling for PUSCH are proposed for study with high priority in Rel-18 NTN. However, the discussion on DL </w:t>
      </w:r>
      <w:r>
        <w:rPr>
          <w:rFonts w:hint="eastAsia" w:eastAsia="等线"/>
          <w:szCs w:val="20"/>
          <w:lang w:eastAsia="zh-CN"/>
        </w:rPr>
        <w:t>enhancement</w:t>
      </w:r>
      <w:r>
        <w:rPr>
          <w:rFonts w:eastAsia="等线"/>
          <w:szCs w:val="20"/>
          <w:lang w:eastAsia="zh-CN"/>
        </w:rPr>
        <w:t xml:space="preserve"> will not take place before RAN#99.</w:t>
      </w:r>
    </w:p>
    <w:p>
      <w:pPr>
        <w:pStyle w:val="3"/>
        <w:spacing w:after="0" w:line="252" w:lineRule="auto"/>
        <w:rPr>
          <w:rFonts w:eastAsia="等线"/>
          <w:szCs w:val="20"/>
          <w:lang w:eastAsia="zh-CN"/>
        </w:rPr>
      </w:pPr>
      <w:r>
        <w:rPr>
          <w:rFonts w:hint="eastAsia" w:eastAsia="等线"/>
          <w:szCs w:val="20"/>
          <w:lang w:eastAsia="zh-CN"/>
        </w:rPr>
        <w:t>I</w:t>
      </w:r>
      <w:r>
        <w:rPr>
          <w:rFonts w:eastAsia="等线"/>
          <w:szCs w:val="20"/>
          <w:lang w:eastAsia="zh-CN"/>
        </w:rPr>
        <w:t>n this contribution, some observations on the coverage performance for PUSCH for VoIP and PUCCH for Msg4 HARQ-ACK and the concrete performance gap are presented firstly. Then, we also provide our view on DMRS bundling for PUSCH taking into NTN-specific characteristics and PUCCH enhancements for Msg4 HARQ-ACK.</w:t>
      </w:r>
    </w:p>
    <w:p>
      <w:pPr>
        <w:pStyle w:val="3"/>
        <w:spacing w:after="0" w:line="252" w:lineRule="auto"/>
        <w:rPr>
          <w:rFonts w:eastAsia="等线"/>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pPr>
        <w:pStyle w:val="3"/>
        <w:spacing w:line="252" w:lineRule="auto"/>
        <w:rPr>
          <w:rFonts w:eastAsiaTheme="minorEastAsia"/>
          <w:lang w:eastAsia="zh-CN"/>
        </w:rPr>
      </w:pPr>
      <w:r>
        <w:rPr>
          <w:rFonts w:eastAsia="宋体"/>
          <w:szCs w:val="20"/>
          <w:lang w:eastAsia="ja-JP"/>
        </w:rPr>
        <w:t xml:space="preserve">Considering the UE antenna gain is updated to -5.5dBi, the performance gaps of </w:t>
      </w:r>
      <w:r>
        <w:rPr>
          <w:rFonts w:eastAsia="等线"/>
          <w:szCs w:val="20"/>
          <w:lang w:eastAsia="zh-CN"/>
        </w:rPr>
        <w:t>PUSCH for VoIP and PUCCH for Msg4 HARQ-ACK</w:t>
      </w:r>
      <w:r>
        <w:rPr>
          <w:rFonts w:eastAsia="宋体"/>
          <w:szCs w:val="20"/>
          <w:lang w:eastAsia="ja-JP"/>
        </w:rPr>
        <w:t xml:space="preserve"> are revisited in this section. Besides, we also provide our analysis on the uplink coverage enhancements for NR NTN.</w:t>
      </w: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PUSCH for VoIP</w:t>
      </w:r>
    </w:p>
    <w:p>
      <w:pPr>
        <w:pStyle w:val="3"/>
        <w:spacing w:line="252" w:lineRule="auto"/>
        <w:rPr>
          <w:rFonts w:eastAsiaTheme="minorEastAsia"/>
          <w:bCs/>
          <w:szCs w:val="20"/>
          <w:lang w:val="en-GB" w:eastAsia="zh-CN"/>
        </w:rPr>
      </w:pPr>
      <w:r>
        <w:rPr>
          <w:rFonts w:eastAsiaTheme="minorEastAsia"/>
          <w:bCs/>
          <w:szCs w:val="20"/>
          <w:lang w:val="en-GB" w:eastAsia="zh-CN"/>
        </w:rPr>
        <w:t>In RAN1#109-e meeting, the traffic model and simulation assumption for VoIP service were discussed, and the following agreement was made:</w:t>
      </w:r>
    </w:p>
    <w:p>
      <w:pPr>
        <w:snapToGrid w:val="0"/>
        <w:rPr>
          <w:rFonts w:eastAsia="MS Gothic"/>
          <w:b/>
          <w:szCs w:val="20"/>
          <w:lang w:val="en-GB" w:eastAsia="zh-CN"/>
        </w:rPr>
      </w:pPr>
      <w:r>
        <w:rPr>
          <w:rFonts w:eastAsia="MS Gothic"/>
          <w:b/>
          <w:szCs w:val="20"/>
          <w:highlight w:val="green"/>
          <w:lang w:val="en-GB" w:eastAsia="zh-CN"/>
        </w:rPr>
        <w:t>Agreement</w:t>
      </w:r>
    </w:p>
    <w:p>
      <w:pPr>
        <w:snapToGrid w:val="0"/>
        <w:rPr>
          <w:rFonts w:eastAsia="MS Gothic"/>
          <w:szCs w:val="20"/>
          <w:lang w:val="en-GB" w:eastAsia="zh-CN"/>
        </w:rPr>
      </w:pPr>
      <w:r>
        <w:rPr>
          <w:rFonts w:eastAsia="MS Gothic"/>
          <w:szCs w:val="20"/>
          <w:lang w:val="en-GB" w:eastAsia="zh-CN"/>
        </w:rPr>
        <w:t>For VoIP, AMR 4.75 kbps (TBS of 184 bits without CRC in physical layer) with 20 ms data arriving interval is used in the evaluations.</w:t>
      </w:r>
    </w:p>
    <w:p>
      <w:pPr>
        <w:widowControl w:val="0"/>
        <w:numPr>
          <w:ilvl w:val="0"/>
          <w:numId w:val="8"/>
        </w:numPr>
        <w:snapToGrid w:val="0"/>
        <w:ind w:left="720" w:hanging="360"/>
        <w:jc w:val="both"/>
        <w:rPr>
          <w:rFonts w:eastAsia="MS Gothic"/>
          <w:szCs w:val="20"/>
          <w:lang w:val="en-GB" w:eastAsia="ja-JP"/>
        </w:rPr>
      </w:pPr>
      <w:r>
        <w:rPr>
          <w:rFonts w:eastAsia="MS Gothic"/>
          <w:szCs w:val="20"/>
          <w:lang w:val="en-GB" w:eastAsia="ja-JP"/>
        </w:rPr>
        <w:t>Each packet is transmitted within 20 ms, if packet combining is not used.</w:t>
      </w:r>
    </w:p>
    <w:p>
      <w:pPr>
        <w:widowControl w:val="0"/>
        <w:numPr>
          <w:ilvl w:val="1"/>
          <w:numId w:val="8"/>
        </w:numPr>
        <w:snapToGrid w:val="0"/>
        <w:ind w:left="1276" w:hanging="283"/>
        <w:jc w:val="both"/>
        <w:rPr>
          <w:rFonts w:eastAsia="Batang"/>
          <w:szCs w:val="20"/>
          <w:lang w:val="en-GB" w:eastAsia="zh-CN"/>
        </w:rPr>
      </w:pPr>
      <w:r>
        <w:rPr>
          <w:rFonts w:eastAsia="Batang"/>
          <w:szCs w:val="20"/>
          <w:lang w:val="en-GB" w:eastAsia="zh-CN"/>
        </w:rPr>
        <w:t>Companies are encouraged to evaluate at least packet transmission without combining</w:t>
      </w:r>
    </w:p>
    <w:p>
      <w:pPr>
        <w:widowControl w:val="0"/>
        <w:numPr>
          <w:ilvl w:val="1"/>
          <w:numId w:val="8"/>
        </w:numPr>
        <w:snapToGrid w:val="0"/>
        <w:ind w:left="1276" w:hanging="283"/>
        <w:jc w:val="both"/>
        <w:rPr>
          <w:rFonts w:eastAsia="Batang"/>
          <w:szCs w:val="20"/>
          <w:lang w:val="en-GB" w:eastAsia="zh-CN"/>
        </w:rPr>
      </w:pPr>
      <w:r>
        <w:rPr>
          <w:rFonts w:eastAsia="Batang"/>
          <w:szCs w:val="20"/>
          <w:lang w:val="en-GB" w:eastAsia="zh-CN"/>
        </w:rPr>
        <w:t>Companies are encouraged to report how to apply packet combining, if used.</w:t>
      </w:r>
    </w:p>
    <w:p>
      <w:pPr>
        <w:widowControl w:val="0"/>
        <w:numPr>
          <w:ilvl w:val="1"/>
          <w:numId w:val="8"/>
        </w:numPr>
        <w:snapToGrid w:val="0"/>
        <w:ind w:left="1276" w:hanging="283"/>
        <w:jc w:val="both"/>
        <w:rPr>
          <w:rFonts w:eastAsia="Batang"/>
          <w:szCs w:val="20"/>
          <w:lang w:val="en-GB" w:eastAsia="zh-CN"/>
        </w:rPr>
      </w:pPr>
      <w:r>
        <w:rPr>
          <w:rFonts w:eastAsia="Batang"/>
          <w:szCs w:val="20"/>
          <w:lang w:val="en-GB" w:eastAsia="zh-CN"/>
        </w:rPr>
        <w:t xml:space="preserve">Note: in packet combining, two packets can be combined into a single packet at TX side </w:t>
      </w:r>
    </w:p>
    <w:p>
      <w:pPr>
        <w:widowControl w:val="0"/>
        <w:numPr>
          <w:ilvl w:val="2"/>
          <w:numId w:val="8"/>
        </w:numPr>
        <w:snapToGrid w:val="0"/>
        <w:jc w:val="both"/>
        <w:rPr>
          <w:rFonts w:eastAsia="MS Gothic"/>
          <w:szCs w:val="20"/>
          <w:lang w:val="en-GB" w:eastAsia="ja-JP"/>
        </w:rPr>
      </w:pPr>
      <w:r>
        <w:rPr>
          <w:rFonts w:eastAsia="MS Gothic"/>
          <w:szCs w:val="20"/>
          <w:lang w:val="en-GB" w:eastAsia="ja-JP"/>
        </w:rPr>
        <w:t>Companies should report the impact on E2E latency</w:t>
      </w:r>
    </w:p>
    <w:p>
      <w:pPr>
        <w:widowControl w:val="0"/>
        <w:numPr>
          <w:ilvl w:val="0"/>
          <w:numId w:val="8"/>
        </w:numPr>
        <w:snapToGrid w:val="0"/>
        <w:ind w:left="720" w:hanging="360"/>
        <w:jc w:val="both"/>
        <w:rPr>
          <w:rFonts w:eastAsia="MS Gothic"/>
          <w:szCs w:val="20"/>
          <w:lang w:val="en-GB" w:eastAsia="ja-JP"/>
        </w:rPr>
      </w:pPr>
      <w:r>
        <w:rPr>
          <w:rFonts w:eastAsia="MS Gothic"/>
          <w:szCs w:val="20"/>
          <w:lang w:val="en-GB" w:eastAsia="ja-JP"/>
        </w:rPr>
        <w:t>VoIP is evaluated only in LEO scenario.</w:t>
      </w:r>
    </w:p>
    <w:p>
      <w:pPr>
        <w:widowControl w:val="0"/>
        <w:numPr>
          <w:ilvl w:val="0"/>
          <w:numId w:val="8"/>
        </w:numPr>
        <w:snapToGrid w:val="0"/>
        <w:ind w:left="720" w:hanging="360"/>
        <w:jc w:val="both"/>
        <w:rPr>
          <w:rFonts w:eastAsia="MS Gothic"/>
          <w:szCs w:val="20"/>
          <w:lang w:val="en-GB" w:eastAsia="ja-JP"/>
        </w:rPr>
      </w:pPr>
      <w:r>
        <w:rPr>
          <w:rFonts w:eastAsia="MS Gothic"/>
          <w:szCs w:val="20"/>
          <w:lang w:val="en-GB" w:eastAsia="ja-JP"/>
        </w:rPr>
        <w:t>Note 1: PRB/MCS/TBS determinations are discussed separately</w:t>
      </w:r>
    </w:p>
    <w:p>
      <w:pPr>
        <w:widowControl w:val="0"/>
        <w:numPr>
          <w:ilvl w:val="0"/>
          <w:numId w:val="8"/>
        </w:numPr>
        <w:snapToGrid w:val="0"/>
        <w:spacing w:after="120"/>
        <w:ind w:left="714" w:hanging="357"/>
        <w:jc w:val="both"/>
        <w:rPr>
          <w:rFonts w:eastAsia="MS Gothic"/>
          <w:szCs w:val="20"/>
          <w:lang w:val="en-GB" w:eastAsia="ja-JP"/>
        </w:rPr>
      </w:pPr>
      <w:r>
        <w:rPr>
          <w:rFonts w:eastAsia="MS Gothic"/>
          <w:szCs w:val="20"/>
          <w:lang w:val="en-GB" w:eastAsia="ja-JP"/>
        </w:rPr>
        <w:t>Note 2: companies should report if HARQ is used in the evaluations, and if evaluations depart from the assumption that each packet is transmitted within 20 ms</w:t>
      </w:r>
    </w:p>
    <w:p>
      <w:pPr>
        <w:pStyle w:val="3"/>
        <w:spacing w:line="252" w:lineRule="auto"/>
        <w:rPr>
          <w:rFonts w:eastAsia="MS Gothic"/>
          <w:szCs w:val="20"/>
          <w:lang w:val="en-GB" w:eastAsia="ja-JP"/>
        </w:rPr>
      </w:pPr>
      <w:r>
        <w:rPr>
          <w:rFonts w:eastAsiaTheme="minorEastAsia"/>
          <w:lang w:val="en-GB" w:eastAsia="zh-CN"/>
        </w:rPr>
        <w:t xml:space="preserve">To guarantee each packet is </w:t>
      </w:r>
      <w:r>
        <w:rPr>
          <w:rFonts w:eastAsia="MS Gothic"/>
          <w:szCs w:val="20"/>
          <w:lang w:val="en-GB" w:eastAsia="ja-JP"/>
        </w:rPr>
        <w:t>transmitted within 20ms, PUSCH with 20 repetitions for 15kHz SCS is used in our LLS simulation. Considering TBS of 184bits is assumed for VoIP service, PUSCH with different MCS indexes is used in our evaluation, including MCS-0/5/9 which corresponds to 6RBs/2RBs/1RB respectively. Based on the performance gap as summarized in Table 1, it can be observed that the PUSCH for VoIP can not be supported for LEO-1200 set-1 with a gap of 2.65dB.</w:t>
      </w:r>
    </w:p>
    <w:p>
      <w:pPr>
        <w:pStyle w:val="3"/>
        <w:jc w:val="center"/>
        <w:rPr>
          <w:rFonts w:eastAsia="等线"/>
          <w:kern w:val="2"/>
          <w:szCs w:val="20"/>
          <w:lang w:val="en-GB" w:eastAsia="zh-CN"/>
        </w:rPr>
      </w:pPr>
      <w:r>
        <w:rPr>
          <w:rFonts w:hint="eastAsia" w:eastAsia="等线"/>
          <w:kern w:val="2"/>
          <w:szCs w:val="20"/>
          <w:lang w:eastAsia="zh-CN"/>
        </w:rPr>
        <w:t>T</w:t>
      </w:r>
      <w:r>
        <w:rPr>
          <w:rFonts w:eastAsia="等线"/>
          <w:kern w:val="2"/>
          <w:szCs w:val="20"/>
          <w:lang w:eastAsia="zh-CN"/>
        </w:rPr>
        <w:t xml:space="preserve">able 1. </w:t>
      </w:r>
      <w:r>
        <w:rPr>
          <w:rFonts w:eastAsia="等线"/>
          <w:kern w:val="2"/>
          <w:szCs w:val="20"/>
          <w:lang w:val="en-GB" w:eastAsia="zh-CN"/>
        </w:rPr>
        <w:t>Performance gap of PUSCH for VoIP with parameter set-1 for LEO-1200 satellite</w:t>
      </w:r>
    </w:p>
    <w:tbl>
      <w:tblPr>
        <w:tblStyle w:val="21"/>
        <w:tblW w:w="80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2077"/>
        <w:gridCol w:w="1755"/>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3" w:type="dxa"/>
            <w:shd w:val="clear" w:color="auto" w:fill="A8D08D" w:themeFill="accent6" w:themeFillTint="99"/>
          </w:tcPr>
          <w:p>
            <w:pPr>
              <w:jc w:val="center"/>
              <w:rPr>
                <w:rFonts w:eastAsiaTheme="minorEastAsia"/>
                <w:lang w:eastAsia="zh-CN"/>
              </w:rPr>
            </w:pPr>
          </w:p>
        </w:tc>
        <w:tc>
          <w:tcPr>
            <w:tcW w:w="2077" w:type="dxa"/>
            <w:shd w:val="clear" w:color="auto" w:fill="A8D08D" w:themeFill="accent6" w:themeFillTint="99"/>
          </w:tcPr>
          <w:p>
            <w:pPr>
              <w:jc w:val="center"/>
            </w:pPr>
            <w:r>
              <w:t>Required SNR [dB]</w:t>
            </w:r>
          </w:p>
        </w:tc>
        <w:tc>
          <w:tcPr>
            <w:tcW w:w="1755" w:type="dxa"/>
            <w:shd w:val="clear" w:color="auto" w:fill="A8D08D" w:themeFill="accent6" w:themeFillTint="99"/>
          </w:tcPr>
          <w:p>
            <w:pPr>
              <w:jc w:val="center"/>
            </w:pPr>
            <w:r>
              <w:t>CNR [dB]</w:t>
            </w:r>
          </w:p>
        </w:tc>
        <w:tc>
          <w:tcPr>
            <w:tcW w:w="2119" w:type="dxa"/>
            <w:shd w:val="clear" w:color="auto" w:fill="A8D08D" w:themeFill="accent6" w:themeFillTint="99"/>
          </w:tcPr>
          <w:p>
            <w:pPr>
              <w:jc w:val="center"/>
            </w:pPr>
            <w:r>
              <w:t>Performance 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3" w:type="dxa"/>
          </w:tcPr>
          <w:p>
            <w:pPr>
              <w:jc w:val="center"/>
            </w:pPr>
            <w:r>
              <w:t>UL-VoIP MCS0 (6RB)</w:t>
            </w:r>
          </w:p>
        </w:tc>
        <w:tc>
          <w:tcPr>
            <w:tcW w:w="2077" w:type="dxa"/>
            <w:vAlign w:val="center"/>
          </w:tcPr>
          <w:p>
            <w:pPr>
              <w:jc w:val="center"/>
            </w:pPr>
            <w:r>
              <w:t>-10.65</w:t>
            </w:r>
          </w:p>
        </w:tc>
        <w:tc>
          <w:tcPr>
            <w:tcW w:w="1755" w:type="dxa"/>
            <w:vAlign w:val="center"/>
          </w:tcPr>
          <w:p>
            <w:pPr>
              <w:jc w:val="center"/>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15.89</w:t>
            </w:r>
          </w:p>
        </w:tc>
        <w:tc>
          <w:tcPr>
            <w:tcW w:w="2119" w:type="dxa"/>
            <w:vAlign w:val="bottom"/>
          </w:tcPr>
          <w:p>
            <w:pPr>
              <w:jc w:val="center"/>
              <w:rPr>
                <w:rFonts w:eastAsiaTheme="minorEastAsia"/>
                <w:color w:val="FF0000"/>
                <w:lang w:eastAsia="zh-CN"/>
              </w:rPr>
            </w:pPr>
            <w:r>
              <w:rPr>
                <w:rFonts w:hint="eastAsia" w:eastAsiaTheme="minorEastAsia"/>
                <w:color w:val="FF0000"/>
                <w:lang w:eastAsia="zh-CN"/>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3" w:type="dxa"/>
          </w:tcPr>
          <w:p>
            <w:pPr>
              <w:jc w:val="center"/>
            </w:pPr>
            <w:r>
              <w:t>UL-VoIP MCS5 (2RB)</w:t>
            </w:r>
          </w:p>
        </w:tc>
        <w:tc>
          <w:tcPr>
            <w:tcW w:w="2077" w:type="dxa"/>
            <w:vAlign w:val="center"/>
          </w:tcPr>
          <w:p>
            <w:pPr>
              <w:jc w:val="center"/>
              <w:rPr>
                <w:rFonts w:eastAsiaTheme="minorEastAsia"/>
                <w:lang w:eastAsia="zh-CN"/>
              </w:rPr>
            </w:pPr>
            <w:r>
              <w:rPr>
                <w:rFonts w:hint="eastAsia" w:eastAsiaTheme="minorEastAsia"/>
                <w:lang w:eastAsia="zh-CN"/>
              </w:rPr>
              <w:t>-</w:t>
            </w:r>
            <w:r>
              <w:rPr>
                <w:rFonts w:eastAsiaTheme="minorEastAsia"/>
                <w:lang w:eastAsia="zh-CN"/>
              </w:rPr>
              <w:t>7.65</w:t>
            </w:r>
          </w:p>
        </w:tc>
        <w:tc>
          <w:tcPr>
            <w:tcW w:w="1755" w:type="dxa"/>
            <w:vAlign w:val="center"/>
          </w:tcPr>
          <w:p>
            <w:pPr>
              <w:jc w:val="center"/>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11.12</w:t>
            </w:r>
          </w:p>
        </w:tc>
        <w:tc>
          <w:tcPr>
            <w:tcW w:w="2119" w:type="dxa"/>
            <w:vAlign w:val="bottom"/>
          </w:tcPr>
          <w:p>
            <w:pPr>
              <w:jc w:val="center"/>
              <w:rPr>
                <w:rFonts w:eastAsiaTheme="minorEastAsia"/>
                <w:color w:val="FF0000"/>
                <w:lang w:eastAsia="zh-CN"/>
              </w:rPr>
            </w:pPr>
            <w:r>
              <w:rPr>
                <w:rFonts w:hint="eastAsia" w:eastAsiaTheme="minorEastAsia"/>
                <w:color w:val="FF0000"/>
                <w:lang w:eastAsia="zh-CN"/>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3" w:type="dxa"/>
          </w:tcPr>
          <w:p>
            <w:pPr>
              <w:jc w:val="center"/>
            </w:pPr>
            <w:r>
              <w:rPr>
                <w:rFonts w:hint="eastAsia"/>
              </w:rPr>
              <w:t>U</w:t>
            </w:r>
            <w:r>
              <w:t>L-VoIP MCS9 (1RB)</w:t>
            </w:r>
          </w:p>
        </w:tc>
        <w:tc>
          <w:tcPr>
            <w:tcW w:w="2077" w:type="dxa"/>
            <w:vAlign w:val="center"/>
          </w:tcPr>
          <w:p>
            <w:pPr>
              <w:jc w:val="center"/>
            </w:pPr>
            <w:r>
              <w:t>-5.46</w:t>
            </w:r>
          </w:p>
        </w:tc>
        <w:tc>
          <w:tcPr>
            <w:tcW w:w="1755" w:type="dxa"/>
            <w:vAlign w:val="center"/>
          </w:tcPr>
          <w:p>
            <w:pPr>
              <w:jc w:val="center"/>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8.11</w:t>
            </w:r>
          </w:p>
        </w:tc>
        <w:tc>
          <w:tcPr>
            <w:tcW w:w="2119" w:type="dxa"/>
            <w:vAlign w:val="bottom"/>
          </w:tcPr>
          <w:p>
            <w:pPr>
              <w:jc w:val="center"/>
              <w:rPr>
                <w:rFonts w:eastAsiaTheme="minorEastAsia"/>
                <w:color w:val="FF0000"/>
                <w:lang w:eastAsia="zh-CN"/>
              </w:rPr>
            </w:pPr>
            <w:r>
              <w:rPr>
                <w:rFonts w:hint="eastAsia" w:eastAsiaTheme="minorEastAsia"/>
                <w:color w:val="FF0000"/>
                <w:lang w:eastAsia="zh-CN"/>
              </w:rPr>
              <w:t>2.65</w:t>
            </w:r>
          </w:p>
        </w:tc>
      </w:tr>
    </w:tbl>
    <w:p>
      <w:pPr>
        <w:pStyle w:val="3"/>
        <w:spacing w:after="0"/>
        <w:rPr>
          <w:rFonts w:eastAsiaTheme="minorEastAsia"/>
          <w:lang w:val="en-GB" w:eastAsia="zh-CN"/>
        </w:rPr>
      </w:pPr>
    </w:p>
    <w:p>
      <w:pPr>
        <w:widowControl w:val="0"/>
        <w:snapToGrid w:val="0"/>
        <w:spacing w:after="120"/>
        <w:jc w:val="both"/>
        <w:rPr>
          <w:rFonts w:ascii="Times" w:hAnsi="Times" w:eastAsia="Batang"/>
          <w:b/>
          <w:lang w:val="en-GB"/>
        </w:rPr>
      </w:pPr>
      <w:r>
        <w:rPr>
          <w:rFonts w:hint="eastAsia" w:ascii="Times" w:hAnsi="Times" w:eastAsia="Batang"/>
          <w:b/>
          <w:lang w:val="en-GB"/>
        </w:rPr>
        <w:t xml:space="preserve">Observation </w:t>
      </w:r>
      <w:r>
        <w:rPr>
          <w:rFonts w:ascii="Times" w:hAnsi="Times" w:eastAsia="Batang"/>
          <w:b/>
          <w:lang w:val="en-GB"/>
        </w:rPr>
        <w:t>1</w:t>
      </w:r>
      <w:r>
        <w:rPr>
          <w:rFonts w:hint="eastAsia" w:ascii="Times" w:hAnsi="Times" w:eastAsia="Batang"/>
          <w:b/>
          <w:lang w:val="en-GB"/>
        </w:rPr>
        <w:t xml:space="preserve">: </w:t>
      </w:r>
      <w:r>
        <w:rPr>
          <w:rFonts w:ascii="Times" w:hAnsi="Times" w:eastAsia="Batang"/>
          <w:b/>
          <w:lang w:val="en-GB"/>
        </w:rPr>
        <w:t>PUSCH for VoIP can not be supported for LEO-1200 set-1 with a gap of 2.65dB.</w:t>
      </w:r>
    </w:p>
    <w:p>
      <w:pPr>
        <w:pStyle w:val="3"/>
        <w:spacing w:line="252" w:lineRule="auto"/>
        <w:rPr>
          <w:rFonts w:eastAsiaTheme="minorEastAsia"/>
          <w:lang w:val="en-GB" w:eastAsia="zh-CN"/>
        </w:rPr>
      </w:pPr>
      <w:r>
        <w:rPr>
          <w:rFonts w:eastAsiaTheme="minorEastAsia"/>
          <w:lang w:val="en-GB" w:eastAsia="zh-CN"/>
        </w:rPr>
        <w:t xml:space="preserve">With the limitation of 20 ms data arriving interval, increasing the number of repetitions larger than 20 is impractical. On the other hand, DMRS bundling shows SNR gain without increasing the number of repetitions, so it can be considered to compensate the performance gap of PUSCH for VoIP in NR NTN. </w:t>
      </w:r>
    </w:p>
    <w:p>
      <w:pPr>
        <w:pStyle w:val="3"/>
        <w:spacing w:line="252" w:lineRule="auto"/>
        <w:rPr>
          <w:rFonts w:eastAsiaTheme="minorEastAsia"/>
          <w:lang w:val="en-GB" w:eastAsia="zh-CN"/>
        </w:rPr>
      </w:pPr>
      <w:r>
        <w:rPr>
          <w:rFonts w:eastAsiaTheme="minorEastAsia"/>
          <w:lang w:val="en-GB" w:eastAsia="zh-CN"/>
        </w:rPr>
        <w:t xml:space="preserve">To enable DMRS bundling, UE is expected to maintain power consistency and phase continuity within a time </w:t>
      </w:r>
      <w:r>
        <w:rPr>
          <w:rFonts w:hint="eastAsia" w:eastAsiaTheme="minorEastAsia"/>
          <w:lang w:val="en-GB" w:eastAsia="zh-CN"/>
        </w:rPr>
        <w:t>domain</w:t>
      </w:r>
      <w:r>
        <w:rPr>
          <w:rFonts w:eastAsiaTheme="minorEastAsia"/>
          <w:lang w:val="en-GB" w:eastAsia="zh-CN"/>
        </w:rPr>
        <w:t xml:space="preserve"> window (TDW).</w:t>
      </w:r>
      <w:r>
        <w:rPr>
          <w:rFonts w:hint="eastAsia" w:eastAsiaTheme="minorEastAsia"/>
          <w:lang w:val="en-GB" w:eastAsia="zh-CN"/>
        </w:rPr>
        <w:t xml:space="preserve"> I</w:t>
      </w:r>
      <w:r>
        <w:rPr>
          <w:rFonts w:eastAsiaTheme="minorEastAsia"/>
          <w:lang w:val="en-GB" w:eastAsia="zh-CN"/>
        </w:rPr>
        <w:t xml:space="preserve">n Rel-17 CovEnh, a series events that violate power consistency and phase </w:t>
      </w:r>
      <w:r>
        <w:rPr>
          <w:rFonts w:hint="eastAsia" w:eastAsiaTheme="minorEastAsia"/>
          <w:lang w:eastAsia="zh-CN"/>
        </w:rPr>
        <w:t>continuity</w:t>
      </w:r>
      <w:r>
        <w:rPr>
          <w:rFonts w:eastAsiaTheme="minorEastAsia"/>
          <w:lang w:val="en-GB" w:eastAsia="zh-CN"/>
        </w:rPr>
        <w:t xml:space="preserve"> are identified, including uplink timing adjustment, resulting in the time domain window </w:t>
      </w:r>
      <w:r>
        <w:rPr>
          <w:rFonts w:hint="eastAsia" w:eastAsiaTheme="minorEastAsia"/>
          <w:lang w:eastAsia="zh-CN"/>
        </w:rPr>
        <w:t>interrupted</w:t>
      </w:r>
      <w:r>
        <w:rPr>
          <w:rFonts w:eastAsiaTheme="minorEastAsia"/>
          <w:lang w:val="en-GB" w:eastAsia="zh-CN"/>
        </w:rPr>
        <w:t xml:space="preserve"> as shown in Fig 1. </w:t>
      </w:r>
    </w:p>
    <w:p>
      <w:pPr>
        <w:pStyle w:val="3"/>
        <w:spacing w:line="252" w:lineRule="auto"/>
        <w:jc w:val="center"/>
        <w:rPr>
          <w:rFonts w:eastAsiaTheme="minorEastAsia"/>
          <w:lang w:val="en-GB" w:eastAsia="zh-CN"/>
        </w:rPr>
      </w:pPr>
      <w:r>
        <w:drawing>
          <wp:inline distT="0" distB="0" distL="0" distR="0">
            <wp:extent cx="4319905" cy="82359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823853"/>
                    </a:xfrm>
                    <a:prstGeom prst="rect">
                      <a:avLst/>
                    </a:prstGeom>
                    <a:noFill/>
                    <a:ln>
                      <a:noFill/>
                    </a:ln>
                  </pic:spPr>
                </pic:pic>
              </a:graphicData>
            </a:graphic>
          </wp:inline>
        </w:drawing>
      </w:r>
    </w:p>
    <w:p>
      <w:pPr>
        <w:pStyle w:val="3"/>
        <w:spacing w:line="252" w:lineRule="auto"/>
        <w:jc w:val="center"/>
        <w:rPr>
          <w:rFonts w:eastAsiaTheme="minorEastAsia"/>
          <w:sz w:val="18"/>
          <w:lang w:val="en-GB" w:eastAsia="zh-CN"/>
        </w:rPr>
      </w:pPr>
      <w:r>
        <w:rPr>
          <w:rFonts w:hint="eastAsia" w:eastAsiaTheme="minorEastAsia"/>
          <w:sz w:val="18"/>
          <w:lang w:val="en-GB" w:eastAsia="zh-CN"/>
        </w:rPr>
        <w:t>F</w:t>
      </w:r>
      <w:r>
        <w:rPr>
          <w:rFonts w:eastAsiaTheme="minorEastAsia"/>
          <w:sz w:val="18"/>
          <w:lang w:val="en-GB" w:eastAsia="zh-CN"/>
        </w:rPr>
        <w:t xml:space="preserve">ig 1. Uplink TA violates </w:t>
      </w:r>
      <w:r>
        <w:rPr>
          <w:rFonts w:eastAsiaTheme="minorEastAsia"/>
          <w:lang w:val="en-GB" w:eastAsia="zh-CN"/>
        </w:rPr>
        <w:t xml:space="preserve">power consistency and phase </w:t>
      </w:r>
      <w:r>
        <w:rPr>
          <w:rFonts w:hint="eastAsia" w:eastAsiaTheme="minorEastAsia"/>
          <w:lang w:val="en-GB" w:eastAsia="zh-CN"/>
        </w:rPr>
        <w:t>continuity</w:t>
      </w:r>
      <w:r>
        <w:rPr>
          <w:rFonts w:eastAsiaTheme="minorEastAsia"/>
          <w:lang w:val="en-GB" w:eastAsia="zh-CN"/>
        </w:rPr>
        <w:t xml:space="preserve"> for DMRS bundling.</w:t>
      </w:r>
    </w:p>
    <w:p>
      <w:pPr>
        <w:pStyle w:val="3"/>
        <w:spacing w:line="252" w:lineRule="auto"/>
        <w:rPr>
          <w:rFonts w:eastAsia="宋体" w:cs="Times"/>
          <w:color w:val="000000"/>
          <w:szCs w:val="20"/>
          <w:lang w:eastAsia="ko-KR"/>
        </w:rPr>
      </w:pPr>
      <w:r>
        <w:rPr>
          <w:rFonts w:hint="eastAsia" w:eastAsiaTheme="minorEastAsia"/>
          <w:lang w:val="en-GB" w:eastAsia="zh-CN"/>
        </w:rPr>
        <w:t>I</w:t>
      </w:r>
      <w:r>
        <w:rPr>
          <w:rFonts w:eastAsiaTheme="minorEastAsia"/>
          <w:lang w:val="en-GB" w:eastAsia="zh-CN"/>
        </w:rPr>
        <w:t>n NR-NTN, the UE is required to use the UE self-estimated TA to pre-compensate for the service link delay</w:t>
      </w:r>
      <w:r>
        <w:rPr>
          <w:rFonts w:eastAsia="宋体" w:cs="Times"/>
          <w:color w:val="000000"/>
          <w:szCs w:val="20"/>
          <w:lang w:eastAsia="ko-KR"/>
        </w:rPr>
        <w:t xml:space="preserve">, which is not known by the network. In this case, </w:t>
      </w:r>
      <w:r>
        <w:rPr>
          <w:rFonts w:eastAsiaTheme="minorEastAsia"/>
          <w:lang w:val="en-GB" w:eastAsia="zh-CN"/>
        </w:rPr>
        <w:t xml:space="preserve">power consistency and phase </w:t>
      </w:r>
      <w:r>
        <w:rPr>
          <w:rFonts w:hint="eastAsia" w:eastAsiaTheme="minorEastAsia"/>
          <w:lang w:val="en-GB" w:eastAsia="zh-CN"/>
        </w:rPr>
        <w:t>continuity</w:t>
      </w:r>
      <w:r>
        <w:rPr>
          <w:rFonts w:eastAsiaTheme="minorEastAsia"/>
          <w:lang w:val="en-GB" w:eastAsia="zh-CN"/>
        </w:rPr>
        <w:t xml:space="preserve"> is not maintained anymore, but the network is not aware of the event. To solve this issue and ensure the applicability of DMRS bundling to NTN, segmented UE pre-compensation can be considered to be introduced into NR NTN.</w:t>
      </w:r>
    </w:p>
    <w:p>
      <w:pPr>
        <w:pStyle w:val="3"/>
        <w:spacing w:line="252" w:lineRule="auto"/>
        <w:rPr>
          <w:rFonts w:ascii="Times" w:hAnsi="Times" w:eastAsia="Batang"/>
          <w:b/>
          <w:lang w:val="en-GB"/>
        </w:rPr>
      </w:pPr>
      <w:r>
        <w:rPr>
          <w:rFonts w:hint="eastAsia" w:ascii="Times" w:hAnsi="Times" w:eastAsia="Batang"/>
          <w:b/>
          <w:lang w:val="en-GB"/>
        </w:rPr>
        <w:t xml:space="preserve">Observation </w:t>
      </w:r>
      <w:r>
        <w:rPr>
          <w:rFonts w:ascii="Times" w:hAnsi="Times" w:eastAsia="Batang"/>
          <w:b/>
          <w:lang w:val="en-GB"/>
        </w:rPr>
        <w:t>2</w:t>
      </w:r>
      <w:r>
        <w:rPr>
          <w:rFonts w:hint="eastAsia" w:ascii="Times" w:hAnsi="Times" w:eastAsia="Batang"/>
          <w:b/>
          <w:lang w:val="en-GB"/>
        </w:rPr>
        <w:t xml:space="preserve">: </w:t>
      </w:r>
      <w:r>
        <w:rPr>
          <w:rFonts w:ascii="Times" w:hAnsi="Times" w:eastAsia="Batang"/>
          <w:b/>
        </w:rPr>
        <w:t>UE self-estimated TA</w:t>
      </w:r>
      <w:r>
        <w:rPr>
          <w:rFonts w:ascii="Times" w:hAnsi="Times" w:eastAsia="Batang"/>
          <w:b/>
          <w:lang w:val="en-GB"/>
        </w:rPr>
        <w:t xml:space="preserve"> violates power consistency and phase </w:t>
      </w:r>
      <w:r>
        <w:rPr>
          <w:rFonts w:hint="eastAsia" w:ascii="Times" w:hAnsi="Times" w:eastAsia="宋体"/>
          <w:b/>
          <w:lang w:val="en-GB" w:eastAsia="zh-CN"/>
        </w:rPr>
        <w:t>continuity</w:t>
      </w:r>
      <w:r>
        <w:rPr>
          <w:rFonts w:ascii="Times" w:hAnsi="Times" w:eastAsia="Batang"/>
          <w:b/>
          <w:lang w:val="en-GB"/>
        </w:rPr>
        <w:t xml:space="preserve"> for DMRS bundling.</w:t>
      </w:r>
    </w:p>
    <w:p>
      <w:pPr>
        <w:pStyle w:val="3"/>
        <w:spacing w:line="252" w:lineRule="auto"/>
        <w:rPr>
          <w:rFonts w:ascii="Times" w:hAnsi="Times" w:eastAsia="Batang"/>
          <w:b/>
          <w:lang w:val="en-GB"/>
        </w:rPr>
      </w:pPr>
      <w:r>
        <w:rPr>
          <w:rFonts w:ascii="Times" w:hAnsi="Times" w:eastAsia="Batang"/>
          <w:b/>
          <w:lang w:val="en-GB"/>
        </w:rPr>
        <w:t>Proposal 1</w:t>
      </w:r>
      <w:r>
        <w:rPr>
          <w:rFonts w:hint="eastAsia" w:ascii="Times" w:hAnsi="Times" w:eastAsia="Batang"/>
          <w:b/>
          <w:lang w:val="en-GB"/>
        </w:rPr>
        <w:t>:</w:t>
      </w:r>
      <w:r>
        <w:rPr>
          <w:rFonts w:ascii="Times" w:hAnsi="Times" w:eastAsia="Batang"/>
          <w:b/>
          <w:lang w:val="en-GB"/>
        </w:rPr>
        <w:t xml:space="preserve"> Segmented UE pre-compensation can be considered to ensure DMRS bundling can be applied to NR NTN.</w:t>
      </w:r>
    </w:p>
    <w:p>
      <w:pPr>
        <w:pStyle w:val="3"/>
        <w:spacing w:after="0"/>
        <w:rPr>
          <w:rFonts w:eastAsiaTheme="minorEastAsia"/>
          <w:lang w:eastAsia="zh-CN"/>
        </w:rPr>
      </w:pP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PUCCH for Msg4 HARQ-ACK</w:t>
      </w:r>
    </w:p>
    <w:p>
      <w:pPr>
        <w:pStyle w:val="3"/>
        <w:spacing w:line="252" w:lineRule="auto"/>
        <w:rPr>
          <w:rFonts w:eastAsia="Batang"/>
          <w:bCs/>
          <w:szCs w:val="20"/>
          <w:u w:val="single"/>
        </w:rPr>
      </w:pPr>
      <w:r>
        <w:rPr>
          <w:rFonts w:eastAsiaTheme="minorEastAsia"/>
          <w:bCs/>
          <w:szCs w:val="20"/>
          <w:lang w:val="en-GB" w:eastAsia="zh-CN"/>
        </w:rPr>
        <w:t xml:space="preserve">In RAN1#110 meeting, the performance gap of </w:t>
      </w:r>
      <w:r>
        <w:rPr>
          <w:rFonts w:eastAsia="Batang"/>
          <w:szCs w:val="20"/>
        </w:rPr>
        <w:t>PUCCH for Msg4 HARQ-ACK was discussed and the conclusion was made as follows:</w:t>
      </w:r>
    </w:p>
    <w:p>
      <w:pPr>
        <w:rPr>
          <w:rFonts w:eastAsia="Batang"/>
          <w:bCs/>
          <w:szCs w:val="20"/>
          <w:u w:val="single"/>
        </w:rPr>
      </w:pPr>
      <w:r>
        <w:rPr>
          <w:rFonts w:eastAsia="Batang"/>
          <w:bCs/>
          <w:szCs w:val="20"/>
          <w:u w:val="single"/>
        </w:rPr>
        <w:t>Conclusion</w:t>
      </w:r>
    </w:p>
    <w:p>
      <w:pPr>
        <w:pStyle w:val="3"/>
        <w:spacing w:line="252" w:lineRule="auto"/>
        <w:rPr>
          <w:rFonts w:eastAsia="Batang"/>
          <w:szCs w:val="20"/>
        </w:rPr>
      </w:pPr>
      <w:r>
        <w:rPr>
          <w:rFonts w:eastAsia="Batang"/>
          <w:szCs w:val="20"/>
        </w:rPr>
        <w:t xml:space="preserve">RAN1 concluded that PUCCH for Msg4 HARQ-ACK should be enhanced to meet the coverage requirements for </w:t>
      </w:r>
      <w:r>
        <w:rPr>
          <w:rFonts w:eastAsia="Yu Gothic"/>
          <w:szCs w:val="20"/>
          <w:lang w:val="en-GB"/>
        </w:rPr>
        <w:t>parameter set-1 for LEO-1200 operating at LOS, assuming -5dBi UE antenna gain</w:t>
      </w:r>
      <w:r>
        <w:rPr>
          <w:rFonts w:eastAsia="Batang"/>
          <w:szCs w:val="20"/>
        </w:rPr>
        <w:t>.</w:t>
      </w:r>
    </w:p>
    <w:p>
      <w:pPr>
        <w:pStyle w:val="3"/>
        <w:spacing w:line="252" w:lineRule="auto"/>
        <w:rPr>
          <w:rFonts w:eastAsiaTheme="minorEastAsia"/>
          <w:lang w:eastAsia="zh-CN"/>
        </w:rPr>
      </w:pPr>
      <w:r>
        <w:rPr>
          <w:rFonts w:eastAsiaTheme="minorEastAsia"/>
          <w:lang w:eastAsia="zh-CN"/>
        </w:rPr>
        <w:t xml:space="preserve">When </w:t>
      </w:r>
      <w:r>
        <w:rPr>
          <w:rFonts w:eastAsia="宋体"/>
          <w:szCs w:val="20"/>
          <w:lang w:eastAsia="ja-JP"/>
        </w:rPr>
        <w:t xml:space="preserve">-5.5dBi UE antenna gain is assumed, we observe that existing specification cannot meet the performance requirement with a gap of 4.18 dB. PUCCH repetition is the most simple and efficient method to improve the coverage performance, and not supported for initial access now. Thus, PUCCH repetition for Msg4 HARQ-ACK can be considered to compensate the performance gap. Furthermore, the </w:t>
      </w:r>
      <w:r>
        <w:rPr>
          <w:rFonts w:eastAsiaTheme="minorEastAsia"/>
          <w:bCs/>
          <w:lang w:eastAsia="zh-CN"/>
        </w:rPr>
        <w:t xml:space="preserve">repetition gain can be estimated by 10*log(number of repetition), so the maximum number of repetitions supported by PUCCH for </w:t>
      </w:r>
      <w:r>
        <w:rPr>
          <w:rFonts w:eastAsia="宋体"/>
          <w:szCs w:val="20"/>
          <w:lang w:eastAsia="ja-JP"/>
        </w:rPr>
        <w:t xml:space="preserve">Msg4 HARQ-ACK can be 4. </w:t>
      </w:r>
    </w:p>
    <w:p>
      <w:pPr>
        <w:pStyle w:val="3"/>
        <w:jc w:val="center"/>
        <w:rPr>
          <w:rFonts w:eastAsia="等线"/>
          <w:kern w:val="2"/>
          <w:szCs w:val="20"/>
          <w:lang w:val="en-GB" w:eastAsia="zh-CN"/>
        </w:rPr>
      </w:pPr>
      <w:r>
        <w:rPr>
          <w:rFonts w:hint="eastAsia" w:eastAsia="等线"/>
          <w:kern w:val="2"/>
          <w:szCs w:val="20"/>
          <w:lang w:eastAsia="zh-CN"/>
        </w:rPr>
        <w:t>T</w:t>
      </w:r>
      <w:r>
        <w:rPr>
          <w:rFonts w:eastAsia="等线"/>
          <w:kern w:val="2"/>
          <w:szCs w:val="20"/>
          <w:lang w:eastAsia="zh-CN"/>
        </w:rPr>
        <w:t xml:space="preserve">able 2. </w:t>
      </w:r>
      <w:r>
        <w:rPr>
          <w:rFonts w:eastAsia="等线"/>
          <w:kern w:val="2"/>
          <w:szCs w:val="20"/>
          <w:lang w:val="en-GB" w:eastAsia="zh-CN"/>
        </w:rPr>
        <w:t>Performance gap of PUCCH for Msg4 HARQ-ACK with parameter set-1 for LEO-1200 satellite</w:t>
      </w:r>
    </w:p>
    <w:tbl>
      <w:tblPr>
        <w:tblStyle w:val="21"/>
        <w:tblW w:w="8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077"/>
        <w:gridCol w:w="1756"/>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7" w:type="dxa"/>
            <w:shd w:val="clear" w:color="auto" w:fill="A8D08D" w:themeFill="accent6" w:themeFillTint="99"/>
          </w:tcPr>
          <w:p>
            <w:pPr>
              <w:jc w:val="center"/>
              <w:rPr>
                <w:rFonts w:eastAsiaTheme="minorEastAsia"/>
                <w:lang w:eastAsia="zh-CN"/>
              </w:rPr>
            </w:pPr>
          </w:p>
        </w:tc>
        <w:tc>
          <w:tcPr>
            <w:tcW w:w="2077" w:type="dxa"/>
            <w:shd w:val="clear" w:color="auto" w:fill="A8D08D" w:themeFill="accent6" w:themeFillTint="99"/>
          </w:tcPr>
          <w:p>
            <w:pPr>
              <w:jc w:val="center"/>
            </w:pPr>
            <w:r>
              <w:t>Required SNR [dB]</w:t>
            </w:r>
          </w:p>
        </w:tc>
        <w:tc>
          <w:tcPr>
            <w:tcW w:w="1756" w:type="dxa"/>
            <w:shd w:val="clear" w:color="auto" w:fill="A8D08D" w:themeFill="accent6" w:themeFillTint="99"/>
          </w:tcPr>
          <w:p>
            <w:pPr>
              <w:jc w:val="center"/>
            </w:pPr>
            <w:r>
              <w:t>CNR [dB]</w:t>
            </w:r>
          </w:p>
        </w:tc>
        <w:tc>
          <w:tcPr>
            <w:tcW w:w="2118" w:type="dxa"/>
            <w:shd w:val="clear" w:color="auto" w:fill="A8D08D" w:themeFill="accent6" w:themeFillTint="99"/>
          </w:tcPr>
          <w:p>
            <w:pPr>
              <w:jc w:val="center"/>
            </w:pPr>
            <w:r>
              <w:t>Performance 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7" w:type="dxa"/>
          </w:tcPr>
          <w:p>
            <w:pPr>
              <w:jc w:val="center"/>
            </w:pPr>
            <w:r>
              <w:t>PUCCH for Msg4 HARQ-ACK</w:t>
            </w:r>
          </w:p>
        </w:tc>
        <w:tc>
          <w:tcPr>
            <w:tcW w:w="2077" w:type="dxa"/>
            <w:vAlign w:val="center"/>
          </w:tcPr>
          <w:p>
            <w:pPr>
              <w:jc w:val="center"/>
            </w:pPr>
            <w:r>
              <w:t>-3.93</w:t>
            </w:r>
          </w:p>
        </w:tc>
        <w:tc>
          <w:tcPr>
            <w:tcW w:w="1756" w:type="dxa"/>
            <w:vAlign w:val="center"/>
          </w:tcPr>
          <w:p>
            <w:pPr>
              <w:jc w:val="center"/>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w:t>
            </w:r>
            <w:r>
              <w:rPr>
                <w:rFonts w:eastAsiaTheme="minorEastAsia"/>
                <w:color w:val="000000" w:themeColor="text1"/>
                <w:lang w:eastAsia="zh-CN"/>
                <w14:textFill>
                  <w14:solidFill>
                    <w14:schemeClr w14:val="tx1"/>
                  </w14:solidFill>
                </w14:textFill>
              </w:rPr>
              <w:t>8.11</w:t>
            </w:r>
          </w:p>
        </w:tc>
        <w:tc>
          <w:tcPr>
            <w:tcW w:w="2118" w:type="dxa"/>
            <w:vAlign w:val="center"/>
          </w:tcPr>
          <w:p>
            <w:pPr>
              <w:jc w:val="center"/>
              <w:rPr>
                <w:rFonts w:eastAsiaTheme="minorEastAsia"/>
                <w:color w:val="FF0000"/>
                <w:lang w:eastAsia="zh-CN"/>
              </w:rPr>
            </w:pPr>
            <w:r>
              <w:rPr>
                <w:rFonts w:eastAsiaTheme="minorEastAsia"/>
                <w:color w:val="FF0000"/>
                <w:lang w:eastAsia="zh-CN"/>
              </w:rPr>
              <w:t>4.18</w:t>
            </w:r>
          </w:p>
        </w:tc>
      </w:tr>
    </w:tbl>
    <w:p>
      <w:pPr>
        <w:pStyle w:val="3"/>
        <w:spacing w:after="0" w:line="252" w:lineRule="auto"/>
        <w:rPr>
          <w:rFonts w:eastAsiaTheme="minorEastAsia"/>
          <w:lang w:eastAsia="zh-CN"/>
        </w:rPr>
      </w:pPr>
    </w:p>
    <w:p>
      <w:pPr>
        <w:widowControl w:val="0"/>
        <w:snapToGrid w:val="0"/>
        <w:spacing w:after="120"/>
        <w:jc w:val="both"/>
        <w:rPr>
          <w:rFonts w:ascii="Times" w:hAnsi="Times" w:eastAsia="Batang"/>
          <w:b/>
          <w:lang w:val="en-GB"/>
        </w:rPr>
      </w:pPr>
      <w:r>
        <w:rPr>
          <w:rFonts w:hint="eastAsia" w:ascii="Times" w:hAnsi="Times" w:eastAsia="Batang"/>
          <w:b/>
          <w:lang w:val="en-GB"/>
        </w:rPr>
        <w:t xml:space="preserve">Observation </w:t>
      </w:r>
      <w:r>
        <w:rPr>
          <w:rFonts w:ascii="Times" w:hAnsi="Times" w:eastAsia="Batang"/>
          <w:b/>
          <w:lang w:val="en-GB"/>
        </w:rPr>
        <w:t>3</w:t>
      </w:r>
      <w:r>
        <w:rPr>
          <w:rFonts w:hint="eastAsia" w:ascii="Times" w:hAnsi="Times" w:eastAsia="Batang"/>
          <w:b/>
          <w:lang w:val="en-GB"/>
        </w:rPr>
        <w:t xml:space="preserve">: </w:t>
      </w:r>
      <w:r>
        <w:rPr>
          <w:rFonts w:ascii="Times" w:hAnsi="Times" w:eastAsia="Batang"/>
          <w:b/>
          <w:lang w:val="en-GB"/>
        </w:rPr>
        <w:t xml:space="preserve">For </w:t>
      </w:r>
      <w:r>
        <w:rPr>
          <w:rFonts w:ascii="Times" w:hAnsi="Times" w:eastAsia="Batang"/>
          <w:b/>
          <w:bCs/>
        </w:rPr>
        <w:t xml:space="preserve">PUCCH for </w:t>
      </w:r>
      <w:r>
        <w:rPr>
          <w:rFonts w:ascii="Times" w:hAnsi="Times" w:eastAsia="Batang"/>
          <w:b/>
        </w:rPr>
        <w:t>Msg4 HARQ-ACK, the existing specification cannot meet the performance requirement with a gap of 4.18 dB</w:t>
      </w:r>
      <w:r>
        <w:rPr>
          <w:rFonts w:ascii="Times" w:hAnsi="Times" w:eastAsia="Batang"/>
          <w:b/>
          <w:lang w:val="en-GB"/>
        </w:rPr>
        <w:t>.</w:t>
      </w:r>
    </w:p>
    <w:p>
      <w:pPr>
        <w:pStyle w:val="3"/>
        <w:spacing w:line="252" w:lineRule="auto"/>
        <w:rPr>
          <w:rFonts w:ascii="Times" w:hAnsi="Times" w:eastAsia="Batang"/>
          <w:b/>
          <w:lang w:val="en-GB"/>
        </w:rPr>
      </w:pPr>
      <w:r>
        <w:rPr>
          <w:rFonts w:ascii="Times" w:hAnsi="Times" w:eastAsia="Batang"/>
          <w:b/>
          <w:lang w:val="en-GB"/>
        </w:rPr>
        <w:t>Proposal 2</w:t>
      </w:r>
      <w:r>
        <w:rPr>
          <w:rFonts w:hint="eastAsia" w:ascii="Times" w:hAnsi="Times" w:eastAsia="Batang"/>
          <w:b/>
          <w:lang w:val="en-GB"/>
        </w:rPr>
        <w:t>:</w:t>
      </w:r>
      <w:r>
        <w:rPr>
          <w:rFonts w:ascii="Times" w:hAnsi="Times" w:eastAsia="Batang"/>
          <w:b/>
          <w:lang w:val="en-GB"/>
        </w:rPr>
        <w:t xml:space="preserve"> </w:t>
      </w:r>
      <w:r>
        <w:rPr>
          <w:rFonts w:ascii="Times" w:hAnsi="Times" w:eastAsia="Batang"/>
          <w:b/>
        </w:rPr>
        <w:t xml:space="preserve">PUCCH for Msg4 HARQ-ACK repetition can be considered to compensate the performance gap, and the </w:t>
      </w:r>
      <w:r>
        <w:rPr>
          <w:rFonts w:ascii="Times" w:hAnsi="Times" w:eastAsia="Batang"/>
          <w:b/>
          <w:bCs/>
        </w:rPr>
        <w:t>maximum number of repetitions is 4.</w:t>
      </w:r>
    </w:p>
    <w:p>
      <w:pPr>
        <w:pStyle w:val="3"/>
        <w:spacing w:line="252" w:lineRule="auto"/>
        <w:jc w:val="center"/>
        <w:rPr>
          <w:rFonts w:eastAsiaTheme="minorEastAsia"/>
          <w:lang w:eastAsia="zh-CN"/>
        </w:rPr>
      </w:pPr>
      <w:r>
        <w:rPr>
          <w:rFonts w:eastAsiaTheme="minorEastAsia"/>
          <w:lang w:eastAsia="zh-CN"/>
        </w:rPr>
        <w:drawing>
          <wp:inline distT="0" distB="0" distL="0" distR="0">
            <wp:extent cx="3067050" cy="18757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80214" cy="1883965"/>
                    </a:xfrm>
                    <a:prstGeom prst="rect">
                      <a:avLst/>
                    </a:prstGeom>
                    <a:noFill/>
                  </pic:spPr>
                </pic:pic>
              </a:graphicData>
            </a:graphic>
          </wp:inline>
        </w:drawing>
      </w:r>
    </w:p>
    <w:p>
      <w:pPr>
        <w:pStyle w:val="3"/>
        <w:spacing w:after="0" w:line="252" w:lineRule="auto"/>
        <w:jc w:val="center"/>
        <w:rPr>
          <w:rFonts w:eastAsiaTheme="minorEastAsia"/>
          <w:szCs w:val="20"/>
          <w:lang w:val="en-GB" w:eastAsia="zh-CN"/>
        </w:rPr>
      </w:pPr>
      <w:r>
        <w:rPr>
          <w:rFonts w:hint="eastAsia" w:eastAsiaTheme="minorEastAsia"/>
          <w:szCs w:val="20"/>
          <w:lang w:val="en-GB" w:eastAsia="zh-CN"/>
        </w:rPr>
        <w:t>F</w:t>
      </w:r>
      <w:r>
        <w:rPr>
          <w:rFonts w:eastAsiaTheme="minorEastAsia"/>
          <w:szCs w:val="20"/>
          <w:lang w:val="en-GB" w:eastAsia="zh-CN"/>
        </w:rPr>
        <w:t>ig 2. UL CNR for different elevation angle in NTN.</w:t>
      </w:r>
    </w:p>
    <w:p>
      <w:pPr>
        <w:pStyle w:val="3"/>
        <w:spacing w:after="0" w:line="252" w:lineRule="auto"/>
        <w:jc w:val="center"/>
        <w:rPr>
          <w:rFonts w:eastAsiaTheme="minorEastAsia"/>
          <w:lang w:eastAsia="zh-CN"/>
        </w:rPr>
      </w:pPr>
    </w:p>
    <w:p>
      <w:pPr>
        <w:pStyle w:val="3"/>
        <w:spacing w:line="252" w:lineRule="auto"/>
        <w:rPr>
          <w:rFonts w:eastAsiaTheme="minorEastAsia"/>
          <w:lang w:eastAsia="zh-CN"/>
        </w:rPr>
      </w:pPr>
      <w:r>
        <w:rPr>
          <w:rFonts w:eastAsiaTheme="minorEastAsia"/>
          <w:lang w:eastAsia="zh-CN"/>
        </w:rPr>
        <w:t xml:space="preserve">In addition, we provide the UL CNR results for different elevation angle in NTN. It can be observed that the variation range of UL CNR within a NTN cell is small, even less than 1.5dB, which is the NTN-specific characteristic. Therefore, a cell-specific indication of repetition number for </w:t>
      </w:r>
      <w:r>
        <w:rPr>
          <w:rFonts w:eastAsiaTheme="minorEastAsia"/>
          <w:bCs/>
          <w:lang w:eastAsia="zh-CN"/>
        </w:rPr>
        <w:t xml:space="preserve">PUCCH for </w:t>
      </w:r>
      <w:r>
        <w:rPr>
          <w:rFonts w:eastAsia="宋体"/>
          <w:szCs w:val="20"/>
          <w:lang w:eastAsia="ja-JP"/>
        </w:rPr>
        <w:t>Msg4 HARQ-ACK can be considered in NR NTN.</w:t>
      </w:r>
    </w:p>
    <w:p>
      <w:pPr>
        <w:pStyle w:val="3"/>
        <w:spacing w:line="252" w:lineRule="auto"/>
        <w:rPr>
          <w:rFonts w:ascii="Times" w:hAnsi="Times" w:eastAsia="Batang"/>
          <w:b/>
          <w:lang w:val="en-GB"/>
        </w:rPr>
      </w:pPr>
      <w:r>
        <w:rPr>
          <w:rFonts w:ascii="Times" w:hAnsi="Times" w:eastAsia="Batang"/>
          <w:b/>
          <w:lang w:val="en-GB"/>
        </w:rPr>
        <w:t>Proposal 3</w:t>
      </w:r>
      <w:r>
        <w:rPr>
          <w:rFonts w:hint="eastAsia" w:ascii="Times" w:hAnsi="Times" w:eastAsia="Batang"/>
          <w:b/>
          <w:lang w:val="en-GB"/>
        </w:rPr>
        <w:t>:</w:t>
      </w:r>
      <w:r>
        <w:rPr>
          <w:rFonts w:ascii="Times" w:hAnsi="Times" w:eastAsia="Batang"/>
          <w:b/>
          <w:lang w:val="en-GB"/>
        </w:rPr>
        <w:t xml:space="preserve"> </w:t>
      </w:r>
      <w:r>
        <w:rPr>
          <w:rFonts w:ascii="Times" w:hAnsi="Times" w:eastAsia="Batang"/>
          <w:b/>
        </w:rPr>
        <w:t xml:space="preserve">A cell-specific indication of repetition number for </w:t>
      </w:r>
      <w:r>
        <w:rPr>
          <w:rFonts w:ascii="Times" w:hAnsi="Times" w:eastAsia="Batang"/>
          <w:b/>
          <w:bCs/>
        </w:rPr>
        <w:t xml:space="preserve">PUCCH for </w:t>
      </w:r>
      <w:r>
        <w:rPr>
          <w:rFonts w:ascii="Times" w:hAnsi="Times" w:eastAsia="Batang"/>
          <w:b/>
        </w:rPr>
        <w:t>Msg4 HARQ-ACK can be considered in NR NTN</w:t>
      </w:r>
      <w:r>
        <w:rPr>
          <w:rFonts w:ascii="Times" w:hAnsi="Times" w:eastAsia="Batang"/>
          <w:b/>
          <w:bCs/>
        </w:rPr>
        <w:t>.</w:t>
      </w:r>
    </w:p>
    <w:p>
      <w:pPr>
        <w:spacing w:line="252" w:lineRule="auto"/>
        <w:rPr>
          <w:rFonts w:eastAsiaTheme="minorEastAsia"/>
          <w:lang w:val="en-GB"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 we present our evaluation results</w:t>
      </w:r>
      <w:r>
        <w:rPr>
          <w:rFonts w:eastAsia="等线"/>
          <w:szCs w:val="20"/>
          <w:lang w:eastAsia="zh-CN"/>
        </w:rPr>
        <w:t xml:space="preserve"> and analysis on coverage </w:t>
      </w:r>
      <w:r>
        <w:rPr>
          <w:rFonts w:hint="eastAsia" w:eastAsia="等线"/>
          <w:szCs w:val="20"/>
          <w:lang w:eastAsia="zh-CN"/>
        </w:rPr>
        <w:t>enhancement</w:t>
      </w:r>
      <w:r>
        <w:rPr>
          <w:rFonts w:eastAsia="等线"/>
          <w:szCs w:val="20"/>
          <w:lang w:eastAsia="zh-CN"/>
        </w:rPr>
        <w:t xml:space="preserve"> for PUSCH for VoIP and PUCCH for Msg4 HARQ-ACK</w:t>
      </w:r>
      <w:r>
        <w:rPr>
          <w:szCs w:val="20"/>
        </w:rPr>
        <w:t>. The following observations are made:</w:t>
      </w:r>
    </w:p>
    <w:p>
      <w:pPr>
        <w:widowControl w:val="0"/>
        <w:snapToGrid w:val="0"/>
        <w:spacing w:after="120"/>
        <w:jc w:val="both"/>
        <w:rPr>
          <w:rFonts w:ascii="Times" w:hAnsi="Times" w:eastAsia="Batang"/>
          <w:b/>
          <w:lang w:val="en-GB"/>
        </w:rPr>
      </w:pPr>
      <w:r>
        <w:rPr>
          <w:rFonts w:hint="eastAsia" w:ascii="Times" w:hAnsi="Times" w:eastAsia="Batang"/>
          <w:b/>
          <w:lang w:val="en-GB"/>
        </w:rPr>
        <w:t xml:space="preserve">Observation </w:t>
      </w:r>
      <w:r>
        <w:rPr>
          <w:rFonts w:ascii="Times" w:hAnsi="Times" w:eastAsia="Batang"/>
          <w:b/>
          <w:lang w:val="en-GB"/>
        </w:rPr>
        <w:t>1</w:t>
      </w:r>
      <w:r>
        <w:rPr>
          <w:rFonts w:hint="eastAsia" w:ascii="Times" w:hAnsi="Times" w:eastAsia="Batang"/>
          <w:b/>
          <w:lang w:val="en-GB"/>
        </w:rPr>
        <w:t xml:space="preserve">: </w:t>
      </w:r>
      <w:r>
        <w:rPr>
          <w:rFonts w:ascii="Times" w:hAnsi="Times" w:eastAsia="Batang"/>
          <w:b/>
          <w:lang w:val="en-GB"/>
        </w:rPr>
        <w:t>PUSCH for VoIP can not be supported for LEO-1200 set-1 with a gap of 2.65dB.</w:t>
      </w:r>
    </w:p>
    <w:p>
      <w:pPr>
        <w:pStyle w:val="3"/>
        <w:spacing w:line="252" w:lineRule="auto"/>
        <w:rPr>
          <w:rFonts w:ascii="Times" w:hAnsi="Times" w:eastAsia="Batang"/>
          <w:b/>
          <w:lang w:val="en-GB"/>
        </w:rPr>
      </w:pPr>
      <w:r>
        <w:rPr>
          <w:rFonts w:hint="eastAsia" w:ascii="Times" w:hAnsi="Times" w:eastAsia="Batang"/>
          <w:b/>
          <w:lang w:val="en-GB"/>
        </w:rPr>
        <w:t xml:space="preserve">Observation </w:t>
      </w:r>
      <w:r>
        <w:rPr>
          <w:rFonts w:ascii="Times" w:hAnsi="Times" w:eastAsia="Batang"/>
          <w:b/>
          <w:lang w:val="en-GB"/>
        </w:rPr>
        <w:t>2</w:t>
      </w:r>
      <w:r>
        <w:rPr>
          <w:rFonts w:hint="eastAsia" w:ascii="Times" w:hAnsi="Times" w:eastAsia="Batang"/>
          <w:b/>
          <w:lang w:val="en-GB"/>
        </w:rPr>
        <w:t xml:space="preserve">: </w:t>
      </w:r>
      <w:r>
        <w:rPr>
          <w:rFonts w:ascii="Times" w:hAnsi="Times" w:eastAsia="Batang"/>
          <w:b/>
        </w:rPr>
        <w:t>UE self-estimated TA</w:t>
      </w:r>
      <w:r>
        <w:rPr>
          <w:rFonts w:ascii="Times" w:hAnsi="Times" w:eastAsia="Batang"/>
          <w:b/>
          <w:lang w:val="en-GB"/>
        </w:rPr>
        <w:t xml:space="preserve"> violates power consistency and phase </w:t>
      </w:r>
      <w:r>
        <w:rPr>
          <w:rFonts w:hint="eastAsia" w:ascii="Times" w:hAnsi="Times" w:eastAsia="宋体"/>
          <w:b/>
          <w:lang w:val="en-GB" w:eastAsia="zh-CN"/>
        </w:rPr>
        <w:t>continuity</w:t>
      </w:r>
      <w:r>
        <w:rPr>
          <w:rFonts w:ascii="Times" w:hAnsi="Times" w:eastAsia="Batang"/>
          <w:b/>
          <w:lang w:val="en-GB"/>
        </w:rPr>
        <w:t xml:space="preserve"> for DMRS bundling.</w:t>
      </w:r>
    </w:p>
    <w:p>
      <w:pPr>
        <w:pStyle w:val="3"/>
        <w:spacing w:line="252" w:lineRule="auto"/>
        <w:rPr>
          <w:rFonts w:ascii="Times" w:hAnsi="Times" w:eastAsia="Batang"/>
          <w:b/>
          <w:lang w:val="en-GB"/>
        </w:rPr>
      </w:pPr>
      <w:r>
        <w:rPr>
          <w:rFonts w:ascii="Times" w:hAnsi="Times" w:eastAsia="Batang"/>
          <w:b/>
          <w:lang w:val="en-GB"/>
        </w:rPr>
        <w:t>Proposal 1</w:t>
      </w:r>
      <w:r>
        <w:rPr>
          <w:rFonts w:hint="eastAsia" w:ascii="Times" w:hAnsi="Times" w:eastAsia="Batang"/>
          <w:b/>
          <w:lang w:val="en-GB"/>
        </w:rPr>
        <w:t>:</w:t>
      </w:r>
      <w:r>
        <w:rPr>
          <w:rFonts w:ascii="Times" w:hAnsi="Times" w:eastAsia="Batang"/>
          <w:b/>
          <w:lang w:val="en-GB"/>
        </w:rPr>
        <w:t xml:space="preserve"> Segmented UE pre-compensation can be considered to ensure DMRS bundling can be applied to NR NTN.</w:t>
      </w:r>
    </w:p>
    <w:p>
      <w:pPr>
        <w:widowControl w:val="0"/>
        <w:snapToGrid w:val="0"/>
        <w:spacing w:after="120"/>
        <w:jc w:val="both"/>
        <w:rPr>
          <w:rFonts w:ascii="Times" w:hAnsi="Times" w:eastAsia="Batang"/>
          <w:b/>
          <w:lang w:val="en-GB"/>
        </w:rPr>
      </w:pPr>
      <w:r>
        <w:rPr>
          <w:rFonts w:hint="eastAsia" w:ascii="Times" w:hAnsi="Times" w:eastAsia="Batang"/>
          <w:b/>
          <w:lang w:val="en-GB"/>
        </w:rPr>
        <w:t xml:space="preserve">Observation </w:t>
      </w:r>
      <w:r>
        <w:rPr>
          <w:rFonts w:ascii="Times" w:hAnsi="Times" w:eastAsia="Batang"/>
          <w:b/>
          <w:lang w:val="en-GB"/>
        </w:rPr>
        <w:t>3</w:t>
      </w:r>
      <w:r>
        <w:rPr>
          <w:rFonts w:hint="eastAsia" w:ascii="Times" w:hAnsi="Times" w:eastAsia="Batang"/>
          <w:b/>
          <w:lang w:val="en-GB"/>
        </w:rPr>
        <w:t xml:space="preserve">: </w:t>
      </w:r>
      <w:r>
        <w:rPr>
          <w:rFonts w:ascii="Times" w:hAnsi="Times" w:eastAsia="Batang"/>
          <w:b/>
          <w:lang w:val="en-GB"/>
        </w:rPr>
        <w:t xml:space="preserve">For </w:t>
      </w:r>
      <w:r>
        <w:rPr>
          <w:rFonts w:ascii="Times" w:hAnsi="Times" w:eastAsia="Batang"/>
          <w:b/>
          <w:bCs/>
        </w:rPr>
        <w:t xml:space="preserve">PUCCH for </w:t>
      </w:r>
      <w:r>
        <w:rPr>
          <w:rFonts w:ascii="Times" w:hAnsi="Times" w:eastAsia="Batang"/>
          <w:b/>
        </w:rPr>
        <w:t>Msg4 HARQ-ACK, the existing specification cannot meet the performance requirement with a gap of 4.18 dB</w:t>
      </w:r>
      <w:r>
        <w:rPr>
          <w:rFonts w:ascii="Times" w:hAnsi="Times" w:eastAsia="Batang"/>
          <w:b/>
          <w:lang w:val="en-GB"/>
        </w:rPr>
        <w:t>.</w:t>
      </w:r>
    </w:p>
    <w:p>
      <w:pPr>
        <w:pStyle w:val="3"/>
        <w:spacing w:line="252" w:lineRule="auto"/>
        <w:rPr>
          <w:rFonts w:ascii="Times" w:hAnsi="Times" w:eastAsia="Batang"/>
          <w:b/>
          <w:lang w:val="en-GB"/>
        </w:rPr>
      </w:pPr>
      <w:r>
        <w:rPr>
          <w:rFonts w:ascii="Times" w:hAnsi="Times" w:eastAsia="Batang"/>
          <w:b/>
          <w:lang w:val="en-GB"/>
        </w:rPr>
        <w:t>Proposal 2</w:t>
      </w:r>
      <w:r>
        <w:rPr>
          <w:rFonts w:hint="eastAsia" w:ascii="Times" w:hAnsi="Times" w:eastAsia="Batang"/>
          <w:b/>
          <w:lang w:val="en-GB"/>
        </w:rPr>
        <w:t>:</w:t>
      </w:r>
      <w:r>
        <w:rPr>
          <w:rFonts w:ascii="Times" w:hAnsi="Times" w:eastAsia="Batang"/>
          <w:b/>
          <w:lang w:val="en-GB"/>
        </w:rPr>
        <w:t xml:space="preserve"> </w:t>
      </w:r>
      <w:r>
        <w:rPr>
          <w:rFonts w:ascii="Times" w:hAnsi="Times" w:eastAsia="Batang"/>
          <w:b/>
        </w:rPr>
        <w:t xml:space="preserve">PUCCH for Msg4 HARQ-ACK repetition can be considered to compensate the performance gap, and the </w:t>
      </w:r>
      <w:r>
        <w:rPr>
          <w:rFonts w:ascii="Times" w:hAnsi="Times" w:eastAsia="Batang"/>
          <w:b/>
          <w:bCs/>
        </w:rPr>
        <w:t>maximum number of repetitions is 4.</w:t>
      </w:r>
    </w:p>
    <w:p>
      <w:pPr>
        <w:pStyle w:val="3"/>
        <w:spacing w:line="252" w:lineRule="auto"/>
        <w:rPr>
          <w:rFonts w:ascii="Times" w:hAnsi="Times" w:eastAsia="Batang"/>
          <w:b/>
          <w:lang w:val="en-GB"/>
        </w:rPr>
      </w:pPr>
      <w:r>
        <w:rPr>
          <w:rFonts w:ascii="Times" w:hAnsi="Times" w:eastAsia="Batang"/>
          <w:b/>
          <w:lang w:val="en-GB"/>
        </w:rPr>
        <w:t>Proposal 3</w:t>
      </w:r>
      <w:r>
        <w:rPr>
          <w:rFonts w:hint="eastAsia" w:ascii="Times" w:hAnsi="Times" w:eastAsia="Batang"/>
          <w:b/>
          <w:lang w:val="en-GB"/>
        </w:rPr>
        <w:t>:</w:t>
      </w:r>
      <w:r>
        <w:rPr>
          <w:rFonts w:ascii="Times" w:hAnsi="Times" w:eastAsia="Batang"/>
          <w:b/>
          <w:lang w:val="en-GB"/>
        </w:rPr>
        <w:t xml:space="preserve"> </w:t>
      </w:r>
      <w:r>
        <w:rPr>
          <w:rFonts w:ascii="Times" w:hAnsi="Times" w:eastAsia="Batang"/>
          <w:b/>
        </w:rPr>
        <w:t xml:space="preserve">A cell-specific indication of repetition number for </w:t>
      </w:r>
      <w:r>
        <w:rPr>
          <w:rFonts w:ascii="Times" w:hAnsi="Times" w:eastAsia="Batang"/>
          <w:b/>
          <w:bCs/>
        </w:rPr>
        <w:t xml:space="preserve">PUCCH for </w:t>
      </w:r>
      <w:r>
        <w:rPr>
          <w:rFonts w:ascii="Times" w:hAnsi="Times" w:eastAsia="Batang"/>
          <w:b/>
        </w:rPr>
        <w:t>Msg4 HARQ-ACK can be considered in NR NTN</w:t>
      </w:r>
      <w:r>
        <w:rPr>
          <w:rFonts w:ascii="Times" w:hAnsi="Times" w:eastAsia="Batang"/>
          <w:b/>
          <w:bCs/>
        </w:rPr>
        <w:t>.</w:t>
      </w:r>
    </w:p>
    <w:p>
      <w:pPr>
        <w:pStyle w:val="3"/>
        <w:rPr>
          <w:rFonts w:eastAsia="宋体"/>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等线"/>
          <w:szCs w:val="20"/>
          <w:lang w:eastAsia="zh-CN"/>
        </w:rPr>
      </w:pPr>
      <w:r>
        <w:rPr>
          <w:rFonts w:eastAsia="等线"/>
          <w:szCs w:val="20"/>
          <w:lang w:eastAsia="zh-CN"/>
        </w:rPr>
        <w:t>[1]</w:t>
      </w:r>
      <w:r>
        <w:rPr>
          <w:rFonts w:eastAsia="宋体"/>
          <w:szCs w:val="20"/>
          <w:lang w:eastAsia="zh-CN"/>
        </w:rPr>
        <w:t xml:space="preserve">       RP-222654, “NR NTN (Non-Terrestrial Networks) enhancements”, Thales, RAN#97-e, September 2022</w:t>
      </w:r>
    </w:p>
    <w:p>
      <w:pPr>
        <w:pStyle w:val="3"/>
        <w:rPr>
          <w:rFonts w:eastAsia="宋体"/>
          <w:szCs w:val="20"/>
          <w:lang w:eastAsia="zh-CN"/>
        </w:rPr>
      </w:pPr>
      <w:r>
        <w:rPr>
          <w:rFonts w:eastAsia="宋体"/>
          <w:szCs w:val="20"/>
          <w:lang w:eastAsia="zh-CN"/>
        </w:rPr>
        <w:t>[2]       3GPP TR 38.821: Solutions for NR to support non-terrestrial networks (NTN)</w:t>
      </w:r>
    </w:p>
    <w:p>
      <w:pPr>
        <w:pStyle w:val="3"/>
        <w:rPr>
          <w:rFonts w:eastAsia="宋体"/>
          <w:szCs w:val="20"/>
          <w:lang w:eastAsia="zh-CN"/>
        </w:rPr>
      </w:pPr>
      <w:r>
        <w:rPr>
          <w:rFonts w:eastAsia="宋体"/>
          <w:szCs w:val="20"/>
          <w:lang w:eastAsia="zh-CN"/>
        </w:rPr>
        <w:t xml:space="preserve">[3]       </w:t>
      </w:r>
      <w:r>
        <w:rPr>
          <w:rFonts w:hint="eastAsia" w:eastAsia="宋体"/>
          <w:lang w:eastAsia="zh-CN"/>
        </w:rPr>
        <w:t>RAN1#1</w:t>
      </w:r>
      <w:r>
        <w:rPr>
          <w:rFonts w:eastAsia="宋体"/>
          <w:lang w:eastAsia="zh-CN"/>
        </w:rPr>
        <w:t>10</w:t>
      </w:r>
      <w:r>
        <w:rPr>
          <w:rFonts w:hint="eastAsia" w:eastAsia="宋体"/>
          <w:lang w:eastAsia="zh-CN"/>
        </w:rPr>
        <w:t xml:space="preserve"> meeting chairman notes</w:t>
      </w:r>
    </w:p>
    <w:p>
      <w:pPr>
        <w:pStyle w:val="3"/>
        <w:rPr>
          <w:rFonts w:eastAsia="宋体"/>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Simulation assumptions</w:t>
      </w:r>
    </w:p>
    <w:p>
      <w:pPr>
        <w:pStyle w:val="3"/>
        <w:jc w:val="center"/>
        <w:rPr>
          <w:rFonts w:eastAsiaTheme="minorEastAsia"/>
          <w:b/>
          <w:lang w:eastAsia="zh-CN"/>
        </w:rPr>
      </w:pPr>
      <w:r>
        <w:rPr>
          <w:rFonts w:hint="eastAsia" w:eastAsiaTheme="minorEastAsia"/>
          <w:b/>
          <w:lang w:eastAsia="zh-CN"/>
        </w:rPr>
        <w:t>T</w:t>
      </w:r>
      <w:r>
        <w:rPr>
          <w:rFonts w:eastAsiaTheme="minorEastAsia"/>
          <w:b/>
          <w:lang w:eastAsia="zh-CN"/>
        </w:rPr>
        <w:t>able 3. PUSCH for VoIP simulation assumption</w:t>
      </w:r>
    </w:p>
    <w:tbl>
      <w:tblPr>
        <w:tblStyle w:val="20"/>
        <w:tblW w:w="9067" w:type="dxa"/>
        <w:jc w:val="center"/>
        <w:tblInd w:w="0" w:type="dxa"/>
        <w:tblLayout w:type="fixed"/>
        <w:tblCellMar>
          <w:top w:w="0" w:type="dxa"/>
          <w:left w:w="0" w:type="dxa"/>
          <w:bottom w:w="0" w:type="dxa"/>
          <w:right w:w="0" w:type="dxa"/>
        </w:tblCellMar>
      </w:tblPr>
      <w:tblGrid>
        <w:gridCol w:w="3114"/>
        <w:gridCol w:w="5953"/>
      </w:tblGrid>
      <w:tr>
        <w:tblPrEx>
          <w:tblLayout w:type="fixed"/>
          <w:tblCellMar>
            <w:top w:w="0" w:type="dxa"/>
            <w:left w:w="0" w:type="dxa"/>
            <w:bottom w:w="0" w:type="dxa"/>
            <w:right w:w="0" w:type="dxa"/>
          </w:tblCellMar>
        </w:tblPrEx>
        <w:trPr>
          <w:trHeight w:val="379" w:hRule="atLeast"/>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Frequency hopping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w/o frequency hopping</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da-DK"/>
              </w:rPr>
            </w:pPr>
            <w:r>
              <w:rPr>
                <w:rFonts w:eastAsia="Batang"/>
                <w:szCs w:val="20"/>
                <w:lang w:val="da-DK"/>
              </w:rPr>
              <w:t>For VoIP, 2% rBLER.</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Number of UE transmit chains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 xml:space="preserve">1 </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DMRS configuration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For 3km/h: Type I, 2 DMRS symbol, no multiplexing with data.</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Waveform</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DFT-s-OFDM</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PUSCH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14 OS</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Repetitions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w/ type A repetition.</w:t>
            </w:r>
          </w:p>
          <w:p>
            <w:pPr>
              <w:snapToGrid w:val="0"/>
              <w:spacing w:before="20" w:after="20" w:line="276" w:lineRule="auto"/>
              <w:rPr>
                <w:rFonts w:eastAsia="Batang"/>
                <w:szCs w:val="20"/>
                <w:lang w:val="en-GB"/>
              </w:rPr>
            </w:pPr>
            <w:r>
              <w:rPr>
                <w:rFonts w:eastAsia="Batang"/>
                <w:szCs w:val="20"/>
                <w:lang w:val="en-GB"/>
              </w:rPr>
              <w:t>The actual number of repetitions is 20.</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HARQ configuration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 xml:space="preserve">Whether/How HARQ is adopted is reported by companies. </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PRBs/MCS for VoIP</w:t>
            </w:r>
          </w:p>
        </w:tc>
        <w:tc>
          <w:tcPr>
            <w:tcW w:w="5953" w:type="dxa"/>
            <w:tcBorders>
              <w:top w:val="nil"/>
              <w:left w:val="nil"/>
              <w:bottom w:val="single" w:color="auto" w:sz="4"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6/2/1RBs for MCS-0/5/9</w:t>
            </w:r>
          </w:p>
        </w:tc>
      </w:tr>
    </w:tbl>
    <w:p>
      <w:pPr>
        <w:pStyle w:val="3"/>
        <w:jc w:val="center"/>
        <w:rPr>
          <w:rFonts w:eastAsiaTheme="minorEastAsia"/>
          <w:b/>
          <w:lang w:eastAsia="zh-CN"/>
        </w:rPr>
      </w:pPr>
    </w:p>
    <w:p>
      <w:pPr>
        <w:pStyle w:val="3"/>
        <w:jc w:val="center"/>
        <w:rPr>
          <w:rFonts w:eastAsiaTheme="minorEastAsia"/>
          <w:b/>
          <w:lang w:eastAsia="zh-CN"/>
        </w:rPr>
      </w:pPr>
      <w:r>
        <w:rPr>
          <w:rFonts w:hint="eastAsia" w:eastAsiaTheme="minorEastAsia"/>
          <w:b/>
          <w:lang w:eastAsia="zh-CN"/>
        </w:rPr>
        <w:t>T</w:t>
      </w:r>
      <w:r>
        <w:rPr>
          <w:rFonts w:eastAsiaTheme="minorEastAsia"/>
          <w:b/>
          <w:lang w:eastAsia="zh-CN"/>
        </w:rPr>
        <w:t xml:space="preserve">able 4. PUCCH for Msg4 </w:t>
      </w:r>
      <w:r>
        <w:rPr>
          <w:rFonts w:hint="eastAsia" w:eastAsiaTheme="minorEastAsia"/>
          <w:b/>
          <w:lang w:val="en-US" w:eastAsia="zh-CN"/>
        </w:rPr>
        <w:t>HARQ</w:t>
      </w:r>
      <w:bookmarkStart w:id="2" w:name="_GoBack"/>
      <w:bookmarkEnd w:id="2"/>
      <w:r>
        <w:rPr>
          <w:rFonts w:eastAsiaTheme="minorEastAsia"/>
          <w:b/>
          <w:lang w:eastAsia="zh-CN"/>
        </w:rPr>
        <w:t>-ACK simulation assumption</w:t>
      </w:r>
    </w:p>
    <w:tbl>
      <w:tblPr>
        <w:tblStyle w:val="20"/>
        <w:tblW w:w="9067" w:type="dxa"/>
        <w:jc w:val="center"/>
        <w:tblInd w:w="0" w:type="dxa"/>
        <w:tblLayout w:type="fixed"/>
        <w:tblCellMar>
          <w:top w:w="0" w:type="dxa"/>
          <w:left w:w="0" w:type="dxa"/>
          <w:bottom w:w="0" w:type="dxa"/>
          <w:right w:w="0" w:type="dxa"/>
        </w:tblCellMar>
      </w:tblPr>
      <w:tblGrid>
        <w:gridCol w:w="3114"/>
        <w:gridCol w:w="5953"/>
      </w:tblGrid>
      <w:tr>
        <w:tblPrEx>
          <w:tblLayout w:type="fixed"/>
          <w:tblCellMar>
            <w:top w:w="0" w:type="dxa"/>
            <w:left w:w="0" w:type="dxa"/>
            <w:bottom w:w="0" w:type="dxa"/>
            <w:right w:w="0" w:type="dxa"/>
          </w:tblCellMar>
        </w:tblPrEx>
        <w:trPr>
          <w:trHeight w:val="379" w:hRule="atLeast"/>
          <w:jc w:val="center"/>
        </w:trPr>
        <w:tc>
          <w:tcPr>
            <w:tcW w:w="3114" w:type="dxa"/>
            <w:tcBorders>
              <w:top w:val="single" w:color="auto" w:sz="8" w:space="0"/>
              <w:left w:val="single" w:color="auto" w:sz="8" w:space="0"/>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color="auto" w:sz="8" w:space="0"/>
              <w:left w:val="nil"/>
              <w:bottom w:val="single" w:color="auto" w:sz="8" w:space="0"/>
              <w:right w:val="single" w:color="auto" w:sz="8" w:space="0"/>
            </w:tcBorders>
            <w:shd w:val="clear" w:color="auto" w:fill="D9E2F3"/>
            <w:tcMar>
              <w:top w:w="0" w:type="dxa"/>
              <w:left w:w="108" w:type="dxa"/>
              <w:bottom w:w="0" w:type="dxa"/>
              <w:right w:w="108" w:type="dxa"/>
            </w:tcMar>
            <w:vAlign w:val="center"/>
          </w:tcPr>
          <w:p>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PUCCH format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de-DE"/>
              </w:rPr>
            </w:pPr>
            <w:r>
              <w:rPr>
                <w:rFonts w:eastAsia="Batang"/>
                <w:szCs w:val="20"/>
                <w:lang w:val="de-DE"/>
              </w:rPr>
              <w:t>Format 1, 2bits UCI.</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Frequency hopping</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w/ frequency hopping</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BLER</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ind w:left="568" w:hanging="284"/>
              <w:rPr>
                <w:rFonts w:eastAsia="Batang"/>
                <w:szCs w:val="20"/>
                <w:lang w:val="en-GB"/>
              </w:rPr>
            </w:pPr>
            <w:r>
              <w:rPr>
                <w:rFonts w:eastAsia="Batang"/>
                <w:szCs w:val="20"/>
                <w:lang w:val="en-GB"/>
              </w:rPr>
              <w:t xml:space="preserve">-     For PUCCH format 1: </w:t>
            </w:r>
          </w:p>
          <w:p>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DTX to ACK probability: 1%. NACK to ACK probability: 0.1%.</w:t>
            </w:r>
          </w:p>
          <w:p>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ACK missed detection probability: 1%.</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Number of UE transmit chains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 xml:space="preserve">1 </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Repetitions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wo repetition.</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 xml:space="preserve">PUCCH duration        </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120" w:beforeLines="50" w:after="120" w:afterLines="50"/>
              <w:rPr>
                <w:rFonts w:eastAsia="Batang"/>
                <w:szCs w:val="20"/>
                <w:lang w:val="en-GB"/>
              </w:rPr>
            </w:pPr>
            <w:r>
              <w:rPr>
                <w:rFonts w:eastAsia="Batang"/>
                <w:szCs w:val="20"/>
                <w:lang w:val="en-GB"/>
              </w:rPr>
              <w:t>14 OS</w:t>
            </w:r>
          </w:p>
        </w:tc>
      </w:tr>
      <w:tr>
        <w:tblPrEx>
          <w:tblLayout w:type="fixed"/>
          <w:tblCellMar>
            <w:top w:w="0" w:type="dxa"/>
            <w:left w:w="0" w:type="dxa"/>
            <w:bottom w:w="0" w:type="dxa"/>
            <w:right w:w="0" w:type="dxa"/>
          </w:tblCellMar>
        </w:tblPrEx>
        <w:trPr>
          <w:trHeight w:val="147" w:hRule="atLeast"/>
          <w:jc w:val="center"/>
        </w:trPr>
        <w:tc>
          <w:tcPr>
            <w:tcW w:w="311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napToGrid w:val="0"/>
              <w:rPr>
                <w:rFonts w:eastAsia="Batang"/>
                <w:szCs w:val="20"/>
                <w:lang w:val="en-GB"/>
              </w:rPr>
            </w:pPr>
            <w:r>
              <w:rPr>
                <w:rFonts w:eastAsia="Batang"/>
                <w:szCs w:val="20"/>
                <w:lang w:val="en-GB"/>
              </w:rPr>
              <w:t>Number of PRBs</w:t>
            </w:r>
          </w:p>
        </w:tc>
        <w:tc>
          <w:tcPr>
            <w:tcW w:w="5953"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before="20" w:after="20" w:line="276" w:lineRule="auto"/>
              <w:rPr>
                <w:rFonts w:eastAsia="Batang"/>
                <w:szCs w:val="20"/>
                <w:lang w:val="en-GB"/>
              </w:rPr>
            </w:pPr>
            <w:r>
              <w:rPr>
                <w:rFonts w:eastAsia="Batang"/>
                <w:szCs w:val="20"/>
                <w:lang w:val="en-GB"/>
              </w:rPr>
              <w:t>1 PRB</w:t>
            </w:r>
          </w:p>
        </w:tc>
      </w:tr>
    </w:tbl>
    <w:p>
      <w:pPr>
        <w:pStyle w:val="3"/>
        <w:rPr>
          <w:rFonts w:eastAsiaTheme="minorEastAsia"/>
          <w:lang w:eastAsia="zh-CN"/>
        </w:rPr>
      </w:pPr>
    </w:p>
    <w:p>
      <w:pPr>
        <w:pStyle w:val="4"/>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Agreement at RAN1#110 meeting</w:t>
      </w:r>
    </w:p>
    <w:p>
      <w:pPr>
        <w:rPr>
          <w:rFonts w:eastAsia="Yu Gothic"/>
          <w:szCs w:val="20"/>
          <w:lang w:val="en-GB" w:eastAsia="zh-CN"/>
        </w:rPr>
      </w:pPr>
      <w:r>
        <w:rPr>
          <w:rFonts w:eastAsia="Yu Gothic"/>
          <w:szCs w:val="20"/>
          <w:highlight w:val="green"/>
          <w:lang w:val="en-GB" w:eastAsia="zh-CN"/>
        </w:rPr>
        <w:t>Agreement</w:t>
      </w:r>
    </w:p>
    <w:p>
      <w:pPr>
        <w:rPr>
          <w:rFonts w:eastAsia="Yu Gothic"/>
          <w:szCs w:val="20"/>
          <w:lang w:val="en-GB"/>
        </w:rPr>
      </w:pPr>
      <w:r>
        <w:rPr>
          <w:rFonts w:eastAsia="Yu Gothic"/>
          <w:szCs w:val="20"/>
          <w:lang w:val="en-GB"/>
        </w:rPr>
        <w:t xml:space="preserve">For NR-NTN coverage enhancement, </w:t>
      </w:r>
      <w:r>
        <w:rPr>
          <w:rFonts w:eastAsia="Batang"/>
          <w:szCs w:val="20"/>
        </w:rPr>
        <w:t>RAN1 concludes that coverage enhancements specifically for GEO and MEO are de-prioritized in Rel-18.</w:t>
      </w:r>
    </w:p>
    <w:p>
      <w:pPr>
        <w:numPr>
          <w:ilvl w:val="0"/>
          <w:numId w:val="9"/>
        </w:numPr>
        <w:overflowPunct w:val="0"/>
        <w:autoSpaceDE w:val="0"/>
        <w:autoSpaceDN w:val="0"/>
        <w:adjustRightInd w:val="0"/>
        <w:ind w:left="714" w:hanging="357"/>
        <w:textAlignment w:val="baseline"/>
        <w:rPr>
          <w:rFonts w:eastAsia="宋体"/>
          <w:szCs w:val="20"/>
          <w:lang w:eastAsia="ja-JP"/>
        </w:rPr>
      </w:pPr>
      <w:r>
        <w:rPr>
          <w:rFonts w:eastAsia="宋体"/>
          <w:szCs w:val="20"/>
          <w:lang w:eastAsia="ja-JP"/>
        </w:rPr>
        <w:t>Potential enhancements for LEO can also apply to GEO and MEO</w:t>
      </w:r>
    </w:p>
    <w:p>
      <w:pPr>
        <w:rPr>
          <w:rFonts w:eastAsia="Yu Gothic"/>
          <w:szCs w:val="20"/>
          <w:highlight w:val="green"/>
          <w:lang w:val="en-GB" w:eastAsia="zh-CN"/>
        </w:rPr>
      </w:pPr>
    </w:p>
    <w:p>
      <w:pPr>
        <w:rPr>
          <w:rFonts w:eastAsia="Yu Gothic"/>
          <w:szCs w:val="20"/>
          <w:lang w:val="en-GB" w:eastAsia="zh-CN"/>
        </w:rPr>
      </w:pPr>
      <w:r>
        <w:rPr>
          <w:rFonts w:eastAsia="Yu Gothic"/>
          <w:szCs w:val="20"/>
          <w:highlight w:val="green"/>
          <w:lang w:val="en-GB" w:eastAsia="zh-CN"/>
        </w:rPr>
        <w:t>Agreement</w:t>
      </w:r>
    </w:p>
    <w:p>
      <w:pPr>
        <w:rPr>
          <w:rFonts w:eastAsia="Yu Gothic"/>
          <w:szCs w:val="20"/>
          <w:lang w:val="en-GB" w:eastAsia="zh-CN"/>
        </w:rPr>
      </w:pPr>
      <w:r>
        <w:rPr>
          <w:rFonts w:eastAsia="Yu Gothic"/>
          <w:szCs w:val="20"/>
          <w:lang w:val="en-GB"/>
        </w:rPr>
        <w:t xml:space="preserve">For NR-NTN coverage enhancement in Rel-18, link budget of parameter set-1 for LEO-1200 operating at LOS is </w:t>
      </w:r>
      <w:r>
        <w:rPr>
          <w:rFonts w:eastAsia="Yu Gothic"/>
          <w:szCs w:val="20"/>
          <w:lang w:val="en-GB" w:eastAsia="zh-CN"/>
        </w:rPr>
        <w:t>considered as the target to evaluate whether each channel/signal with the existing specification needs to be enhanced or not. The targeted performances are used to evaluate the following services:</w:t>
      </w:r>
    </w:p>
    <w:p>
      <w:pPr>
        <w:numPr>
          <w:ilvl w:val="0"/>
          <w:numId w:val="9"/>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 xml:space="preserve">VoIP using AMR 4.75 kbps. </w:t>
      </w:r>
    </w:p>
    <w:p>
      <w:pPr>
        <w:numPr>
          <w:ilvl w:val="0"/>
          <w:numId w:val="9"/>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 xml:space="preserve">Low data rate of 3 kbps. </w:t>
      </w:r>
    </w:p>
    <w:p>
      <w:pPr>
        <w:numPr>
          <w:ilvl w:val="0"/>
          <w:numId w:val="9"/>
        </w:numPr>
        <w:overflowPunct w:val="0"/>
        <w:autoSpaceDE w:val="0"/>
        <w:autoSpaceDN w:val="0"/>
        <w:adjustRightInd w:val="0"/>
        <w:ind w:left="714" w:hanging="357"/>
        <w:textAlignment w:val="baseline"/>
        <w:rPr>
          <w:rFonts w:eastAsia="宋体"/>
          <w:szCs w:val="20"/>
          <w:lang w:eastAsia="ja-JP"/>
        </w:rPr>
      </w:pPr>
      <w:r>
        <w:rPr>
          <w:rFonts w:eastAsia="宋体"/>
          <w:szCs w:val="20"/>
          <w:lang w:eastAsia="ja-JP"/>
        </w:rPr>
        <w:t>Potential enhancements for deployments with parameter set-1 can also apply for deployments for parameter set-2</w:t>
      </w:r>
    </w:p>
    <w:p>
      <w:pPr>
        <w:pStyle w:val="3"/>
        <w:spacing w:after="0"/>
        <w:rPr>
          <w:rFonts w:eastAsiaTheme="minorEastAsia"/>
          <w:lang w:eastAsia="zh-CN"/>
        </w:rPr>
      </w:pPr>
    </w:p>
    <w:p>
      <w:pPr>
        <w:rPr>
          <w:rFonts w:eastAsia="Batang"/>
          <w:bCs/>
          <w:szCs w:val="20"/>
          <w:u w:val="single"/>
          <w:lang w:val="en-GB" w:eastAsia="zh-CN"/>
        </w:rPr>
      </w:pPr>
      <w:r>
        <w:rPr>
          <w:rFonts w:eastAsia="Batang"/>
          <w:bCs/>
          <w:szCs w:val="20"/>
          <w:u w:val="single"/>
          <w:lang w:val="en-GB" w:eastAsia="zh-CN"/>
        </w:rPr>
        <w:t>Observation</w:t>
      </w:r>
    </w:p>
    <w:p>
      <w:pPr>
        <w:snapToGrid w:val="0"/>
        <w:rPr>
          <w:rFonts w:eastAsia="Batang"/>
          <w:szCs w:val="20"/>
        </w:rPr>
      </w:pPr>
      <w:r>
        <w:rPr>
          <w:rFonts w:eastAsia="Batang"/>
          <w:szCs w:val="20"/>
        </w:rPr>
        <w:t xml:space="preserve">For PUCCH for Msg4 HARQ-ACK with </w:t>
      </w:r>
      <w:r>
        <w:rPr>
          <w:rFonts w:eastAsia="Yu Gothic"/>
          <w:szCs w:val="20"/>
          <w:lang w:val="en-GB"/>
        </w:rPr>
        <w:t>parameter set-1 for LEO-1200 operating at LOS</w:t>
      </w:r>
      <w:r>
        <w:rPr>
          <w:rFonts w:eastAsia="Batang"/>
          <w:szCs w:val="20"/>
        </w:rPr>
        <w:t>,</w:t>
      </w:r>
    </w:p>
    <w:p>
      <w:pPr>
        <w:numPr>
          <w:ilvl w:val="0"/>
          <w:numId w:val="10"/>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One source observed that the existing specification can meet the performance requirement.</w:t>
      </w:r>
    </w:p>
    <w:p>
      <w:pPr>
        <w:numPr>
          <w:ilvl w:val="0"/>
          <w:numId w:val="10"/>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Three sources observed that the existing specification cannot meet the performance requirement with a gap of 1.8 to 6 dB.</w:t>
      </w:r>
    </w:p>
    <w:p>
      <w:pPr>
        <w:rPr>
          <w:rFonts w:eastAsia="Batang"/>
          <w:bCs/>
          <w:szCs w:val="20"/>
          <w:u w:val="single"/>
        </w:rPr>
      </w:pPr>
    </w:p>
    <w:p>
      <w:pPr>
        <w:rPr>
          <w:rFonts w:eastAsia="Batang"/>
          <w:bCs/>
          <w:szCs w:val="20"/>
          <w:u w:val="single"/>
        </w:rPr>
      </w:pPr>
      <w:r>
        <w:rPr>
          <w:rFonts w:eastAsia="Batang"/>
          <w:bCs/>
          <w:szCs w:val="20"/>
          <w:u w:val="single"/>
        </w:rPr>
        <w:t>Conclusion</w:t>
      </w:r>
    </w:p>
    <w:p>
      <w:pPr>
        <w:rPr>
          <w:rFonts w:eastAsia="Batang"/>
          <w:szCs w:val="20"/>
        </w:rPr>
      </w:pPr>
      <w:r>
        <w:rPr>
          <w:rFonts w:eastAsia="Batang"/>
          <w:szCs w:val="20"/>
        </w:rPr>
        <w:t xml:space="preserve">RAN1 concluded that PUCCH for Msg4 HARQ-ACK should be enhanced to meet the coverage requirements for </w:t>
      </w:r>
      <w:r>
        <w:rPr>
          <w:rFonts w:eastAsia="Yu Gothic"/>
          <w:szCs w:val="20"/>
          <w:lang w:val="en-GB"/>
        </w:rPr>
        <w:t>parameter set-1 for LEO-1200 operating at LOS, assuming -5dBi UE antenna gain</w:t>
      </w:r>
      <w:r>
        <w:rPr>
          <w:rFonts w:eastAsia="Batang"/>
          <w:szCs w:val="20"/>
        </w:rPr>
        <w:t>.</w:t>
      </w:r>
    </w:p>
    <w:p>
      <w:pPr>
        <w:pStyle w:val="3"/>
        <w:spacing w:after="0"/>
        <w:rPr>
          <w:rFonts w:eastAsiaTheme="minorEastAsia"/>
          <w:lang w:eastAsia="zh-CN"/>
        </w:rPr>
      </w:pPr>
    </w:p>
    <w:p>
      <w:pPr>
        <w:rPr>
          <w:rFonts w:eastAsia="Batang"/>
          <w:bCs/>
          <w:szCs w:val="20"/>
          <w:u w:val="single"/>
          <w:lang w:val="en-GB" w:eastAsia="zh-CN"/>
        </w:rPr>
      </w:pPr>
      <w:r>
        <w:rPr>
          <w:rFonts w:eastAsia="Batang"/>
          <w:bCs/>
          <w:szCs w:val="20"/>
          <w:u w:val="single"/>
          <w:lang w:val="en-GB" w:eastAsia="zh-CN"/>
        </w:rPr>
        <w:t>Observation</w:t>
      </w:r>
    </w:p>
    <w:p>
      <w:pPr>
        <w:snapToGrid w:val="0"/>
        <w:rPr>
          <w:rFonts w:eastAsia="Batang"/>
          <w:szCs w:val="20"/>
        </w:rPr>
      </w:pPr>
      <w:r>
        <w:rPr>
          <w:rFonts w:eastAsia="Batang"/>
          <w:szCs w:val="20"/>
        </w:rPr>
        <w:t xml:space="preserve">For PUSCH for VoIP with </w:t>
      </w:r>
      <w:r>
        <w:rPr>
          <w:rFonts w:eastAsia="Yu Gothic"/>
          <w:szCs w:val="20"/>
          <w:lang w:val="en-GB"/>
        </w:rPr>
        <w:t>parameter set-1 for LEO-1200 operating at LOS</w:t>
      </w:r>
      <w:r>
        <w:rPr>
          <w:rFonts w:eastAsia="Batang"/>
          <w:szCs w:val="20"/>
        </w:rPr>
        <w:t>,</w:t>
      </w:r>
    </w:p>
    <w:p>
      <w:pPr>
        <w:numPr>
          <w:ilvl w:val="0"/>
          <w:numId w:val="11"/>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Six sources observed that the existing specification can meet the performance requirement with a margin of 0 to 1.7 dB</w:t>
      </w:r>
    </w:p>
    <w:p>
      <w:pPr>
        <w:numPr>
          <w:ilvl w:val="1"/>
          <w:numId w:val="11"/>
        </w:numPr>
        <w:overflowPunct w:val="0"/>
        <w:autoSpaceDE w:val="0"/>
        <w:autoSpaceDN w:val="0"/>
        <w:adjustRightInd w:val="0"/>
        <w:spacing w:after="180"/>
        <w:contextualSpacing/>
        <w:textAlignment w:val="baseline"/>
        <w:rPr>
          <w:rFonts w:eastAsia="宋体"/>
          <w:szCs w:val="20"/>
          <w:lang w:eastAsia="ja-JP"/>
        </w:rPr>
      </w:pPr>
      <w:r>
        <w:rPr>
          <w:szCs w:val="20"/>
          <w:lang w:eastAsia="ja-JP"/>
        </w:rPr>
        <w:t>One company simulated by using 20 repetitions without DMRS bundling</w:t>
      </w:r>
    </w:p>
    <w:p>
      <w:pPr>
        <w:numPr>
          <w:ilvl w:val="1"/>
          <w:numId w:val="11"/>
        </w:numPr>
        <w:overflowPunct w:val="0"/>
        <w:autoSpaceDE w:val="0"/>
        <w:autoSpaceDN w:val="0"/>
        <w:adjustRightInd w:val="0"/>
        <w:spacing w:after="180"/>
        <w:contextualSpacing/>
        <w:textAlignment w:val="baseline"/>
        <w:rPr>
          <w:rFonts w:eastAsia="宋体"/>
          <w:szCs w:val="20"/>
          <w:lang w:eastAsia="ja-JP"/>
        </w:rPr>
      </w:pPr>
      <w:r>
        <w:rPr>
          <w:szCs w:val="20"/>
          <w:lang w:eastAsia="ja-JP"/>
        </w:rPr>
        <w:t>Four companies simulated by using 20 repetitions with DMRS bundling</w:t>
      </w:r>
    </w:p>
    <w:p>
      <w:pPr>
        <w:numPr>
          <w:ilvl w:val="1"/>
          <w:numId w:val="11"/>
        </w:numPr>
        <w:overflowPunct w:val="0"/>
        <w:autoSpaceDE w:val="0"/>
        <w:autoSpaceDN w:val="0"/>
        <w:adjustRightInd w:val="0"/>
        <w:spacing w:after="180"/>
        <w:contextualSpacing/>
        <w:textAlignment w:val="baseline"/>
        <w:rPr>
          <w:rFonts w:eastAsia="宋体"/>
          <w:szCs w:val="20"/>
          <w:lang w:eastAsia="ja-JP"/>
        </w:rPr>
      </w:pPr>
      <w:r>
        <w:rPr>
          <w:szCs w:val="20"/>
          <w:lang w:eastAsia="ja-JP"/>
        </w:rPr>
        <w:t>One company simulated by using 32 repetitions with DMRS bundling</w:t>
      </w:r>
    </w:p>
    <w:p>
      <w:pPr>
        <w:numPr>
          <w:ilvl w:val="2"/>
          <w:numId w:val="11"/>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 xml:space="preserve">Note: this is the only result using </w:t>
      </w:r>
      <w:r>
        <w:rPr>
          <w:szCs w:val="20"/>
          <w:lang w:eastAsia="ja-JP"/>
        </w:rPr>
        <w:t>frame combining by application layer</w:t>
      </w:r>
    </w:p>
    <w:p>
      <w:pPr>
        <w:numPr>
          <w:ilvl w:val="0"/>
          <w:numId w:val="11"/>
        </w:numPr>
        <w:overflowPunct w:val="0"/>
        <w:autoSpaceDE w:val="0"/>
        <w:autoSpaceDN w:val="0"/>
        <w:adjustRightInd w:val="0"/>
        <w:spacing w:after="180"/>
        <w:contextualSpacing/>
        <w:textAlignment w:val="baseline"/>
        <w:rPr>
          <w:rFonts w:eastAsia="宋体"/>
          <w:szCs w:val="20"/>
          <w:lang w:eastAsia="ja-JP"/>
        </w:rPr>
      </w:pPr>
      <w:r>
        <w:rPr>
          <w:rFonts w:eastAsia="宋体"/>
          <w:szCs w:val="20"/>
          <w:lang w:eastAsia="ja-JP"/>
        </w:rPr>
        <w:t>Nine sources observed that the existing specification cannot meet the performance requirement with a gap of 0.3 to 8.6 dB</w:t>
      </w:r>
    </w:p>
    <w:p>
      <w:pPr>
        <w:numPr>
          <w:ilvl w:val="1"/>
          <w:numId w:val="11"/>
        </w:numPr>
        <w:overflowPunct w:val="0"/>
        <w:autoSpaceDE w:val="0"/>
        <w:autoSpaceDN w:val="0"/>
        <w:adjustRightInd w:val="0"/>
        <w:spacing w:after="180"/>
        <w:contextualSpacing/>
        <w:textAlignment w:val="baseline"/>
        <w:rPr>
          <w:rFonts w:eastAsia="宋体"/>
          <w:szCs w:val="20"/>
          <w:lang w:eastAsia="ja-JP"/>
        </w:rPr>
      </w:pPr>
      <w:r>
        <w:rPr>
          <w:szCs w:val="20"/>
          <w:lang w:eastAsia="ja-JP"/>
        </w:rPr>
        <w:t>Eight companies simulated by using 20 repetitions without DMRS bundling</w:t>
      </w:r>
    </w:p>
    <w:p>
      <w:pPr>
        <w:numPr>
          <w:ilvl w:val="1"/>
          <w:numId w:val="11"/>
        </w:numPr>
        <w:overflowPunct w:val="0"/>
        <w:autoSpaceDE w:val="0"/>
        <w:autoSpaceDN w:val="0"/>
        <w:adjustRightInd w:val="0"/>
        <w:spacing w:after="180"/>
        <w:contextualSpacing/>
        <w:textAlignment w:val="baseline"/>
        <w:rPr>
          <w:rFonts w:eastAsia="宋体"/>
          <w:szCs w:val="20"/>
          <w:lang w:eastAsia="ja-JP"/>
        </w:rPr>
      </w:pPr>
      <w:r>
        <w:rPr>
          <w:szCs w:val="20"/>
          <w:lang w:eastAsia="ja-JP"/>
        </w:rPr>
        <w:t>Seven companies simulated without frequency hopping</w:t>
      </w:r>
    </w:p>
    <w:p>
      <w:pPr>
        <w:numPr>
          <w:ilvl w:val="1"/>
          <w:numId w:val="11"/>
        </w:numPr>
        <w:overflowPunct w:val="0"/>
        <w:autoSpaceDE w:val="0"/>
        <w:autoSpaceDN w:val="0"/>
        <w:adjustRightInd w:val="0"/>
        <w:ind w:left="1434" w:hanging="357"/>
        <w:contextualSpacing/>
        <w:textAlignment w:val="baseline"/>
        <w:rPr>
          <w:rFonts w:eastAsia="宋体"/>
          <w:szCs w:val="20"/>
          <w:lang w:eastAsia="ja-JP"/>
        </w:rPr>
      </w:pPr>
      <w:r>
        <w:rPr>
          <w:szCs w:val="20"/>
          <w:lang w:eastAsia="ja-JP"/>
        </w:rPr>
        <w:t>One company simulated by using 16 repetitions with DMRS bundling</w:t>
      </w:r>
    </w:p>
    <w:p>
      <w:pPr>
        <w:rPr>
          <w:rFonts w:eastAsia="Batang"/>
          <w:szCs w:val="20"/>
        </w:rPr>
      </w:pPr>
      <w:r>
        <w:rPr>
          <w:rFonts w:eastAsia="Batang"/>
          <w:szCs w:val="20"/>
        </w:rPr>
        <w:t>Note: for the observations above, some sources used 1 Rx antenna and some sources used 2 Rx antennas at the satellite.</w:t>
      </w:r>
    </w:p>
    <w:p>
      <w:pPr>
        <w:rPr>
          <w:rFonts w:eastAsia="Batang"/>
          <w:szCs w:val="20"/>
          <w:lang w:val="en-GB" w:eastAsia="zh-CN"/>
        </w:rPr>
      </w:pPr>
    </w:p>
    <w:p>
      <w:pPr>
        <w:rPr>
          <w:rFonts w:eastAsia="Batang"/>
          <w:bCs/>
          <w:szCs w:val="20"/>
          <w:u w:val="single"/>
        </w:rPr>
      </w:pPr>
      <w:r>
        <w:rPr>
          <w:rFonts w:eastAsia="Batang"/>
          <w:bCs/>
          <w:szCs w:val="20"/>
          <w:u w:val="single"/>
        </w:rPr>
        <w:t>Observation</w:t>
      </w:r>
    </w:p>
    <w:p>
      <w:pPr>
        <w:rPr>
          <w:rFonts w:eastAsia="Batang"/>
          <w:szCs w:val="20"/>
        </w:rPr>
      </w:pPr>
      <w:r>
        <w:rPr>
          <w:rFonts w:eastAsia="Batang"/>
          <w:szCs w:val="20"/>
        </w:rPr>
        <w:t xml:space="preserve">RAN1 concluded that enhancement for PUSCH for VoIP may be needed to meet the coverage requirements for </w:t>
      </w:r>
      <w:r>
        <w:rPr>
          <w:rFonts w:eastAsia="Yu Gothic"/>
          <w:szCs w:val="20"/>
          <w:lang w:val="en-GB"/>
        </w:rPr>
        <w:t>parameter set-1 for LEO-1200 operating at LOS, assuming -5dBi UE antenna gain, when DMRS bundling is not applied.</w:t>
      </w:r>
    </w:p>
    <w:p>
      <w:pPr>
        <w:pStyle w:val="3"/>
        <w:spacing w:after="0"/>
        <w:rPr>
          <w:rFonts w:eastAsiaTheme="minorEastAsia"/>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5186320"/>
    <w:multiLevelType w:val="multilevel"/>
    <w:tmpl w:val="151863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55F2530"/>
    <w:multiLevelType w:val="multilevel"/>
    <w:tmpl w:val="155F25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690C2E"/>
    <w:multiLevelType w:val="multilevel"/>
    <w:tmpl w:val="41690C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8"/>
  </w:num>
  <w:num w:numId="4">
    <w:abstractNumId w:val="5"/>
  </w:num>
  <w:num w:numId="5">
    <w:abstractNumId w:val="1"/>
  </w:num>
  <w:num w:numId="6">
    <w:abstractNumId w:val="6"/>
  </w:num>
  <w:num w:numId="7">
    <w:abstractNumId w:val="9"/>
  </w:num>
  <w:num w:numId="8">
    <w:abstractNumId w:val="2"/>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D3D"/>
    <w:rsid w:val="000064C2"/>
    <w:rsid w:val="00006655"/>
    <w:rsid w:val="00011B2D"/>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0A8"/>
    <w:rsid w:val="0002743B"/>
    <w:rsid w:val="0003036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62531"/>
    <w:rsid w:val="00064A2B"/>
    <w:rsid w:val="000659BE"/>
    <w:rsid w:val="00066040"/>
    <w:rsid w:val="000660BD"/>
    <w:rsid w:val="00066CC7"/>
    <w:rsid w:val="00070940"/>
    <w:rsid w:val="0007312D"/>
    <w:rsid w:val="0007362D"/>
    <w:rsid w:val="00073B64"/>
    <w:rsid w:val="000741FB"/>
    <w:rsid w:val="0007544B"/>
    <w:rsid w:val="00075973"/>
    <w:rsid w:val="00081BD6"/>
    <w:rsid w:val="000829B6"/>
    <w:rsid w:val="0008457F"/>
    <w:rsid w:val="000850E7"/>
    <w:rsid w:val="000865B1"/>
    <w:rsid w:val="00086808"/>
    <w:rsid w:val="00086DA8"/>
    <w:rsid w:val="00086F4C"/>
    <w:rsid w:val="000871A0"/>
    <w:rsid w:val="00087DDE"/>
    <w:rsid w:val="0009037F"/>
    <w:rsid w:val="00090F1F"/>
    <w:rsid w:val="00091D81"/>
    <w:rsid w:val="0009473C"/>
    <w:rsid w:val="000A11A8"/>
    <w:rsid w:val="000A2BEF"/>
    <w:rsid w:val="000A46AA"/>
    <w:rsid w:val="000B0466"/>
    <w:rsid w:val="000B0890"/>
    <w:rsid w:val="000B0DCC"/>
    <w:rsid w:val="000B18AE"/>
    <w:rsid w:val="000B32DE"/>
    <w:rsid w:val="000B4D63"/>
    <w:rsid w:val="000C0FB6"/>
    <w:rsid w:val="000C1603"/>
    <w:rsid w:val="000C283F"/>
    <w:rsid w:val="000C4326"/>
    <w:rsid w:val="000C584C"/>
    <w:rsid w:val="000C79D9"/>
    <w:rsid w:val="000D0DC3"/>
    <w:rsid w:val="000D1226"/>
    <w:rsid w:val="000D217D"/>
    <w:rsid w:val="000D4ED9"/>
    <w:rsid w:val="000E0C43"/>
    <w:rsid w:val="000E1F91"/>
    <w:rsid w:val="000E5850"/>
    <w:rsid w:val="000E67A2"/>
    <w:rsid w:val="000F056C"/>
    <w:rsid w:val="000F12D9"/>
    <w:rsid w:val="000F287A"/>
    <w:rsid w:val="000F45DC"/>
    <w:rsid w:val="000F4CFC"/>
    <w:rsid w:val="000F4D84"/>
    <w:rsid w:val="000F7254"/>
    <w:rsid w:val="00101CFD"/>
    <w:rsid w:val="0010289E"/>
    <w:rsid w:val="001062DC"/>
    <w:rsid w:val="00106637"/>
    <w:rsid w:val="001108D7"/>
    <w:rsid w:val="001125BF"/>
    <w:rsid w:val="0011261A"/>
    <w:rsid w:val="0011285D"/>
    <w:rsid w:val="001141D4"/>
    <w:rsid w:val="00114BFB"/>
    <w:rsid w:val="00114C40"/>
    <w:rsid w:val="00114D33"/>
    <w:rsid w:val="00115575"/>
    <w:rsid w:val="00117F57"/>
    <w:rsid w:val="00120A54"/>
    <w:rsid w:val="00122329"/>
    <w:rsid w:val="00122D43"/>
    <w:rsid w:val="0012404F"/>
    <w:rsid w:val="001267D4"/>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4673"/>
    <w:rsid w:val="00195844"/>
    <w:rsid w:val="001958D2"/>
    <w:rsid w:val="00195E91"/>
    <w:rsid w:val="00196536"/>
    <w:rsid w:val="001A21C8"/>
    <w:rsid w:val="001A524D"/>
    <w:rsid w:val="001A56FC"/>
    <w:rsid w:val="001A65C8"/>
    <w:rsid w:val="001A7956"/>
    <w:rsid w:val="001B12BE"/>
    <w:rsid w:val="001B234C"/>
    <w:rsid w:val="001B48C7"/>
    <w:rsid w:val="001B4EA1"/>
    <w:rsid w:val="001B56BB"/>
    <w:rsid w:val="001B5F00"/>
    <w:rsid w:val="001B6AA1"/>
    <w:rsid w:val="001B7ED8"/>
    <w:rsid w:val="001C186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F22E9"/>
    <w:rsid w:val="001F3F1A"/>
    <w:rsid w:val="001F4A09"/>
    <w:rsid w:val="0020073A"/>
    <w:rsid w:val="00202388"/>
    <w:rsid w:val="00203A86"/>
    <w:rsid w:val="00203DF5"/>
    <w:rsid w:val="002050D7"/>
    <w:rsid w:val="00205B20"/>
    <w:rsid w:val="00210A7F"/>
    <w:rsid w:val="002117A5"/>
    <w:rsid w:val="00220846"/>
    <w:rsid w:val="00220A76"/>
    <w:rsid w:val="00221316"/>
    <w:rsid w:val="00223CEA"/>
    <w:rsid w:val="002248B2"/>
    <w:rsid w:val="00225B6B"/>
    <w:rsid w:val="00227974"/>
    <w:rsid w:val="0023041D"/>
    <w:rsid w:val="002309B4"/>
    <w:rsid w:val="0023111D"/>
    <w:rsid w:val="00231AFD"/>
    <w:rsid w:val="00233A7D"/>
    <w:rsid w:val="00241E92"/>
    <w:rsid w:val="00242BD7"/>
    <w:rsid w:val="00242E70"/>
    <w:rsid w:val="0024370E"/>
    <w:rsid w:val="00243A6E"/>
    <w:rsid w:val="002452A0"/>
    <w:rsid w:val="00245C4C"/>
    <w:rsid w:val="00246534"/>
    <w:rsid w:val="00250E92"/>
    <w:rsid w:val="00251DE1"/>
    <w:rsid w:val="00254122"/>
    <w:rsid w:val="00255916"/>
    <w:rsid w:val="00260F6A"/>
    <w:rsid w:val="00261082"/>
    <w:rsid w:val="0026127F"/>
    <w:rsid w:val="002612F3"/>
    <w:rsid w:val="00262F15"/>
    <w:rsid w:val="00263CA2"/>
    <w:rsid w:val="00264720"/>
    <w:rsid w:val="00264DEA"/>
    <w:rsid w:val="002715B9"/>
    <w:rsid w:val="00274C2E"/>
    <w:rsid w:val="0027662C"/>
    <w:rsid w:val="002779DC"/>
    <w:rsid w:val="00283CD3"/>
    <w:rsid w:val="002862CE"/>
    <w:rsid w:val="002876E3"/>
    <w:rsid w:val="00287C7F"/>
    <w:rsid w:val="00291469"/>
    <w:rsid w:val="00294608"/>
    <w:rsid w:val="00295720"/>
    <w:rsid w:val="00297252"/>
    <w:rsid w:val="002A2429"/>
    <w:rsid w:val="002A51CB"/>
    <w:rsid w:val="002A55C7"/>
    <w:rsid w:val="002A56A5"/>
    <w:rsid w:val="002A5BD2"/>
    <w:rsid w:val="002A7E34"/>
    <w:rsid w:val="002B13E3"/>
    <w:rsid w:val="002B1571"/>
    <w:rsid w:val="002B1B9C"/>
    <w:rsid w:val="002B29E9"/>
    <w:rsid w:val="002B3CB5"/>
    <w:rsid w:val="002B3D3A"/>
    <w:rsid w:val="002B4D4A"/>
    <w:rsid w:val="002B6DAF"/>
    <w:rsid w:val="002B7B25"/>
    <w:rsid w:val="002C13A3"/>
    <w:rsid w:val="002C1AB2"/>
    <w:rsid w:val="002C218A"/>
    <w:rsid w:val="002C5348"/>
    <w:rsid w:val="002C61B3"/>
    <w:rsid w:val="002C6909"/>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F28"/>
    <w:rsid w:val="00303516"/>
    <w:rsid w:val="00303688"/>
    <w:rsid w:val="00304BD5"/>
    <w:rsid w:val="003058DF"/>
    <w:rsid w:val="00306025"/>
    <w:rsid w:val="00311070"/>
    <w:rsid w:val="003112E5"/>
    <w:rsid w:val="00311CEC"/>
    <w:rsid w:val="003139F4"/>
    <w:rsid w:val="003156F3"/>
    <w:rsid w:val="00315A9B"/>
    <w:rsid w:val="003218A0"/>
    <w:rsid w:val="00322A9D"/>
    <w:rsid w:val="00324767"/>
    <w:rsid w:val="003250F6"/>
    <w:rsid w:val="003257FE"/>
    <w:rsid w:val="0032732A"/>
    <w:rsid w:val="00331B72"/>
    <w:rsid w:val="003320B9"/>
    <w:rsid w:val="0033217D"/>
    <w:rsid w:val="00333EF3"/>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399C"/>
    <w:rsid w:val="00365CB3"/>
    <w:rsid w:val="00366185"/>
    <w:rsid w:val="0036720E"/>
    <w:rsid w:val="00367925"/>
    <w:rsid w:val="0037248B"/>
    <w:rsid w:val="00376A77"/>
    <w:rsid w:val="00380A33"/>
    <w:rsid w:val="00380CA5"/>
    <w:rsid w:val="00380F64"/>
    <w:rsid w:val="0038120A"/>
    <w:rsid w:val="00381456"/>
    <w:rsid w:val="00385293"/>
    <w:rsid w:val="0038551F"/>
    <w:rsid w:val="0038600A"/>
    <w:rsid w:val="00392CD9"/>
    <w:rsid w:val="003931D5"/>
    <w:rsid w:val="00393FC0"/>
    <w:rsid w:val="0039627D"/>
    <w:rsid w:val="0039689B"/>
    <w:rsid w:val="00397814"/>
    <w:rsid w:val="003A11FC"/>
    <w:rsid w:val="003A165D"/>
    <w:rsid w:val="003A22D0"/>
    <w:rsid w:val="003A2742"/>
    <w:rsid w:val="003B0262"/>
    <w:rsid w:val="003B067A"/>
    <w:rsid w:val="003B09F2"/>
    <w:rsid w:val="003B6473"/>
    <w:rsid w:val="003B7B1F"/>
    <w:rsid w:val="003C156C"/>
    <w:rsid w:val="003C194F"/>
    <w:rsid w:val="003C1FAD"/>
    <w:rsid w:val="003C26C4"/>
    <w:rsid w:val="003C4051"/>
    <w:rsid w:val="003C48E9"/>
    <w:rsid w:val="003C6C18"/>
    <w:rsid w:val="003C6ED0"/>
    <w:rsid w:val="003C6F9D"/>
    <w:rsid w:val="003D0FEE"/>
    <w:rsid w:val="003D1711"/>
    <w:rsid w:val="003D1ADA"/>
    <w:rsid w:val="003D3F27"/>
    <w:rsid w:val="003D4228"/>
    <w:rsid w:val="003D47B0"/>
    <w:rsid w:val="003E0D3F"/>
    <w:rsid w:val="003E4DB4"/>
    <w:rsid w:val="003E57D9"/>
    <w:rsid w:val="003F054D"/>
    <w:rsid w:val="003F15B5"/>
    <w:rsid w:val="003F31F5"/>
    <w:rsid w:val="003F32AB"/>
    <w:rsid w:val="003F5DD0"/>
    <w:rsid w:val="00400DD2"/>
    <w:rsid w:val="00401A8E"/>
    <w:rsid w:val="00402B0E"/>
    <w:rsid w:val="00402C54"/>
    <w:rsid w:val="00403E3C"/>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6396"/>
    <w:rsid w:val="00436697"/>
    <w:rsid w:val="00437037"/>
    <w:rsid w:val="00437B5C"/>
    <w:rsid w:val="00440EEA"/>
    <w:rsid w:val="0044166F"/>
    <w:rsid w:val="00445937"/>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5D0E"/>
    <w:rsid w:val="004968ED"/>
    <w:rsid w:val="004A397F"/>
    <w:rsid w:val="004A6EB2"/>
    <w:rsid w:val="004A75B8"/>
    <w:rsid w:val="004A7614"/>
    <w:rsid w:val="004A7B80"/>
    <w:rsid w:val="004A7F61"/>
    <w:rsid w:val="004B6650"/>
    <w:rsid w:val="004C1AC4"/>
    <w:rsid w:val="004C2929"/>
    <w:rsid w:val="004C344E"/>
    <w:rsid w:val="004C3DB0"/>
    <w:rsid w:val="004C6ABC"/>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4F6834"/>
    <w:rsid w:val="00502652"/>
    <w:rsid w:val="00504D7F"/>
    <w:rsid w:val="005063FE"/>
    <w:rsid w:val="00510B02"/>
    <w:rsid w:val="00512040"/>
    <w:rsid w:val="00514230"/>
    <w:rsid w:val="00516681"/>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E3F"/>
    <w:rsid w:val="00560027"/>
    <w:rsid w:val="00560210"/>
    <w:rsid w:val="00561447"/>
    <w:rsid w:val="005618A4"/>
    <w:rsid w:val="005637E8"/>
    <w:rsid w:val="005643E8"/>
    <w:rsid w:val="00565EF3"/>
    <w:rsid w:val="00566ABE"/>
    <w:rsid w:val="00567A4F"/>
    <w:rsid w:val="00572E79"/>
    <w:rsid w:val="005742F1"/>
    <w:rsid w:val="00576CF3"/>
    <w:rsid w:val="00576E88"/>
    <w:rsid w:val="005816C4"/>
    <w:rsid w:val="00582E90"/>
    <w:rsid w:val="00591CAC"/>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3859"/>
    <w:rsid w:val="005C53D8"/>
    <w:rsid w:val="005C5CA3"/>
    <w:rsid w:val="005C7591"/>
    <w:rsid w:val="005C7CD6"/>
    <w:rsid w:val="005D3D2F"/>
    <w:rsid w:val="005E3740"/>
    <w:rsid w:val="005E4FE3"/>
    <w:rsid w:val="005E6F56"/>
    <w:rsid w:val="005F02F8"/>
    <w:rsid w:val="005F06CC"/>
    <w:rsid w:val="005F1DC3"/>
    <w:rsid w:val="005F2085"/>
    <w:rsid w:val="005F2661"/>
    <w:rsid w:val="005F3DB1"/>
    <w:rsid w:val="005F496C"/>
    <w:rsid w:val="005F66F9"/>
    <w:rsid w:val="005F7CD0"/>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41CFB"/>
    <w:rsid w:val="00643A94"/>
    <w:rsid w:val="00643B68"/>
    <w:rsid w:val="0064532E"/>
    <w:rsid w:val="006461FB"/>
    <w:rsid w:val="006465AD"/>
    <w:rsid w:val="006465F4"/>
    <w:rsid w:val="006471C3"/>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5D1A"/>
    <w:rsid w:val="006A01B8"/>
    <w:rsid w:val="006A188C"/>
    <w:rsid w:val="006A6725"/>
    <w:rsid w:val="006A68E9"/>
    <w:rsid w:val="006B41BF"/>
    <w:rsid w:val="006C2398"/>
    <w:rsid w:val="006C4C79"/>
    <w:rsid w:val="006C5E57"/>
    <w:rsid w:val="006D0D9B"/>
    <w:rsid w:val="006D2E96"/>
    <w:rsid w:val="006D6C9A"/>
    <w:rsid w:val="006D735C"/>
    <w:rsid w:val="006E0A9E"/>
    <w:rsid w:val="006E1953"/>
    <w:rsid w:val="006E3896"/>
    <w:rsid w:val="006E5B15"/>
    <w:rsid w:val="006F2664"/>
    <w:rsid w:val="006F295E"/>
    <w:rsid w:val="006F3B71"/>
    <w:rsid w:val="006F49D8"/>
    <w:rsid w:val="006F6F3D"/>
    <w:rsid w:val="006F730A"/>
    <w:rsid w:val="00702CF2"/>
    <w:rsid w:val="00702E64"/>
    <w:rsid w:val="00705950"/>
    <w:rsid w:val="00706688"/>
    <w:rsid w:val="00706B71"/>
    <w:rsid w:val="00707188"/>
    <w:rsid w:val="00712CD2"/>
    <w:rsid w:val="00713469"/>
    <w:rsid w:val="007139F0"/>
    <w:rsid w:val="00714517"/>
    <w:rsid w:val="00715296"/>
    <w:rsid w:val="00715D37"/>
    <w:rsid w:val="00717266"/>
    <w:rsid w:val="0072011E"/>
    <w:rsid w:val="007203FF"/>
    <w:rsid w:val="007206BE"/>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429C"/>
    <w:rsid w:val="007604C9"/>
    <w:rsid w:val="00760F15"/>
    <w:rsid w:val="00763CDC"/>
    <w:rsid w:val="007641E2"/>
    <w:rsid w:val="007652F7"/>
    <w:rsid w:val="00767B22"/>
    <w:rsid w:val="007708F0"/>
    <w:rsid w:val="0077149B"/>
    <w:rsid w:val="00772532"/>
    <w:rsid w:val="00774C6B"/>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3DC"/>
    <w:rsid w:val="007D25EF"/>
    <w:rsid w:val="007D29EB"/>
    <w:rsid w:val="007D3BE8"/>
    <w:rsid w:val="007D4262"/>
    <w:rsid w:val="007D4BC6"/>
    <w:rsid w:val="007D5C6B"/>
    <w:rsid w:val="007D63F6"/>
    <w:rsid w:val="007D719A"/>
    <w:rsid w:val="007D7A11"/>
    <w:rsid w:val="007D7B5D"/>
    <w:rsid w:val="007E0188"/>
    <w:rsid w:val="007E15AF"/>
    <w:rsid w:val="007E220B"/>
    <w:rsid w:val="007E22F0"/>
    <w:rsid w:val="007E48DD"/>
    <w:rsid w:val="007E6F4B"/>
    <w:rsid w:val="007F097F"/>
    <w:rsid w:val="007F2BA8"/>
    <w:rsid w:val="007F39AC"/>
    <w:rsid w:val="007F585B"/>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21284"/>
    <w:rsid w:val="00821B3B"/>
    <w:rsid w:val="00821E13"/>
    <w:rsid w:val="008238A5"/>
    <w:rsid w:val="00825E25"/>
    <w:rsid w:val="008265F2"/>
    <w:rsid w:val="0083082B"/>
    <w:rsid w:val="00833165"/>
    <w:rsid w:val="0083371D"/>
    <w:rsid w:val="008339CA"/>
    <w:rsid w:val="008343A4"/>
    <w:rsid w:val="00835325"/>
    <w:rsid w:val="00836072"/>
    <w:rsid w:val="00836BA0"/>
    <w:rsid w:val="00836E5B"/>
    <w:rsid w:val="00837108"/>
    <w:rsid w:val="00840C37"/>
    <w:rsid w:val="00842A9F"/>
    <w:rsid w:val="008442F2"/>
    <w:rsid w:val="008443CA"/>
    <w:rsid w:val="00845082"/>
    <w:rsid w:val="00847120"/>
    <w:rsid w:val="00847EAF"/>
    <w:rsid w:val="00851B75"/>
    <w:rsid w:val="0085524E"/>
    <w:rsid w:val="008578B5"/>
    <w:rsid w:val="00860803"/>
    <w:rsid w:val="00860FA9"/>
    <w:rsid w:val="00860FEC"/>
    <w:rsid w:val="00861B99"/>
    <w:rsid w:val="00863D0B"/>
    <w:rsid w:val="00864172"/>
    <w:rsid w:val="008644BC"/>
    <w:rsid w:val="008645FD"/>
    <w:rsid w:val="008661B0"/>
    <w:rsid w:val="00866336"/>
    <w:rsid w:val="008664A0"/>
    <w:rsid w:val="0086686A"/>
    <w:rsid w:val="008737F5"/>
    <w:rsid w:val="00875B02"/>
    <w:rsid w:val="00876E3C"/>
    <w:rsid w:val="008774EC"/>
    <w:rsid w:val="00877F24"/>
    <w:rsid w:val="00880679"/>
    <w:rsid w:val="00882D8B"/>
    <w:rsid w:val="008855F5"/>
    <w:rsid w:val="008859EE"/>
    <w:rsid w:val="00885DF1"/>
    <w:rsid w:val="00887428"/>
    <w:rsid w:val="00890C66"/>
    <w:rsid w:val="008916E2"/>
    <w:rsid w:val="0089171C"/>
    <w:rsid w:val="00892CA1"/>
    <w:rsid w:val="00893489"/>
    <w:rsid w:val="00893DD3"/>
    <w:rsid w:val="00894241"/>
    <w:rsid w:val="00894952"/>
    <w:rsid w:val="00895148"/>
    <w:rsid w:val="00895AE0"/>
    <w:rsid w:val="008A17D9"/>
    <w:rsid w:val="008A1880"/>
    <w:rsid w:val="008A5450"/>
    <w:rsid w:val="008A79CA"/>
    <w:rsid w:val="008B1718"/>
    <w:rsid w:val="008B1E59"/>
    <w:rsid w:val="008B5057"/>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453B"/>
    <w:rsid w:val="008D5A59"/>
    <w:rsid w:val="008D6B77"/>
    <w:rsid w:val="008E0C0B"/>
    <w:rsid w:val="008E305B"/>
    <w:rsid w:val="008E4D54"/>
    <w:rsid w:val="008E6310"/>
    <w:rsid w:val="008E7A1F"/>
    <w:rsid w:val="008E7DEC"/>
    <w:rsid w:val="008F0CB1"/>
    <w:rsid w:val="008F1E8C"/>
    <w:rsid w:val="008F3A6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EC8"/>
    <w:rsid w:val="00915878"/>
    <w:rsid w:val="0092114D"/>
    <w:rsid w:val="00925C76"/>
    <w:rsid w:val="00926A5A"/>
    <w:rsid w:val="00927BE1"/>
    <w:rsid w:val="00930915"/>
    <w:rsid w:val="00932993"/>
    <w:rsid w:val="00935AD2"/>
    <w:rsid w:val="00936544"/>
    <w:rsid w:val="00944311"/>
    <w:rsid w:val="00944850"/>
    <w:rsid w:val="00946C56"/>
    <w:rsid w:val="00947487"/>
    <w:rsid w:val="009536E6"/>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52E9"/>
    <w:rsid w:val="009A5492"/>
    <w:rsid w:val="009A7758"/>
    <w:rsid w:val="009B5365"/>
    <w:rsid w:val="009B5B0B"/>
    <w:rsid w:val="009B68D9"/>
    <w:rsid w:val="009B73D3"/>
    <w:rsid w:val="009C4478"/>
    <w:rsid w:val="009D2740"/>
    <w:rsid w:val="009D3F48"/>
    <w:rsid w:val="009D5843"/>
    <w:rsid w:val="009D66E3"/>
    <w:rsid w:val="009E12E9"/>
    <w:rsid w:val="009E26B1"/>
    <w:rsid w:val="009E2E79"/>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52C0"/>
    <w:rsid w:val="00A15349"/>
    <w:rsid w:val="00A17BAF"/>
    <w:rsid w:val="00A17FB0"/>
    <w:rsid w:val="00A20B17"/>
    <w:rsid w:val="00A21065"/>
    <w:rsid w:val="00A21C46"/>
    <w:rsid w:val="00A22798"/>
    <w:rsid w:val="00A22FD8"/>
    <w:rsid w:val="00A23445"/>
    <w:rsid w:val="00A239F5"/>
    <w:rsid w:val="00A23BA3"/>
    <w:rsid w:val="00A24E0B"/>
    <w:rsid w:val="00A26739"/>
    <w:rsid w:val="00A26B28"/>
    <w:rsid w:val="00A30E24"/>
    <w:rsid w:val="00A3283B"/>
    <w:rsid w:val="00A33298"/>
    <w:rsid w:val="00A33F18"/>
    <w:rsid w:val="00A34AE4"/>
    <w:rsid w:val="00A34CC1"/>
    <w:rsid w:val="00A34E68"/>
    <w:rsid w:val="00A353D0"/>
    <w:rsid w:val="00A35B11"/>
    <w:rsid w:val="00A3601E"/>
    <w:rsid w:val="00A37787"/>
    <w:rsid w:val="00A4034C"/>
    <w:rsid w:val="00A410CA"/>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6FCC"/>
    <w:rsid w:val="00AC729C"/>
    <w:rsid w:val="00AC7906"/>
    <w:rsid w:val="00AD1D9A"/>
    <w:rsid w:val="00AD3174"/>
    <w:rsid w:val="00AD4C1D"/>
    <w:rsid w:val="00AD5FC1"/>
    <w:rsid w:val="00AD7BE2"/>
    <w:rsid w:val="00AD7E4B"/>
    <w:rsid w:val="00AE3877"/>
    <w:rsid w:val="00AE6D0A"/>
    <w:rsid w:val="00AE6E6A"/>
    <w:rsid w:val="00AF09E0"/>
    <w:rsid w:val="00AF0F5C"/>
    <w:rsid w:val="00AF25A3"/>
    <w:rsid w:val="00AF26BE"/>
    <w:rsid w:val="00AF273D"/>
    <w:rsid w:val="00AF4D73"/>
    <w:rsid w:val="00AF4FBF"/>
    <w:rsid w:val="00B00F80"/>
    <w:rsid w:val="00B02A44"/>
    <w:rsid w:val="00B04C0C"/>
    <w:rsid w:val="00B060FA"/>
    <w:rsid w:val="00B07708"/>
    <w:rsid w:val="00B11069"/>
    <w:rsid w:val="00B11402"/>
    <w:rsid w:val="00B126DD"/>
    <w:rsid w:val="00B14D4C"/>
    <w:rsid w:val="00B1520A"/>
    <w:rsid w:val="00B1677D"/>
    <w:rsid w:val="00B16F93"/>
    <w:rsid w:val="00B21D49"/>
    <w:rsid w:val="00B21EF7"/>
    <w:rsid w:val="00B22F71"/>
    <w:rsid w:val="00B251E4"/>
    <w:rsid w:val="00B256A1"/>
    <w:rsid w:val="00B25B24"/>
    <w:rsid w:val="00B2695D"/>
    <w:rsid w:val="00B303CD"/>
    <w:rsid w:val="00B3239F"/>
    <w:rsid w:val="00B32F95"/>
    <w:rsid w:val="00B36345"/>
    <w:rsid w:val="00B368A5"/>
    <w:rsid w:val="00B369B5"/>
    <w:rsid w:val="00B40BA9"/>
    <w:rsid w:val="00B41A98"/>
    <w:rsid w:val="00B41BEB"/>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A3"/>
    <w:rsid w:val="00BA4CA7"/>
    <w:rsid w:val="00BA643C"/>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E3B"/>
    <w:rsid w:val="00BE018E"/>
    <w:rsid w:val="00BE0F8C"/>
    <w:rsid w:val="00BE24EF"/>
    <w:rsid w:val="00BE39CE"/>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35B5"/>
    <w:rsid w:val="00C16EC9"/>
    <w:rsid w:val="00C1713B"/>
    <w:rsid w:val="00C26BE7"/>
    <w:rsid w:val="00C30E37"/>
    <w:rsid w:val="00C32ADB"/>
    <w:rsid w:val="00C33321"/>
    <w:rsid w:val="00C34558"/>
    <w:rsid w:val="00C34671"/>
    <w:rsid w:val="00C378BD"/>
    <w:rsid w:val="00C4547A"/>
    <w:rsid w:val="00C466D8"/>
    <w:rsid w:val="00C477DC"/>
    <w:rsid w:val="00C50ADC"/>
    <w:rsid w:val="00C50AE3"/>
    <w:rsid w:val="00C5163E"/>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727D0"/>
    <w:rsid w:val="00C7345F"/>
    <w:rsid w:val="00C745A2"/>
    <w:rsid w:val="00C75BAC"/>
    <w:rsid w:val="00C77479"/>
    <w:rsid w:val="00C826CF"/>
    <w:rsid w:val="00C82FF3"/>
    <w:rsid w:val="00C845CF"/>
    <w:rsid w:val="00C85B2D"/>
    <w:rsid w:val="00C901B6"/>
    <w:rsid w:val="00C918B3"/>
    <w:rsid w:val="00C927F4"/>
    <w:rsid w:val="00C92A63"/>
    <w:rsid w:val="00C93094"/>
    <w:rsid w:val="00C94608"/>
    <w:rsid w:val="00C95671"/>
    <w:rsid w:val="00C95EFF"/>
    <w:rsid w:val="00C9622B"/>
    <w:rsid w:val="00C97B7A"/>
    <w:rsid w:val="00C97C89"/>
    <w:rsid w:val="00CA22AF"/>
    <w:rsid w:val="00CA27F3"/>
    <w:rsid w:val="00CA2821"/>
    <w:rsid w:val="00CA6C20"/>
    <w:rsid w:val="00CA70CC"/>
    <w:rsid w:val="00CB078D"/>
    <w:rsid w:val="00CB169E"/>
    <w:rsid w:val="00CB1C73"/>
    <w:rsid w:val="00CB2DD3"/>
    <w:rsid w:val="00CB433E"/>
    <w:rsid w:val="00CB4BB5"/>
    <w:rsid w:val="00CB6667"/>
    <w:rsid w:val="00CB7D34"/>
    <w:rsid w:val="00CC1D16"/>
    <w:rsid w:val="00CC3A8D"/>
    <w:rsid w:val="00CC3CDD"/>
    <w:rsid w:val="00CC48C5"/>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5F56"/>
    <w:rsid w:val="00CE6C5D"/>
    <w:rsid w:val="00CF0E5E"/>
    <w:rsid w:val="00CF27F8"/>
    <w:rsid w:val="00CF3E60"/>
    <w:rsid w:val="00CF4A9E"/>
    <w:rsid w:val="00CF536B"/>
    <w:rsid w:val="00CF5FC3"/>
    <w:rsid w:val="00D00E2F"/>
    <w:rsid w:val="00D06E34"/>
    <w:rsid w:val="00D112AC"/>
    <w:rsid w:val="00D13606"/>
    <w:rsid w:val="00D15F23"/>
    <w:rsid w:val="00D1740D"/>
    <w:rsid w:val="00D179DB"/>
    <w:rsid w:val="00D2070E"/>
    <w:rsid w:val="00D22354"/>
    <w:rsid w:val="00D22A11"/>
    <w:rsid w:val="00D24A65"/>
    <w:rsid w:val="00D25688"/>
    <w:rsid w:val="00D25AE7"/>
    <w:rsid w:val="00D26A3C"/>
    <w:rsid w:val="00D26DAF"/>
    <w:rsid w:val="00D30D93"/>
    <w:rsid w:val="00D34001"/>
    <w:rsid w:val="00D3485F"/>
    <w:rsid w:val="00D35FB4"/>
    <w:rsid w:val="00D36DE8"/>
    <w:rsid w:val="00D42780"/>
    <w:rsid w:val="00D429B4"/>
    <w:rsid w:val="00D4374A"/>
    <w:rsid w:val="00D50421"/>
    <w:rsid w:val="00D5159C"/>
    <w:rsid w:val="00D55941"/>
    <w:rsid w:val="00D56ACB"/>
    <w:rsid w:val="00D574AE"/>
    <w:rsid w:val="00D61780"/>
    <w:rsid w:val="00D619E3"/>
    <w:rsid w:val="00D61C78"/>
    <w:rsid w:val="00D621A5"/>
    <w:rsid w:val="00D62A6A"/>
    <w:rsid w:val="00D62FA1"/>
    <w:rsid w:val="00D64315"/>
    <w:rsid w:val="00D64813"/>
    <w:rsid w:val="00D67BE5"/>
    <w:rsid w:val="00D67F8C"/>
    <w:rsid w:val="00D7037C"/>
    <w:rsid w:val="00D705C2"/>
    <w:rsid w:val="00D71440"/>
    <w:rsid w:val="00D72A05"/>
    <w:rsid w:val="00D73303"/>
    <w:rsid w:val="00D7592B"/>
    <w:rsid w:val="00D80170"/>
    <w:rsid w:val="00D804F2"/>
    <w:rsid w:val="00D80827"/>
    <w:rsid w:val="00D82FA7"/>
    <w:rsid w:val="00D8595F"/>
    <w:rsid w:val="00D85CE4"/>
    <w:rsid w:val="00D870BF"/>
    <w:rsid w:val="00D87B71"/>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F3850"/>
    <w:rsid w:val="00DF7382"/>
    <w:rsid w:val="00DF7EBC"/>
    <w:rsid w:val="00E019C2"/>
    <w:rsid w:val="00E02DE6"/>
    <w:rsid w:val="00E02E2E"/>
    <w:rsid w:val="00E057CE"/>
    <w:rsid w:val="00E06E24"/>
    <w:rsid w:val="00E07ADF"/>
    <w:rsid w:val="00E11E84"/>
    <w:rsid w:val="00E12717"/>
    <w:rsid w:val="00E12E6C"/>
    <w:rsid w:val="00E14797"/>
    <w:rsid w:val="00E16032"/>
    <w:rsid w:val="00E16540"/>
    <w:rsid w:val="00E166CC"/>
    <w:rsid w:val="00E16E28"/>
    <w:rsid w:val="00E16FC8"/>
    <w:rsid w:val="00E17E92"/>
    <w:rsid w:val="00E239F5"/>
    <w:rsid w:val="00E266C4"/>
    <w:rsid w:val="00E271D4"/>
    <w:rsid w:val="00E277DA"/>
    <w:rsid w:val="00E309E3"/>
    <w:rsid w:val="00E317DF"/>
    <w:rsid w:val="00E328AA"/>
    <w:rsid w:val="00E34E58"/>
    <w:rsid w:val="00E35D63"/>
    <w:rsid w:val="00E35E24"/>
    <w:rsid w:val="00E3711C"/>
    <w:rsid w:val="00E37334"/>
    <w:rsid w:val="00E37F10"/>
    <w:rsid w:val="00E41251"/>
    <w:rsid w:val="00E44E1E"/>
    <w:rsid w:val="00E50A98"/>
    <w:rsid w:val="00E51B93"/>
    <w:rsid w:val="00E5488D"/>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3C5F"/>
    <w:rsid w:val="00EA5245"/>
    <w:rsid w:val="00EA581A"/>
    <w:rsid w:val="00EA59CC"/>
    <w:rsid w:val="00EA6122"/>
    <w:rsid w:val="00EA68C3"/>
    <w:rsid w:val="00EA7C46"/>
    <w:rsid w:val="00EA7D6D"/>
    <w:rsid w:val="00EB0344"/>
    <w:rsid w:val="00EB0A84"/>
    <w:rsid w:val="00EB0D6E"/>
    <w:rsid w:val="00EB22AA"/>
    <w:rsid w:val="00EB3589"/>
    <w:rsid w:val="00EB47E6"/>
    <w:rsid w:val="00EB5B43"/>
    <w:rsid w:val="00EC6E8A"/>
    <w:rsid w:val="00EC6EB9"/>
    <w:rsid w:val="00EC7775"/>
    <w:rsid w:val="00ED2D78"/>
    <w:rsid w:val="00ED3B80"/>
    <w:rsid w:val="00ED4499"/>
    <w:rsid w:val="00ED6FCA"/>
    <w:rsid w:val="00ED76A0"/>
    <w:rsid w:val="00ED77EF"/>
    <w:rsid w:val="00EE0947"/>
    <w:rsid w:val="00EE3D45"/>
    <w:rsid w:val="00EE415A"/>
    <w:rsid w:val="00EF02A8"/>
    <w:rsid w:val="00EF51AF"/>
    <w:rsid w:val="00EF5C8E"/>
    <w:rsid w:val="00EF66D2"/>
    <w:rsid w:val="00EF77AA"/>
    <w:rsid w:val="00EF798A"/>
    <w:rsid w:val="00F01011"/>
    <w:rsid w:val="00F028BD"/>
    <w:rsid w:val="00F03458"/>
    <w:rsid w:val="00F047AA"/>
    <w:rsid w:val="00F078D2"/>
    <w:rsid w:val="00F07D99"/>
    <w:rsid w:val="00F07E43"/>
    <w:rsid w:val="00F11A2D"/>
    <w:rsid w:val="00F11F11"/>
    <w:rsid w:val="00F126F3"/>
    <w:rsid w:val="00F157EE"/>
    <w:rsid w:val="00F15D2C"/>
    <w:rsid w:val="00F15EE6"/>
    <w:rsid w:val="00F16815"/>
    <w:rsid w:val="00F17AB6"/>
    <w:rsid w:val="00F23523"/>
    <w:rsid w:val="00F24B61"/>
    <w:rsid w:val="00F24E54"/>
    <w:rsid w:val="00F27C39"/>
    <w:rsid w:val="00F3007D"/>
    <w:rsid w:val="00F30109"/>
    <w:rsid w:val="00F30AD2"/>
    <w:rsid w:val="00F32FF6"/>
    <w:rsid w:val="00F34D84"/>
    <w:rsid w:val="00F369CF"/>
    <w:rsid w:val="00F42758"/>
    <w:rsid w:val="00F42C02"/>
    <w:rsid w:val="00F45619"/>
    <w:rsid w:val="00F46A7C"/>
    <w:rsid w:val="00F475D1"/>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7491"/>
    <w:rsid w:val="00F87DBD"/>
    <w:rsid w:val="00F90389"/>
    <w:rsid w:val="00F91630"/>
    <w:rsid w:val="00F93C83"/>
    <w:rsid w:val="00F95AAB"/>
    <w:rsid w:val="00FA0ECC"/>
    <w:rsid w:val="00FA427C"/>
    <w:rsid w:val="00FA4349"/>
    <w:rsid w:val="00FA482B"/>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27A"/>
    <w:rsid w:val="00FC7BD0"/>
    <w:rsid w:val="00FC7CAD"/>
    <w:rsid w:val="00FC7DE6"/>
    <w:rsid w:val="00FD0815"/>
    <w:rsid w:val="00FD1402"/>
    <w:rsid w:val="00FD3493"/>
    <w:rsid w:val="00FD3604"/>
    <w:rsid w:val="00FD4FE5"/>
    <w:rsid w:val="00FD51D8"/>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0"/>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uiPriority w:val="0"/>
    <w:pPr>
      <w:spacing w:before="75" w:after="75"/>
    </w:pPr>
    <w:rPr>
      <w:sz w:val="24"/>
      <w:lang w:eastAsia="zh-CN"/>
    </w:rPr>
  </w:style>
  <w:style w:type="table" w:customStyle="1" w:styleId="90">
    <w:name w:val="网格表 5 深色 - 着色 61"/>
    <w:basedOn w:val="20"/>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NO"/>
    <w:basedOn w:val="1"/>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314A6-8078-407F-87E0-D8CDBD4DB4AB}">
  <ds:schemaRefs/>
</ds:datastoreItem>
</file>

<file path=customXml/itemProps3.xml><?xml version="1.0" encoding="utf-8"?>
<ds:datastoreItem xmlns:ds="http://schemas.openxmlformats.org/officeDocument/2006/customXml" ds:itemID="{EA400022-C43D-4468-8BA9-14EE790C9BF7}">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1998</Words>
  <Characters>11392</Characters>
  <Lines>94</Lines>
  <Paragraphs>26</Paragraphs>
  <TotalTime>0</TotalTime>
  <ScaleCrop>false</ScaleCrop>
  <LinksUpToDate>false</LinksUpToDate>
  <CharactersWithSpaces>13364</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80299548</cp:lastModifiedBy>
  <dcterms:modified xsi:type="dcterms:W3CDTF">2022-09-30T03:36:20Z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