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2F3909C5"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#10</w:t>
      </w:r>
      <w:r w:rsidR="00542FE2">
        <w:rPr>
          <w:rFonts w:asciiTheme="minorBidi" w:hAnsiTheme="minorBidi"/>
          <w:b/>
          <w:bCs/>
          <w:snapToGrid w:val="0"/>
          <w:sz w:val="24"/>
          <w:szCs w:val="24"/>
          <w:lang w:val="en-US"/>
        </w:rPr>
        <w:t>9</w:t>
      </w:r>
      <w:r w:rsidRPr="007B519D">
        <w:rPr>
          <w:rFonts w:asciiTheme="minorBidi" w:hAnsiTheme="minorBidi"/>
          <w:b/>
          <w:bCs/>
          <w:snapToGrid w:val="0"/>
          <w:sz w:val="24"/>
          <w:szCs w:val="24"/>
          <w:lang w:val="en-US"/>
        </w:rPr>
        <w:t>-e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R1-</w:t>
      </w:r>
      <w:r w:rsidR="00FD454B" w:rsidRPr="00FD454B">
        <w:t xml:space="preserve"> </w:t>
      </w:r>
      <w:r w:rsidR="00FD454B" w:rsidRPr="00FD454B">
        <w:rPr>
          <w:rFonts w:asciiTheme="minorBidi" w:hAnsiTheme="minorBidi"/>
          <w:b/>
          <w:bCs/>
          <w:snapToGrid w:val="0"/>
          <w:sz w:val="24"/>
          <w:szCs w:val="24"/>
          <w:lang w:val="en-US"/>
        </w:rPr>
        <w:t>2204609</w:t>
      </w:r>
    </w:p>
    <w:p w14:paraId="63040D8B" w14:textId="5A1D0AF4" w:rsidR="008F2770" w:rsidRPr="009D7AA5"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e-Meeting, </w:t>
      </w:r>
      <w:r w:rsidR="00542FE2" w:rsidRPr="00542FE2">
        <w:rPr>
          <w:rFonts w:asciiTheme="minorBidi" w:hAnsiTheme="minorBidi"/>
          <w:b/>
          <w:bCs/>
          <w:snapToGrid w:val="0"/>
          <w:sz w:val="24"/>
          <w:szCs w:val="24"/>
          <w:lang w:val="en-US"/>
        </w:rPr>
        <w:t>May 9</w:t>
      </w:r>
      <w:r w:rsidR="00542FE2" w:rsidRPr="00542FE2">
        <w:rPr>
          <w:rFonts w:asciiTheme="minorBidi" w:hAnsiTheme="minorBidi"/>
          <w:b/>
          <w:bCs/>
          <w:snapToGrid w:val="0"/>
          <w:sz w:val="24"/>
          <w:szCs w:val="24"/>
          <w:vertAlign w:val="superscript"/>
          <w:lang w:val="en-US"/>
        </w:rPr>
        <w:t>th</w:t>
      </w:r>
      <w:r w:rsidR="00542FE2">
        <w:rPr>
          <w:rFonts w:asciiTheme="minorBidi" w:hAnsiTheme="minorBidi"/>
          <w:b/>
          <w:bCs/>
          <w:snapToGrid w:val="0"/>
          <w:sz w:val="24"/>
          <w:szCs w:val="24"/>
          <w:lang w:val="en-US"/>
        </w:rPr>
        <w:t xml:space="preserve"> </w:t>
      </w:r>
      <w:r w:rsidR="00542FE2" w:rsidRPr="00542FE2">
        <w:rPr>
          <w:rFonts w:asciiTheme="minorBidi" w:hAnsiTheme="minorBidi"/>
          <w:b/>
          <w:bCs/>
          <w:snapToGrid w:val="0"/>
          <w:sz w:val="24"/>
          <w:szCs w:val="24"/>
          <w:lang w:val="en-US"/>
        </w:rPr>
        <w:t>– 20</w:t>
      </w:r>
      <w:r w:rsidR="00542FE2" w:rsidRPr="00542FE2">
        <w:rPr>
          <w:rFonts w:asciiTheme="minorBidi" w:hAnsiTheme="minorBidi"/>
          <w:b/>
          <w:bCs/>
          <w:snapToGrid w:val="0"/>
          <w:sz w:val="24"/>
          <w:szCs w:val="24"/>
          <w:vertAlign w:val="superscript"/>
          <w:lang w:val="en-US"/>
        </w:rPr>
        <w:t>th</w:t>
      </w:r>
      <w:r w:rsidR="00542FE2" w:rsidRPr="00542FE2">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33EE1E50"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sidR="00CC576C">
        <w:rPr>
          <w:rFonts w:asciiTheme="minorBidi" w:hAnsiTheme="minorBidi"/>
          <w:b/>
          <w:bCs/>
          <w:snapToGrid w:val="0"/>
          <w:sz w:val="24"/>
          <w:szCs w:val="24"/>
          <w:lang w:val="en-US"/>
        </w:rPr>
        <w:t xml:space="preserve"> </w:t>
      </w:r>
      <w:r w:rsidR="000E4284">
        <w:rPr>
          <w:rFonts w:asciiTheme="minorBidi" w:hAnsiTheme="minorBidi"/>
          <w:b/>
          <w:bCs/>
          <w:snapToGrid w:val="0"/>
          <w:sz w:val="24"/>
          <w:szCs w:val="24"/>
          <w:lang w:val="en-US"/>
        </w:rPr>
        <w:t>2</w:t>
      </w:r>
    </w:p>
    <w:p w14:paraId="091A1AD7" w14:textId="0F980AD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C576C">
        <w:rPr>
          <w:rFonts w:asciiTheme="minorBidi" w:hAnsiTheme="minorBidi"/>
          <w:b/>
          <w:bCs/>
          <w:snapToGrid w:val="0"/>
          <w:sz w:val="24"/>
          <w:szCs w:val="24"/>
          <w:lang w:val="en-US"/>
        </w:rPr>
        <w:t>Discussion on Co-Channel Coexistence for LTE and NR Sidelink</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5ECCC554" w:rsidR="00C05AC4"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627D4D">
        <w:t>5</w:t>
      </w:r>
      <w:r>
        <w:t xml:space="preserve">e [1], and the following objectives were identified in relation to </w:t>
      </w:r>
      <w:r w:rsidR="00627D4D">
        <w:t xml:space="preserve">the </w:t>
      </w:r>
      <w:r w:rsidR="00CC576C">
        <w:t>co-channel coexistence between LTE and NR sidelink</w:t>
      </w:r>
      <w:r>
        <w:t>:</w:t>
      </w:r>
    </w:p>
    <w:p w14:paraId="2EB2CE2E" w14:textId="0BCF75EB" w:rsidR="00CC576C" w:rsidRDefault="00CC576C" w:rsidP="00C05AC4">
      <w:pPr>
        <w:pStyle w:val="3GPPNormalText"/>
      </w:pPr>
      <w:r w:rsidRPr="00184891">
        <w:rPr>
          <w:rFonts w:ascii="Arial" w:hAnsi="Arial" w:cs="Arial"/>
          <w:noProof/>
        </w:rPr>
        <mc:AlternateContent>
          <mc:Choice Requires="wps">
            <w:drawing>
              <wp:inline distT="0" distB="0" distL="0" distR="0" wp14:anchorId="30EB6FD2" wp14:editId="2D0CB059">
                <wp:extent cx="6286500" cy="613186"/>
                <wp:effectExtent l="0" t="0" r="19050" b="1587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13186"/>
                        </a:xfrm>
                        <a:prstGeom prst="rect">
                          <a:avLst/>
                        </a:prstGeom>
                        <a:solidFill>
                          <a:srgbClr val="FFFFFF"/>
                        </a:solidFill>
                        <a:ln w="9525">
                          <a:solidFill>
                            <a:srgbClr val="000000"/>
                          </a:solidFill>
                          <a:miter lim="800000"/>
                          <a:headEnd/>
                          <a:tailEnd/>
                        </a:ln>
                      </wps:spPr>
                      <wps:txbx>
                        <w:txbxContent>
                          <w:p w14:paraId="415F062C" w14:textId="52F80C16" w:rsidR="00CC576C" w:rsidRPr="00CC576C" w:rsidRDefault="00CC576C" w:rsidP="00CC576C">
                            <w:pPr>
                              <w:pStyle w:val="3GPPNormalText"/>
                              <w:spacing w:after="0"/>
                              <w:rPr>
                                <w:szCs w:val="22"/>
                              </w:rPr>
                            </w:pPr>
                            <w:r>
                              <w:rPr>
                                <w:szCs w:val="22"/>
                              </w:rPr>
                              <w:t xml:space="preserve">4. </w:t>
                            </w:r>
                            <w:r w:rsidRPr="00CC576C">
                              <w:rPr>
                                <w:szCs w:val="22"/>
                              </w:rPr>
                              <w:t>Study and specify, if necessary, mechanism(s) for co-channel coexistence for LTE sidelink and NR sidelink including performance, necessity, feasibility, and potential specification impact if any [RAN1, RAN2, RAN4]</w:t>
                            </w:r>
                          </w:p>
                          <w:p w14:paraId="712A5CDB" w14:textId="4E14BDB6" w:rsidR="00CC576C" w:rsidRPr="00CC576C" w:rsidRDefault="00CC576C" w:rsidP="00CC576C">
                            <w:pPr>
                              <w:pStyle w:val="3GPPNormalText"/>
                              <w:numPr>
                                <w:ilvl w:val="0"/>
                                <w:numId w:val="37"/>
                              </w:numPr>
                              <w:spacing w:after="0"/>
                              <w:rPr>
                                <w:szCs w:val="22"/>
                              </w:rPr>
                            </w:pPr>
                            <w:r w:rsidRPr="00CC576C">
                              <w:rPr>
                                <w:szCs w:val="22"/>
                              </w:rPr>
                              <w:t>Reuse the in-device coexistence framework defined in Rel-16 as much as possible</w:t>
                            </w:r>
                          </w:p>
                        </w:txbxContent>
                      </wps:txbx>
                      <wps:bodyPr rot="0" vert="horz" wrap="square" lIns="91440" tIns="45720" rIns="91440" bIns="45720" anchor="t" anchorCtr="0" upright="1">
                        <a:noAutofit/>
                      </wps:bodyPr>
                    </wps:wsp>
                  </a:graphicData>
                </a:graphic>
              </wp:inline>
            </w:drawing>
          </mc:Choice>
          <mc:Fallback>
            <w:pict>
              <v:shapetype w14:anchorId="30EB6FD2" id="_x0000_t202" coordsize="21600,21600" o:spt="202" path="m,l,21600r21600,l21600,xe">
                <v:stroke joinstyle="miter"/>
                <v:path gradientshapeok="t" o:connecttype="rect"/>
              </v:shapetype>
              <v:shape id="Textfeld 1" o:spid="_x0000_s1026" type="#_x0000_t202" style="width:495pt;height: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">
                <v:textbox>
                  <w:txbxContent>
                    <w:p w14:paraId="415F062C" w14:textId="52F80C16" w:rsidR="00CC576C" w:rsidRPr="00CC576C" w:rsidRDefault="00CC576C" w:rsidP="00CC576C">
                      <w:pPr>
                        <w:pStyle w:val="3GPPNormalText"/>
                        <w:spacing w:after="0"/>
                        <w:rPr>
                          <w:szCs w:val="22"/>
                        </w:rPr>
                      </w:pPr>
                      <w:r>
                        <w:rPr>
                          <w:szCs w:val="22"/>
                        </w:rPr>
                        <w:t xml:space="preserve">4. </w:t>
                      </w:r>
                      <w:r w:rsidRPr="00CC576C">
                        <w:rPr>
                          <w:szCs w:val="22"/>
                        </w:rPr>
                        <w:t>Study and specify, if necessary, mechanism(s) for co-channel coexistence for LTE sidelink and NR sidelink including performance, necessity, feasibility, and potential specification impact if any [RAN1, RAN2, RAN4]</w:t>
                      </w:r>
                    </w:p>
                    <w:p w14:paraId="712A5CDB" w14:textId="4E14BDB6" w:rsidR="00CC576C" w:rsidRPr="00CC576C" w:rsidRDefault="00CC576C" w:rsidP="00CC576C">
                      <w:pPr>
                        <w:pStyle w:val="3GPPNormalText"/>
                        <w:numPr>
                          <w:ilvl w:val="0"/>
                          <w:numId w:val="37"/>
                        </w:numPr>
                        <w:spacing w:after="0"/>
                        <w:rPr>
                          <w:szCs w:val="22"/>
                        </w:rPr>
                      </w:pPr>
                      <w:r w:rsidRPr="00CC576C">
                        <w:rPr>
                          <w:szCs w:val="22"/>
                        </w:rPr>
                        <w:t>Reuse the in-device coexistence framework defined in Rel-16 as much as possible</w:t>
                      </w:r>
                    </w:p>
                  </w:txbxContent>
                </v:textbox>
                <w10:anchorlock/>
              </v:shape>
            </w:pict>
          </mc:Fallback>
        </mc:AlternateContent>
      </w:r>
    </w:p>
    <w:p w14:paraId="0F20E2BC" w14:textId="1C1B34B2" w:rsidR="00627D4D" w:rsidRDefault="00627D4D" w:rsidP="00FA0BB4">
      <w:pPr>
        <w:pStyle w:val="3GPPNormalText"/>
        <w:spacing w:before="240"/>
      </w:pPr>
      <w:r>
        <w:t xml:space="preserve">This document focuses on the </w:t>
      </w:r>
      <w:r w:rsidR="00C25D5F">
        <w:t xml:space="preserve">changes required for </w:t>
      </w:r>
      <w:r w:rsidR="00CC576C">
        <w:t>enabling the co-channel coexistence between LTE and NR sidelink, taking into account the work done on the topic in Rel-16</w:t>
      </w:r>
      <w:r w:rsidR="004F2697">
        <w:t xml:space="preserve"> and on spectrum sharing by ETSI</w:t>
      </w:r>
      <w:r>
        <w:t>.</w:t>
      </w:r>
    </w:p>
    <w:p w14:paraId="0F9E9C81" w14:textId="77777777" w:rsidR="004F2697" w:rsidRDefault="004F2697" w:rsidP="00F96DCD">
      <w:pPr>
        <w:pStyle w:val="3GPPNormalText"/>
      </w:pPr>
    </w:p>
    <w:p w14:paraId="632D6853" w14:textId="77777777" w:rsidR="00AF508A" w:rsidRPr="00F721A3" w:rsidRDefault="00AF508A" w:rsidP="00AF508A">
      <w:pPr>
        <w:pStyle w:val="Heading1"/>
        <w:tabs>
          <w:tab w:val="clear" w:pos="432"/>
        </w:tabs>
      </w:pPr>
      <w:r>
        <w:t>Spectrum Sharing between LTE and ITS-G5 Technologies</w:t>
      </w:r>
    </w:p>
    <w:p w14:paraId="60083009" w14:textId="631CC274" w:rsidR="00AF508A" w:rsidRDefault="00AF508A" w:rsidP="00AF508A">
      <w:pPr>
        <w:pStyle w:val="3GPPNormalText"/>
      </w:pPr>
      <w:r>
        <w:t>In order to understand the spectrum sharing techniques explored around LTE V2X and other RATs, this section looks into the work carried out by ETSI, exploring the possibilities and solutions for sharing between ITS tech</w:t>
      </w:r>
      <w:r w:rsidR="00622809">
        <w:t>nologies in the sub-6 GHz band.</w:t>
      </w:r>
    </w:p>
    <w:p w14:paraId="3527BB16" w14:textId="1F399506" w:rsidR="00AF508A" w:rsidRDefault="00AF508A" w:rsidP="00AF508A">
      <w:pPr>
        <w:pStyle w:val="3GPPNormalText"/>
        <w:spacing w:before="240" w:after="0"/>
      </w:pPr>
      <w:r>
        <w:t>In 2021, ETSI TG37 had published a technical report on spectrum sharing for intelligent transport systems (ITS) in the 5.9 GHz band between LTE-V2X and ITS-G5 technologies, which is based on IEEE 802.11p [2]. The main objective of this study was to enable the use of the same spectrum in the same geographical area. This was to address the issues of message collisions across different RATs as well as the imbalance in channel access due to unfair access procedures. Several co-channel coexistence solutions were discussed [3], the highlights of which are described below.</w:t>
      </w:r>
    </w:p>
    <w:p w14:paraId="7F16B841" w14:textId="77777777" w:rsidR="00F96DCD" w:rsidRDefault="00F96DCD" w:rsidP="00F96DCD">
      <w:pPr>
        <w:pStyle w:val="3GPPNormalText"/>
      </w:pPr>
    </w:p>
    <w:p w14:paraId="50411175" w14:textId="77777777" w:rsidR="00AF508A" w:rsidRDefault="00AF508A" w:rsidP="00AF508A">
      <w:pPr>
        <w:pStyle w:val="Heading2"/>
        <w:tabs>
          <w:tab w:val="clear" w:pos="718"/>
          <w:tab w:val="num" w:pos="720"/>
        </w:tabs>
        <w:ind w:left="540"/>
      </w:pPr>
      <w:r>
        <w:t>Pure Co-channel Coexistence using Non-Prioritized Channels</w:t>
      </w:r>
    </w:p>
    <w:p w14:paraId="6B47A6DE" w14:textId="77777777" w:rsidR="00AF508A" w:rsidRDefault="00AF508A" w:rsidP="00AF508A">
      <w:pPr>
        <w:pStyle w:val="3GPPNormalText"/>
        <w:spacing w:before="240" w:after="0"/>
      </w:pPr>
      <w:r>
        <w:t>In this solution, each of the competing technologies can access all the channels on equal footing. The decision to use a specific channel was not based on the technology itself, but rather on other criteria such as the use cases behind a given transmission.</w:t>
      </w:r>
    </w:p>
    <w:p w14:paraId="36D98C08" w14:textId="77777777" w:rsidR="00AF508A" w:rsidRDefault="00AF508A" w:rsidP="00F96DCD">
      <w:pPr>
        <w:pStyle w:val="3GPPNormalText"/>
      </w:pPr>
    </w:p>
    <w:p w14:paraId="52DDF2A3" w14:textId="77777777" w:rsidR="00AF508A" w:rsidRDefault="00AF508A" w:rsidP="00AF508A">
      <w:pPr>
        <w:pStyle w:val="Heading2"/>
        <w:tabs>
          <w:tab w:val="clear" w:pos="718"/>
          <w:tab w:val="num" w:pos="720"/>
        </w:tabs>
        <w:ind w:left="540"/>
      </w:pPr>
      <w:r>
        <w:t>Classic TDM of Channels</w:t>
      </w:r>
    </w:p>
    <w:p w14:paraId="27B227FD" w14:textId="12F2B602" w:rsidR="00AF508A" w:rsidRDefault="00AF508A" w:rsidP="00AF508A">
      <w:pPr>
        <w:pStyle w:val="3GPPNormalText"/>
        <w:spacing w:before="240" w:after="0"/>
      </w:pPr>
      <w:r>
        <w:t>In this solution, each of the technologies would be assigned a superframe that is known to both technologies, and the partitioning of the superframe could occur in a static, semi-static or dynamic way. In the static implementation, each of the technologies would follow a fixed TDM pattern to equally share the spectrum across time, where the division would not change. The semi-static approach was to update the share o</w:t>
      </w:r>
      <w:r w:rsidR="00622809">
        <w:t>f divisions periodically based o</w:t>
      </w:r>
      <w:r>
        <w:t xml:space="preserve">n </w:t>
      </w:r>
      <w:r>
        <w:lastRenderedPageBreak/>
        <w:t>conditions such as the traffic in a given area. The dynamic method was for each technology to adapt the time occupying the superframe.</w:t>
      </w:r>
    </w:p>
    <w:p w14:paraId="78B4E767" w14:textId="77777777" w:rsidR="00AF508A" w:rsidRPr="00C83074" w:rsidRDefault="00AF508A" w:rsidP="00F96DCD">
      <w:pPr>
        <w:pStyle w:val="3GPPNormalText"/>
      </w:pPr>
    </w:p>
    <w:p w14:paraId="4F1E5A18" w14:textId="77777777" w:rsidR="00AF508A" w:rsidRDefault="00AF508A" w:rsidP="00AF508A">
      <w:pPr>
        <w:pStyle w:val="Heading2"/>
        <w:ind w:left="540"/>
      </w:pPr>
      <w:r w:rsidRPr="002E25CE">
        <w:t>P</w:t>
      </w:r>
      <w:r>
        <w:t>riority C</w:t>
      </w:r>
      <w:r w:rsidRPr="002E25CE">
        <w:t xml:space="preserve">hannels and </w:t>
      </w:r>
      <w:r>
        <w:t>Spectrum Sharing</w:t>
      </w:r>
    </w:p>
    <w:p w14:paraId="5A733856" w14:textId="77777777" w:rsidR="00AF508A" w:rsidRDefault="00AF508A" w:rsidP="00AF508A">
      <w:pPr>
        <w:pStyle w:val="3GPPNormalText"/>
        <w:spacing w:before="240" w:after="0"/>
      </w:pPr>
      <w:r w:rsidRPr="00592387">
        <w:t>Unlike</w:t>
      </w:r>
      <w:r>
        <w:t xml:space="preserve"> the non-prioritized channels, this framework would assign technology dependent priorities to individual ITS channels. Each RAT would be assigned a dedicated channel, where it would be the burden of the other competing RAT to vacate the channel in the case where it has detected its usage by the other RAT. On top of this, there would be shared channels where both RATs could compete for resources.</w:t>
      </w:r>
    </w:p>
    <w:p w14:paraId="1145317B" w14:textId="77777777" w:rsidR="00AF508A" w:rsidRPr="00592387" w:rsidRDefault="00AF508A" w:rsidP="00F96DCD">
      <w:pPr>
        <w:pStyle w:val="3GPPNormalText"/>
      </w:pPr>
    </w:p>
    <w:p w14:paraId="164CDB2F" w14:textId="3E944D29" w:rsidR="00452993" w:rsidRPr="002B0CD1" w:rsidRDefault="00FF1B26" w:rsidP="00EA5309">
      <w:pPr>
        <w:pStyle w:val="Heading1"/>
      </w:pPr>
      <w:r>
        <w:t>In-Device Coexistence</w:t>
      </w:r>
      <w:r w:rsidR="003C6C1A">
        <w:t xml:space="preserve"> between NR and LTE V2X</w:t>
      </w:r>
      <w:r>
        <w:t xml:space="preserve"> in Rel-16</w:t>
      </w:r>
    </w:p>
    <w:p w14:paraId="7AFED079" w14:textId="292EA184" w:rsidR="002E57D6" w:rsidRDefault="00332B8E" w:rsidP="002E57D6">
      <w:pPr>
        <w:pStyle w:val="3GPPNormalText"/>
      </w:pPr>
      <w:r>
        <w:t>Rel-16 specified the support of devices that include both an LTE V2X and an NR V2X RAT, which can inter-communicate with a gNB and an eNB respectively</w:t>
      </w:r>
      <w:r w:rsidR="009626F0">
        <w:t>.</w:t>
      </w:r>
      <w:r>
        <w:t xml:space="preserve"> </w:t>
      </w:r>
      <w:r w:rsidR="00622809">
        <w:t xml:space="preserve">This feature </w:t>
      </w:r>
      <w:r w:rsidR="00622809">
        <w:t xml:space="preserve">enabled an eNB to support NR UEs over the Uu interface </w:t>
      </w:r>
      <w:r w:rsidR="00622809">
        <w:t>to operate in Mode 1 as well as in Mode 2</w:t>
      </w:r>
      <w:r w:rsidR="00090477">
        <w:t>. This</w:t>
      </w:r>
      <w:r w:rsidR="00FF1B26">
        <w:t xml:space="preserve"> involved providing the configurations for configured grants as well as resource pool configurations. Similarly, it also empowered a gNB to provide dynamic and semi-static configurations to LTE UEs operating in Mode 3 and Mode 4 respectively.</w:t>
      </w:r>
    </w:p>
    <w:p w14:paraId="3EFFF127" w14:textId="2BA2707A" w:rsidR="00FF1B26" w:rsidRDefault="00622809" w:rsidP="002E57D6">
      <w:pPr>
        <w:pStyle w:val="3GPPNormalText"/>
      </w:pPr>
      <w:r>
        <w:t>T</w:t>
      </w:r>
      <w:r w:rsidR="00FF1B26">
        <w:t>his feature enabled UEs to perform sidelink communications with other UEs that have only LTE V2X enabled, and to do so while obtaining assistance from an eNB or a gNB. However, one aspect that was not considered in the specification is the use of shared resources and spectrum for the operation of these UEs. A few of the challenges that have to be considered are listed below:</w:t>
      </w:r>
    </w:p>
    <w:p w14:paraId="74A37E7A" w14:textId="3E05E027" w:rsidR="00FB21E0" w:rsidRDefault="00FF1B26" w:rsidP="00FB21E0">
      <w:pPr>
        <w:pStyle w:val="3GPPNormalText"/>
        <w:numPr>
          <w:ilvl w:val="0"/>
          <w:numId w:val="55"/>
        </w:numPr>
        <w:ind w:left="360"/>
      </w:pPr>
      <w:r>
        <w:t>Whether the resource pools configured for LTE V2X</w:t>
      </w:r>
      <w:r w:rsidR="00090477">
        <w:t xml:space="preserve"> and NR V2X share the same sub-</w:t>
      </w:r>
      <w:r>
        <w:t>channels across frequency, and</w:t>
      </w:r>
      <w:r w:rsidR="00FB21E0">
        <w:t xml:space="preserve"> the same time slots across time. </w:t>
      </w:r>
    </w:p>
    <w:p w14:paraId="54537D07" w14:textId="66E80DA1" w:rsidR="00E978B7" w:rsidRDefault="00FB21E0" w:rsidP="00E978B7">
      <w:pPr>
        <w:pStyle w:val="3GPPNormalText"/>
        <w:ind w:left="360"/>
      </w:pPr>
      <w:r>
        <w:t xml:space="preserve">This would </w:t>
      </w:r>
      <w:r w:rsidR="00622809">
        <w:t>result in</w:t>
      </w:r>
      <w:r>
        <w:t xml:space="preserve"> the issue of UEs having resource pool</w:t>
      </w:r>
      <w:r w:rsidR="00622809">
        <w:t>s</w:t>
      </w:r>
      <w:r>
        <w:t xml:space="preserve"> with different structures overlapping in time and frequency. It has to be noted that the resource pool structure in LTE V2X defined the control channel over sub-channels in the frequency domain, and the data was transmitted in similar sub-channels. It also did not support feedback and the PSFCH feedback channel. This is in contrast to NR V2X where each time slot within a sub-channel included the PSCCH, PSSCH and PSFCH. This can be seen in Figure 1.</w:t>
      </w:r>
    </w:p>
    <w:p w14:paraId="1BAE3A6A" w14:textId="793A0EE5" w:rsidR="00E978B7" w:rsidRDefault="00E978B7" w:rsidP="00E978B7">
      <w:pPr>
        <w:pStyle w:val="3GPPNormalText"/>
        <w:ind w:left="360"/>
      </w:pPr>
      <w:r>
        <w:t xml:space="preserve">One option is for the resource pools to be defined over the same time slots, but across different sub-channels. Another is to define them in </w:t>
      </w:r>
      <w:r w:rsidR="0055734B">
        <w:t>non-orthogonal time slots, but within the same sub-channels.</w:t>
      </w:r>
    </w:p>
    <w:p w14:paraId="0BC28839" w14:textId="424D3F70" w:rsidR="00FB21E0" w:rsidRDefault="00E978B7" w:rsidP="00FB21E0">
      <w:pPr>
        <w:pStyle w:val="3GPPNormalText"/>
        <w:numPr>
          <w:ilvl w:val="0"/>
          <w:numId w:val="55"/>
        </w:numPr>
        <w:ind w:left="360"/>
      </w:pPr>
      <w:r>
        <w:t xml:space="preserve">Consideration of the </w:t>
      </w:r>
      <w:r w:rsidR="002E21DA">
        <w:t>transmission characteristics</w:t>
      </w:r>
      <w:r>
        <w:t xml:space="preserve"> of an LTE transmission and an NR transmission.</w:t>
      </w:r>
    </w:p>
    <w:p w14:paraId="53C9C431" w14:textId="1D4E666D" w:rsidR="00627D4D" w:rsidRDefault="00E978B7" w:rsidP="002E21DA">
      <w:pPr>
        <w:pStyle w:val="3GPPNormalText"/>
        <w:ind w:left="360"/>
      </w:pPr>
      <w:r>
        <w:t>In the case of a shared sp</w:t>
      </w:r>
      <w:r w:rsidR="0055734B">
        <w:t>ectrum where the resource pools for LTE and NR V2X are defined in the same time slots but across different sub-channels, the UE would have to prioritize transmission or reception in only one of the resource pools</w:t>
      </w:r>
      <w:r w:rsidR="002E21DA">
        <w:t xml:space="preserve">, based on the transmission characteristics such as the priority of the transmission </w:t>
      </w:r>
      <w:r w:rsidR="00090477">
        <w:t>or</w:t>
      </w:r>
      <w:r w:rsidR="002E21DA">
        <w:t xml:space="preserve"> the remaining PDB</w:t>
      </w:r>
      <w:r w:rsidR="0055734B">
        <w:t>.</w:t>
      </w:r>
    </w:p>
    <w:p w14:paraId="6AE556D2" w14:textId="7C9AE2D6" w:rsidR="00AF508A" w:rsidRDefault="00AF508A" w:rsidP="003C6C1A">
      <w:pPr>
        <w:pStyle w:val="3GPPNormalText"/>
      </w:pPr>
      <w:r>
        <w:t>Based on the work done in Rel-16 and by ETSI, it is fair to say that co-channel coexistence is a well-explored topic. If RAN1 were to consider a shared spectrum approach, further study is required to evaluate the performance depending on a static, semi-static or dynamic method.</w:t>
      </w:r>
    </w:p>
    <w:p w14:paraId="1204F95E" w14:textId="77777777" w:rsidR="00AF508A" w:rsidRPr="00AF508A" w:rsidRDefault="00AF508A" w:rsidP="00AF508A">
      <w:pPr>
        <w:pStyle w:val="3GPPNormalText"/>
        <w:rPr>
          <w:b/>
        </w:rPr>
      </w:pPr>
      <w:r w:rsidRPr="00AF508A">
        <w:rPr>
          <w:b/>
        </w:rPr>
        <w:t>Proposal 1: We propose to study static, semi-static and dynamic channel sharing between LTE and NR V2X, including their impact on the system performance.</w:t>
      </w:r>
    </w:p>
    <w:p w14:paraId="287DC967" w14:textId="77777777" w:rsidR="00391CA9" w:rsidRDefault="00391CA9" w:rsidP="00391CA9">
      <w:pPr>
        <w:pStyle w:val="3GPPNormalText"/>
        <w:keepNext/>
        <w:jc w:val="center"/>
      </w:pPr>
      <w:r w:rsidRPr="00391CA9">
        <w:rPr>
          <w:noProof/>
        </w:rPr>
        <w:lastRenderedPageBreak/>
        <w:drawing>
          <wp:inline distT="0" distB="0" distL="0" distR="0" wp14:anchorId="5BB35005" wp14:editId="2DA89CD2">
            <wp:extent cx="4016829" cy="3676487"/>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3543" cy="3682632"/>
                    </a:xfrm>
                    <a:prstGeom prst="rect">
                      <a:avLst/>
                    </a:prstGeom>
                    <a:noFill/>
                    <a:ln>
                      <a:noFill/>
                    </a:ln>
                  </pic:spPr>
                </pic:pic>
              </a:graphicData>
            </a:graphic>
          </wp:inline>
        </w:drawing>
      </w:r>
    </w:p>
    <w:p w14:paraId="5CFD19E3" w14:textId="57E36A38" w:rsidR="00AF508A" w:rsidRPr="00391CA9" w:rsidRDefault="00391CA9" w:rsidP="00391CA9">
      <w:pPr>
        <w:pStyle w:val="Caption"/>
        <w:jc w:val="center"/>
        <w:rPr>
          <w:i/>
        </w:rPr>
      </w:pPr>
      <w:r w:rsidRPr="00391CA9">
        <w:rPr>
          <w:i/>
        </w:rPr>
        <w:t xml:space="preserve">Figure </w:t>
      </w:r>
      <w:r w:rsidRPr="00391CA9">
        <w:rPr>
          <w:i/>
        </w:rPr>
        <w:fldChar w:fldCharType="begin"/>
      </w:r>
      <w:r w:rsidRPr="00391CA9">
        <w:rPr>
          <w:i/>
        </w:rPr>
        <w:instrText xml:space="preserve"> SEQ Figure \* ARABIC </w:instrText>
      </w:r>
      <w:r w:rsidRPr="00391CA9">
        <w:rPr>
          <w:i/>
        </w:rPr>
        <w:fldChar w:fldCharType="separate"/>
      </w:r>
      <w:r w:rsidRPr="00391CA9">
        <w:rPr>
          <w:i/>
          <w:noProof/>
        </w:rPr>
        <w:t>1</w:t>
      </w:r>
      <w:r w:rsidRPr="00391CA9">
        <w:rPr>
          <w:i/>
        </w:rPr>
        <w:fldChar w:fldCharType="end"/>
      </w:r>
      <w:r w:rsidRPr="00391CA9">
        <w:rPr>
          <w:i/>
        </w:rPr>
        <w:t xml:space="preserve">: </w:t>
      </w:r>
      <w:r w:rsidR="00090477">
        <w:rPr>
          <w:b w:val="0"/>
          <w:i/>
        </w:rPr>
        <w:t>Comparison of</w:t>
      </w:r>
      <w:r w:rsidRPr="00391CA9">
        <w:rPr>
          <w:b w:val="0"/>
          <w:i/>
        </w:rPr>
        <w:t xml:space="preserve"> resource pool structures between NR and LTE V2X</w:t>
      </w:r>
    </w:p>
    <w:p w14:paraId="1366CF03" w14:textId="2C67D542" w:rsidR="003C6C1A" w:rsidRDefault="00AF508A" w:rsidP="003C6C1A">
      <w:pPr>
        <w:pStyle w:val="3GPPNormalText"/>
      </w:pPr>
      <w:r>
        <w:t>If priorities of the transmissions are al</w:t>
      </w:r>
      <w:r w:rsidR="00622809">
        <w:t>so to be considered, the impact</w:t>
      </w:r>
      <w:r>
        <w:t xml:space="preserve"> on how an LTE UE and an NR UE would be able to switch operations from one time slot to another, including the time delay and latency issues</w:t>
      </w:r>
      <w:r w:rsidR="00090477">
        <w:t>,</w:t>
      </w:r>
      <w:r>
        <w:t xml:space="preserve"> would also have to be studied.</w:t>
      </w:r>
      <w:r w:rsidR="003C6C1A">
        <w:t xml:space="preserve"> </w:t>
      </w:r>
    </w:p>
    <w:p w14:paraId="12B4C520" w14:textId="751E5C19" w:rsidR="00AF508A" w:rsidRPr="00AF508A" w:rsidRDefault="00AF508A" w:rsidP="00AF508A">
      <w:pPr>
        <w:pStyle w:val="3GPPNormalText"/>
        <w:rPr>
          <w:b/>
        </w:rPr>
      </w:pPr>
      <w:r w:rsidRPr="00AF508A">
        <w:rPr>
          <w:b/>
        </w:rPr>
        <w:t>Proposal 2: We propose to study the prioritization of transmissions from each of the RATs for use of a shared spectrum.</w:t>
      </w:r>
    </w:p>
    <w:p w14:paraId="6A205152" w14:textId="77777777" w:rsidR="003C6C1A" w:rsidRPr="00F96DCD" w:rsidRDefault="003C6C1A" w:rsidP="003C6C1A">
      <w:pPr>
        <w:pStyle w:val="3GPPNormalText"/>
      </w:pP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562BE9E4" w14:textId="77777777" w:rsidR="00AF508A" w:rsidRPr="00AF508A" w:rsidRDefault="00AF508A" w:rsidP="00AF508A">
      <w:pPr>
        <w:pStyle w:val="3GPPNormalText"/>
        <w:rPr>
          <w:b/>
        </w:rPr>
      </w:pPr>
      <w:r w:rsidRPr="00AF508A">
        <w:rPr>
          <w:b/>
        </w:rPr>
        <w:t>Proposal 1: We propose to study static, semi-static and dynamic channel sharing between LTE and NR V2X, including their impact on the system performance.</w:t>
      </w:r>
    </w:p>
    <w:p w14:paraId="6DB8C5FD" w14:textId="77777777" w:rsidR="00AF508A" w:rsidRPr="00AF508A" w:rsidRDefault="00AF508A" w:rsidP="00AF508A">
      <w:pPr>
        <w:pStyle w:val="3GPPNormalText"/>
        <w:rPr>
          <w:b/>
        </w:rPr>
      </w:pPr>
      <w:r w:rsidRPr="00AF508A">
        <w:rPr>
          <w:b/>
        </w:rPr>
        <w:t>Proposal 2: We propose to study the prioritization of transmissions from each of the RATs for use of a shared spectrum.</w:t>
      </w:r>
    </w:p>
    <w:p w14:paraId="0C25324B" w14:textId="77777777" w:rsidR="00221574" w:rsidRPr="00F96DCD" w:rsidRDefault="00221574" w:rsidP="00FA4C1E">
      <w:pPr>
        <w:pStyle w:val="3GPPNormalText"/>
      </w:pP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2628BDDE" w14:textId="546C21D4" w:rsidR="00C05AC4" w:rsidRPr="00654BBA" w:rsidRDefault="00010F70" w:rsidP="00627D4D">
      <w:pPr>
        <w:widowControl w:val="0"/>
        <w:numPr>
          <w:ilvl w:val="0"/>
          <w:numId w:val="10"/>
        </w:numPr>
        <w:overflowPunct/>
        <w:autoSpaceDE/>
        <w:adjustRightInd/>
        <w:spacing w:after="120"/>
        <w:jc w:val="both"/>
        <w:textAlignment w:val="auto"/>
        <w:rPr>
          <w:rFonts w:cs="Arial"/>
        </w:rPr>
      </w:pPr>
      <w:bookmarkStart w:id="0" w:name="_Ref494465620"/>
      <w:bookmarkStart w:id="1" w:name="_Ref527624780"/>
      <w:r>
        <w:rPr>
          <w:rFonts w:cs="Arial"/>
        </w:rPr>
        <w:t>RP-2</w:t>
      </w:r>
      <w:r w:rsidR="00627D4D">
        <w:rPr>
          <w:rFonts w:cs="Arial"/>
        </w:rPr>
        <w:t>20300</w:t>
      </w:r>
      <w:r w:rsidRPr="009A254C">
        <w:rPr>
          <w:rFonts w:cs="Arial"/>
        </w:rPr>
        <w:t xml:space="preserve">, </w:t>
      </w:r>
      <w:r>
        <w:rPr>
          <w:rFonts w:cs="Arial"/>
        </w:rPr>
        <w:t>“</w:t>
      </w:r>
      <w:r w:rsidR="00627D4D" w:rsidRPr="00627D4D">
        <w:rPr>
          <w:rFonts w:cs="Arial"/>
        </w:rPr>
        <w:t>WID revision: NR sidel</w:t>
      </w:r>
      <w:bookmarkStart w:id="2" w:name="_GoBack"/>
      <w:bookmarkEnd w:id="2"/>
      <w:r w:rsidR="00627D4D" w:rsidRPr="00627D4D">
        <w:rPr>
          <w:rFonts w:cs="Arial"/>
        </w:rPr>
        <w:t>ink evolution</w:t>
      </w:r>
      <w:r>
        <w:rPr>
          <w:rFonts w:cs="Arial"/>
        </w:rPr>
        <w:t xml:space="preserve">”, </w:t>
      </w:r>
      <w:r w:rsidR="00627D4D">
        <w:rPr>
          <w:rFonts w:cs="Arial"/>
        </w:rPr>
        <w:t>OPPO</w:t>
      </w:r>
      <w:r>
        <w:rPr>
          <w:rFonts w:cs="Arial"/>
        </w:rPr>
        <w:t xml:space="preserve">, 3GPP </w:t>
      </w:r>
      <w:r w:rsidRPr="007833B8">
        <w:rPr>
          <w:rFonts w:cs="Arial"/>
        </w:rPr>
        <w:t>RAN#</w:t>
      </w:r>
      <w:r>
        <w:rPr>
          <w:rFonts w:cs="Arial"/>
        </w:rPr>
        <w:t>9</w:t>
      </w:r>
      <w:r w:rsidR="00627D4D">
        <w:rPr>
          <w:rFonts w:cs="Arial"/>
        </w:rPr>
        <w:t>5</w:t>
      </w:r>
      <w:r>
        <w:rPr>
          <w:rFonts w:cs="Arial"/>
        </w:rPr>
        <w:t>e</w:t>
      </w:r>
      <w:r w:rsidRPr="007833B8">
        <w:rPr>
          <w:rFonts w:cs="Arial"/>
        </w:rPr>
        <w:t xml:space="preserve">, </w:t>
      </w:r>
      <w:r w:rsidR="00627D4D">
        <w:rPr>
          <w:rFonts w:cs="Arial"/>
        </w:rPr>
        <w:t>March</w:t>
      </w:r>
      <w:r w:rsidRPr="007833B8">
        <w:rPr>
          <w:rFonts w:cs="Arial"/>
        </w:rPr>
        <w:t xml:space="preserve"> 20</w:t>
      </w:r>
      <w:r>
        <w:rPr>
          <w:rFonts w:cs="Arial"/>
        </w:rPr>
        <w:t>2</w:t>
      </w:r>
      <w:r w:rsidR="00627D4D">
        <w:rPr>
          <w:rFonts w:cs="Arial"/>
        </w:rPr>
        <w:t>2</w:t>
      </w:r>
      <w:r w:rsidRPr="007833B8">
        <w:rPr>
          <w:rFonts w:cs="Arial"/>
        </w:rPr>
        <w:t>.</w:t>
      </w:r>
    </w:p>
    <w:bookmarkEnd w:id="0"/>
    <w:bookmarkEnd w:id="1"/>
    <w:p w14:paraId="4B2B959B" w14:textId="77777777" w:rsidR="00DC286A" w:rsidRPr="00FD5AFC" w:rsidRDefault="00DC286A" w:rsidP="00DC286A">
      <w:pPr>
        <w:widowControl w:val="0"/>
        <w:numPr>
          <w:ilvl w:val="0"/>
          <w:numId w:val="10"/>
        </w:numPr>
        <w:overflowPunct/>
        <w:autoSpaceDE/>
        <w:adjustRightInd/>
        <w:spacing w:after="120"/>
        <w:jc w:val="both"/>
        <w:textAlignment w:val="auto"/>
        <w:rPr>
          <w:iCs/>
          <w:lang w:val="en-US"/>
        </w:rPr>
      </w:pPr>
      <w:r>
        <w:rPr>
          <w:iCs/>
          <w:lang w:val="en-US"/>
        </w:rPr>
        <w:t>TR 103 667 V1.1.1, “</w:t>
      </w:r>
      <w:r w:rsidRPr="00BF76AA">
        <w:rPr>
          <w:iCs/>
          <w:lang w:val="en-US"/>
        </w:rPr>
        <w:t>Intelligent Transport Systems (ITS);</w:t>
      </w:r>
      <w:r>
        <w:rPr>
          <w:iCs/>
          <w:lang w:val="en-US"/>
        </w:rPr>
        <w:t xml:space="preserve"> </w:t>
      </w:r>
      <w:r w:rsidRPr="00BF76AA">
        <w:rPr>
          <w:iCs/>
          <w:lang w:val="en-US"/>
        </w:rPr>
        <w:t>Study on Spectrum Sharing between ITS-G5 and LTE-V2X technologies in the 5 855 MHz - 5 925 MHz band</w:t>
      </w:r>
      <w:r>
        <w:rPr>
          <w:iCs/>
          <w:lang w:val="en-US"/>
        </w:rPr>
        <w:t>”, ETSI, Sept. 2021.</w:t>
      </w:r>
    </w:p>
    <w:p w14:paraId="14ADC238" w14:textId="39E915F2" w:rsidR="003A4730" w:rsidRPr="00DC286A" w:rsidRDefault="00DC286A" w:rsidP="00DC286A">
      <w:pPr>
        <w:widowControl w:val="0"/>
        <w:numPr>
          <w:ilvl w:val="0"/>
          <w:numId w:val="10"/>
        </w:numPr>
        <w:overflowPunct/>
        <w:autoSpaceDE/>
        <w:adjustRightInd/>
        <w:spacing w:after="120"/>
        <w:jc w:val="both"/>
        <w:textAlignment w:val="auto"/>
        <w:rPr>
          <w:iCs/>
          <w:lang w:val="en-US"/>
        </w:rPr>
      </w:pPr>
      <w:r w:rsidRPr="00713D84">
        <w:rPr>
          <w:iCs/>
          <w:lang w:val="en-US"/>
        </w:rPr>
        <w:t>TR 103 766 V1.1.1</w:t>
      </w:r>
      <w:r>
        <w:rPr>
          <w:iCs/>
          <w:lang w:val="en-US"/>
        </w:rPr>
        <w:t>, “</w:t>
      </w:r>
      <w:r w:rsidRPr="00713D84">
        <w:rPr>
          <w:iCs/>
          <w:lang w:val="en-US"/>
        </w:rPr>
        <w:t>Intelligent Transport Systems (ITS); Pre-standardization study on co-channel co-existence between IEEE- and 3GPP- based ITS technologies in</w:t>
      </w:r>
      <w:r>
        <w:rPr>
          <w:iCs/>
          <w:lang w:val="en-US"/>
        </w:rPr>
        <w:t xml:space="preserve"> </w:t>
      </w:r>
      <w:r w:rsidRPr="00713D84">
        <w:rPr>
          <w:iCs/>
          <w:lang w:val="en-US"/>
        </w:rPr>
        <w:t>the 5 855 MHz - 5 925 MHz frequency band</w:t>
      </w:r>
      <w:r>
        <w:rPr>
          <w:iCs/>
          <w:lang w:val="en-US"/>
        </w:rPr>
        <w:t>”, ETSI, Sept. 2021.</w:t>
      </w:r>
    </w:p>
    <w:sectPr w:rsidR="003A4730" w:rsidRPr="00DC286A"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47815" w14:textId="77777777" w:rsidR="00D05FF8" w:rsidRDefault="00D05FF8">
      <w:r>
        <w:separator/>
      </w:r>
    </w:p>
  </w:endnote>
  <w:endnote w:type="continuationSeparator" w:id="0">
    <w:p w14:paraId="2DD76B00" w14:textId="77777777" w:rsidR="00D05FF8" w:rsidRDefault="00D0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66EA69D4"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90477">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90477">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79467" w14:textId="77777777" w:rsidR="00D05FF8" w:rsidRDefault="00D05FF8">
      <w:r>
        <w:separator/>
      </w:r>
    </w:p>
  </w:footnote>
  <w:footnote w:type="continuationSeparator" w:id="0">
    <w:p w14:paraId="70831CFD" w14:textId="77777777" w:rsidR="00D05FF8" w:rsidRDefault="00D05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5458"/>
    <w:multiLevelType w:val="hybridMultilevel"/>
    <w:tmpl w:val="087C00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75050257"/>
    <w:multiLevelType w:val="hybridMultilevel"/>
    <w:tmpl w:val="02A2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25"/>
  </w:num>
  <w:num w:numId="8">
    <w:abstractNumId w:val="18"/>
  </w:num>
  <w:num w:numId="9">
    <w:abstractNumId w:val="10"/>
  </w:num>
  <w:num w:numId="10">
    <w:abstractNumId w:val="6"/>
  </w:num>
  <w:num w:numId="11">
    <w:abstractNumId w:val="32"/>
  </w:num>
  <w:num w:numId="12">
    <w:abstractNumId w:val="36"/>
  </w:num>
  <w:num w:numId="13">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34"/>
  </w:num>
  <w:num w:numId="16">
    <w:abstractNumId w:val="23"/>
  </w:num>
  <w:num w:numId="17">
    <w:abstractNumId w:val="21"/>
  </w:num>
  <w:num w:numId="18">
    <w:abstractNumId w:val="12"/>
  </w:num>
  <w:num w:numId="19">
    <w:abstractNumId w:val="41"/>
  </w:num>
  <w:num w:numId="20">
    <w:abstractNumId w:val="3"/>
  </w:num>
  <w:num w:numId="21">
    <w:abstractNumId w:val="29"/>
  </w:num>
  <w:num w:numId="22">
    <w:abstractNumId w:val="31"/>
  </w:num>
  <w:num w:numId="23">
    <w:abstractNumId w:val="35"/>
  </w:num>
  <w:num w:numId="24">
    <w:abstractNumId w:val="19"/>
  </w:num>
  <w:num w:numId="25">
    <w:abstractNumId w:val="1"/>
  </w:num>
  <w:num w:numId="26">
    <w:abstractNumId w:val="1"/>
  </w:num>
  <w:num w:numId="27">
    <w:abstractNumId w:val="9"/>
  </w:num>
  <w:num w:numId="28">
    <w:abstractNumId w:val="8"/>
  </w:num>
  <w:num w:numId="29">
    <w:abstractNumId w:val="28"/>
  </w:num>
  <w:num w:numId="30">
    <w:abstractNumId w:val="45"/>
  </w:num>
  <w:num w:numId="31">
    <w:abstractNumId w:val="1"/>
  </w:num>
  <w:num w:numId="32">
    <w:abstractNumId w:val="1"/>
  </w:num>
  <w:num w:numId="33">
    <w:abstractNumId w:val="7"/>
  </w:num>
  <w:num w:numId="34">
    <w:abstractNumId w:val="44"/>
  </w:num>
  <w:num w:numId="35">
    <w:abstractNumId w:val="4"/>
  </w:num>
  <w:num w:numId="36">
    <w:abstractNumId w:val="16"/>
  </w:num>
  <w:num w:numId="37">
    <w:abstractNumId w:val="43"/>
  </w:num>
  <w:num w:numId="38">
    <w:abstractNumId w:val="5"/>
  </w:num>
  <w:num w:numId="39">
    <w:abstractNumId w:val="45"/>
  </w:num>
  <w:num w:numId="40">
    <w:abstractNumId w:val="45"/>
  </w:num>
  <w:num w:numId="41">
    <w:abstractNumId w:val="11"/>
  </w:num>
  <w:num w:numId="42">
    <w:abstractNumId w:val="46"/>
  </w:num>
  <w:num w:numId="43">
    <w:abstractNumId w:val="27"/>
  </w:num>
  <w:num w:numId="44">
    <w:abstractNumId w:val="30"/>
  </w:num>
  <w:num w:numId="45">
    <w:abstractNumId w:val="13"/>
  </w:num>
  <w:num w:numId="46">
    <w:abstractNumId w:val="38"/>
  </w:num>
  <w:num w:numId="47">
    <w:abstractNumId w:val="24"/>
  </w:num>
  <w:num w:numId="48">
    <w:abstractNumId w:val="14"/>
  </w:num>
  <w:num w:numId="49">
    <w:abstractNumId w:val="42"/>
  </w:num>
  <w:num w:numId="50">
    <w:abstractNumId w:val="22"/>
  </w:num>
  <w:num w:numId="51">
    <w:abstractNumId w:val="40"/>
  </w:num>
  <w:num w:numId="52">
    <w:abstractNumId w:val="2"/>
  </w:num>
  <w:num w:numId="53">
    <w:abstractNumId w:val="26"/>
  </w:num>
  <w:num w:numId="54">
    <w:abstractNumId w:val="20"/>
  </w:num>
  <w:num w:numId="55">
    <w:abstractNumId w:val="39"/>
  </w:num>
  <w:num w:numId="56">
    <w:abstractNumId w:val="1"/>
  </w:num>
  <w:num w:numId="57">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074"/>
    <w:rsid w:val="00C83AEB"/>
    <w:rsid w:val="00C83B30"/>
    <w:rsid w:val="00C83C7A"/>
    <w:rsid w:val="00C84180"/>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265834A-2327-421E-94F1-E3EC9F2474FB}">
  <ds:schemaRefs>
    <ds:schemaRef ds:uri="http://schemas.openxmlformats.org/officeDocument/2006/bibliography"/>
  </ds:schemaRefs>
</ds:datastoreItem>
</file>

<file path=customXml/itemProps6.xml><?xml version="1.0" encoding="utf-8"?>
<ds:datastoreItem xmlns:ds="http://schemas.openxmlformats.org/officeDocument/2006/customXml" ds:itemID="{378873E6-22AC-4D63-A764-A8C361CD6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1032</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6908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2022-01-05T12:49:00Z</cp:lastPrinted>
  <dcterms:created xsi:type="dcterms:W3CDTF">2022-04-28T10:52:00Z</dcterms:created>
  <dcterms:modified xsi:type="dcterms:W3CDTF">2022-04-28T10:52:00Z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