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52451680" w:rsidR="00D76093" w:rsidRPr="00CE74B9"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CE74B9" w:rsidRPr="00CE74B9">
        <w:rPr>
          <w:rFonts w:cs="Arial"/>
          <w:noProof w:val="0"/>
          <w:sz w:val="28"/>
          <w:szCs w:val="28"/>
          <w:lang w:val="en-US"/>
        </w:rPr>
        <w:t>R1-2204506</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3DD194B" w:rsidR="00004B52" w:rsidRPr="00AA35DD"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A35DD" w:rsidRPr="00AA35DD">
        <w:rPr>
          <w:rFonts w:ascii="Arial" w:hAnsi="Arial" w:cs="Arial"/>
          <w:b/>
          <w:color w:val="000000" w:themeColor="text1"/>
          <w:sz w:val="28"/>
          <w:szCs w:val="28"/>
          <w:lang w:val="en-US"/>
        </w:rPr>
        <w:t>Unified TCI framework extension for multi-TRP</w:t>
      </w:r>
    </w:p>
    <w:p w14:paraId="369A72EC" w14:textId="03464212"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AA35DD">
        <w:rPr>
          <w:rFonts w:ascii="Arial" w:hAnsi="Arial" w:cs="Arial" w:hint="eastAsia"/>
          <w:b/>
          <w:color w:val="000000" w:themeColor="text1"/>
          <w:sz w:val="28"/>
          <w:szCs w:val="28"/>
          <w:lang w:val="en-US"/>
        </w:rPr>
        <w:t>1</w:t>
      </w:r>
      <w:r w:rsidR="00AF31FE" w:rsidRPr="00AD0FF0">
        <w:rPr>
          <w:rFonts w:ascii="Arial" w:hAnsi="Arial" w:cs="Arial"/>
          <w:b/>
          <w:color w:val="000000" w:themeColor="text1"/>
          <w:sz w:val="28"/>
          <w:szCs w:val="28"/>
          <w:lang w:val="en-US"/>
        </w:rPr>
        <w:t>.</w:t>
      </w:r>
      <w:r w:rsidR="00AA35DD">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w:t>
      </w:r>
      <w:r w:rsidR="00AA35DD">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A4D5F54" w14:textId="61F7A3E2" w:rsidR="007E0418" w:rsidRPr="004953F0" w:rsidRDefault="007E0418" w:rsidP="007E04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 xml:space="preserve">In RAN#94e, </w:t>
      </w:r>
      <w:r w:rsidR="00CE74B9">
        <w:rPr>
          <w:rFonts w:eastAsiaTheme="minorEastAsia"/>
          <w:color w:val="000000" w:themeColor="text1"/>
          <w:szCs w:val="24"/>
          <w:lang w:val="en-US"/>
        </w:rPr>
        <w:t>a new work item “</w:t>
      </w:r>
      <w:r w:rsidR="00CE74B9" w:rsidRPr="00CE74B9">
        <w:rPr>
          <w:rFonts w:eastAsiaTheme="minorEastAsia"/>
          <w:color w:val="000000" w:themeColor="text1"/>
          <w:szCs w:val="24"/>
          <w:lang w:val="en-US"/>
        </w:rPr>
        <w:t>MIMO Evolution for Downlink and Uplink</w:t>
      </w:r>
      <w:r w:rsidR="00CE74B9">
        <w:rPr>
          <w:rFonts w:eastAsiaTheme="minorEastAsia"/>
          <w:color w:val="000000" w:themeColor="text1"/>
          <w:szCs w:val="24"/>
          <w:lang w:val="en-US"/>
        </w:rPr>
        <w:t>”</w:t>
      </w:r>
      <w:r>
        <w:t xml:space="preserve"> was approved</w:t>
      </w:r>
      <w:r w:rsidR="007B2698">
        <w:t>, and the following objective w</w:t>
      </w:r>
      <w:r w:rsidR="00B85358">
        <w:t>as</w:t>
      </w:r>
      <w:r w:rsidR="007B2698">
        <w:t xml:space="preserve"> agreed for unified TCI framework extension</w:t>
      </w:r>
      <w:r>
        <w:t xml:space="preserve">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7E0418" w:rsidRPr="00683FDE" w14:paraId="5B7B95E2" w14:textId="77777777" w:rsidTr="00024731">
        <w:tc>
          <w:tcPr>
            <w:tcW w:w="9954" w:type="dxa"/>
          </w:tcPr>
          <w:p w14:paraId="189D0954" w14:textId="37A34FBE" w:rsidR="007E0418" w:rsidRPr="00BE27BB" w:rsidRDefault="00BE27BB" w:rsidP="003F4442">
            <w:pPr>
              <w:pStyle w:val="10"/>
              <w:numPr>
                <w:ilvl w:val="0"/>
                <w:numId w:val="0"/>
              </w:numPr>
              <w:tabs>
                <w:tab w:val="clear" w:pos="0"/>
                <w:tab w:val="num" w:pos="306"/>
              </w:tabs>
              <w:spacing w:after="180"/>
              <w:ind w:left="305" w:hangingChars="127" w:hanging="305"/>
              <w:outlineLvl w:val="0"/>
              <w:rPr>
                <w:rFonts w:ascii="Times New Roman" w:hAnsi="Times New Roman"/>
                <w:b w:val="0"/>
                <w:bCs/>
                <w:sz w:val="24"/>
                <w:szCs w:val="24"/>
                <w:lang w:val="en-US"/>
              </w:rPr>
            </w:pPr>
            <w:bookmarkStart w:id="4" w:name="_Hlk83924038"/>
            <w:r>
              <w:rPr>
                <w:rFonts w:ascii="Times New Roman" w:hAnsi="Times New Roman"/>
                <w:b w:val="0"/>
                <w:bCs/>
                <w:sz w:val="24"/>
                <w:szCs w:val="24"/>
                <w:lang w:val="en-US"/>
              </w:rPr>
              <w:t xml:space="preserve">2. </w:t>
            </w:r>
            <w:r w:rsidR="00EB2B8A" w:rsidRPr="00BE27BB">
              <w:rPr>
                <w:rFonts w:ascii="Times New Roman" w:hAnsi="Times New Roman"/>
                <w:b w:val="0"/>
                <w:bCs/>
                <w:sz w:val="24"/>
                <w:szCs w:val="24"/>
                <w:lang w:val="en-US"/>
              </w:rPr>
              <w:t>Specify extension of Rel-17 Unified TCI framework for indication of multiple DL and UL TCI states focusing on multi-TRP use case, using Rel-17 unified TCI framework.</w:t>
            </w:r>
          </w:p>
        </w:tc>
      </w:tr>
    </w:tbl>
    <w:bookmarkEnd w:id="4"/>
    <w:p w14:paraId="2F31EC0C" w14:textId="464FA823" w:rsidR="007E0418" w:rsidRDefault="007E0418" w:rsidP="007E0418">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w:t>
      </w:r>
      <w:r w:rsidR="009F0BC9">
        <w:rPr>
          <w:rFonts w:eastAsia="ＭＳ 明朝"/>
          <w:color w:val="000000" w:themeColor="text1"/>
        </w:rPr>
        <w:t>our</w:t>
      </w:r>
      <w:r>
        <w:rPr>
          <w:rFonts w:eastAsia="ＭＳ 明朝"/>
          <w:color w:val="000000" w:themeColor="text1"/>
        </w:rPr>
        <w:t xml:space="preserve"> view</w:t>
      </w:r>
      <w:r w:rsidR="009F0BC9">
        <w:rPr>
          <w:rFonts w:eastAsia="ＭＳ 明朝"/>
          <w:color w:val="000000" w:themeColor="text1"/>
        </w:rPr>
        <w:t>s</w:t>
      </w:r>
      <w:r>
        <w:rPr>
          <w:rFonts w:eastAsia="ＭＳ 明朝"/>
          <w:color w:val="000000" w:themeColor="text1"/>
        </w:rPr>
        <w:t xml:space="preserve"> on</w:t>
      </w:r>
      <w:r w:rsidR="00903CE1">
        <w:rPr>
          <w:rFonts w:eastAsia="ＭＳ 明朝"/>
          <w:color w:val="000000" w:themeColor="text1"/>
        </w:rPr>
        <w:t xml:space="preserve"> </w:t>
      </w:r>
      <w:r w:rsidR="000B0CD5">
        <w:rPr>
          <w:rFonts w:eastAsia="ＭＳ 明朝"/>
          <w:color w:val="000000" w:themeColor="text1"/>
        </w:rPr>
        <w:t xml:space="preserve">extension of </w:t>
      </w:r>
      <w:r w:rsidR="004972D8">
        <w:rPr>
          <w:rFonts w:eastAsia="ＭＳ 明朝"/>
          <w:color w:val="000000" w:themeColor="text1"/>
        </w:rPr>
        <w:t>unified TCI framework for indication of multiple DL and UL TCI states</w:t>
      </w:r>
      <w:r w:rsidRPr="00683FDE">
        <w:rPr>
          <w:rFonts w:eastAsia="ＭＳ 明朝"/>
          <w:color w:val="000000" w:themeColor="text1"/>
        </w:rPr>
        <w:t>.</w:t>
      </w:r>
    </w:p>
    <w:p w14:paraId="3E77227A" w14:textId="2D43593F" w:rsidR="00163E81" w:rsidRPr="00676114" w:rsidRDefault="00656E99" w:rsidP="00676114">
      <w:pPr>
        <w:pStyle w:val="10"/>
        <w:spacing w:after="180"/>
        <w:rPr>
          <w:color w:val="000000" w:themeColor="text1"/>
          <w:lang w:val="en-US"/>
        </w:rPr>
      </w:pPr>
      <w:r w:rsidRPr="00683FDE">
        <w:rPr>
          <w:color w:val="000000" w:themeColor="text1"/>
          <w:lang w:val="en-US"/>
        </w:rPr>
        <w:t>Discussions</w:t>
      </w:r>
    </w:p>
    <w:p w14:paraId="5BD1E17A" w14:textId="3589543D" w:rsidR="00D01238" w:rsidRPr="00676114" w:rsidRDefault="00D01238" w:rsidP="00D01238">
      <w:pPr>
        <w:pStyle w:val="20"/>
        <w:rPr>
          <w:lang w:val="en-US"/>
        </w:rPr>
      </w:pPr>
      <w:r>
        <w:rPr>
          <w:lang w:val="en-US"/>
        </w:rPr>
        <w:t>The necessity of indication of multiple DL and UL TCI states</w:t>
      </w:r>
    </w:p>
    <w:p w14:paraId="2845A378" w14:textId="218AFA34" w:rsidR="00C218F0" w:rsidRDefault="00C218F0" w:rsidP="00163E81">
      <w:r>
        <w:rPr>
          <w:rFonts w:hint="eastAsia"/>
        </w:rPr>
        <w:t>I</w:t>
      </w:r>
      <w:r>
        <w:t>n Rel-17, more than one TCI states with a single indication has been discussed and not been introduced. Figure 1 shows an example of use cases of indication of multiple DL and UL TCI states for multi-TRP operation.</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602513" w14:paraId="7899549E" w14:textId="77777777" w:rsidTr="00602513">
        <w:trPr>
          <w:jc w:val="center"/>
        </w:trPr>
        <w:tc>
          <w:tcPr>
            <w:tcW w:w="9954" w:type="dxa"/>
          </w:tcPr>
          <w:p w14:paraId="098619D2" w14:textId="170C3F68" w:rsidR="00602513" w:rsidRDefault="005A6ECF" w:rsidP="00CC3717">
            <w:pPr>
              <w:jc w:val="center"/>
            </w:pPr>
            <w:r>
              <w:rPr>
                <w:noProof/>
              </w:rPr>
              <mc:AlternateContent>
                <mc:Choice Requires="wps">
                  <w:drawing>
                    <wp:anchor distT="0" distB="0" distL="114300" distR="114300" simplePos="0" relativeHeight="251660288" behindDoc="0" locked="0" layoutInCell="1" allowOverlap="1" wp14:anchorId="04C5F337" wp14:editId="33A90880">
                      <wp:simplePos x="0" y="0"/>
                      <wp:positionH relativeFrom="column">
                        <wp:posOffset>1872615</wp:posOffset>
                      </wp:positionH>
                      <wp:positionV relativeFrom="paragraph">
                        <wp:posOffset>687070</wp:posOffset>
                      </wp:positionV>
                      <wp:extent cx="476250" cy="276225"/>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476250" cy="276225"/>
                              </a:xfrm>
                              <a:prstGeom prst="rect">
                                <a:avLst/>
                              </a:prstGeom>
                              <a:noFill/>
                              <a:ln w="6350">
                                <a:noFill/>
                              </a:ln>
                            </wps:spPr>
                            <wps:txbx>
                              <w:txbxContent>
                                <w:p w14:paraId="34114FA8" w14:textId="58A9A70A" w:rsidR="00CC3717" w:rsidRDefault="00CC3717">
                                  <w:r>
                                    <w:t>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C5F337" id="_x0000_t202" coordsize="21600,21600" o:spt="202" path="m,l,21600r21600,l21600,xe">
                      <v:stroke joinstyle="miter"/>
                      <v:path gradientshapeok="t" o:connecttype="rect"/>
                    </v:shapetype>
                    <v:shape id="テキスト ボックス 3" o:spid="_x0000_s1026" type="#_x0000_t202" style="position:absolute;left:0;text-align:left;margin-left:147.45pt;margin-top:54.1pt;width:37.5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" filled="f" stroked="f" strokeweight=".5pt">
                      <v:textbox>
                        <w:txbxContent>
                          <w:p w14:paraId="34114FA8" w14:textId="58A9A70A" w:rsidR="00CC3717" w:rsidRDefault="00CC3717">
                            <w:r>
                              <w:t>DCI</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E457BEB" wp14:editId="7BCE5CAF">
                      <wp:simplePos x="0" y="0"/>
                      <wp:positionH relativeFrom="column">
                        <wp:posOffset>2157095</wp:posOffset>
                      </wp:positionH>
                      <wp:positionV relativeFrom="paragraph">
                        <wp:posOffset>343535</wp:posOffset>
                      </wp:positionV>
                      <wp:extent cx="228600" cy="561975"/>
                      <wp:effectExtent l="133350" t="0" r="95250" b="0"/>
                      <wp:wrapNone/>
                      <wp:docPr id="2" name="矢印: 下 2"/>
                      <wp:cNvGraphicFramePr/>
                      <a:graphic xmlns:a="http://schemas.openxmlformats.org/drawingml/2006/main">
                        <a:graphicData uri="http://schemas.microsoft.com/office/word/2010/wordprocessingShape">
                          <wps:wsp>
                            <wps:cNvSpPr/>
                            <wps:spPr>
                              <a:xfrm rot="19261848">
                                <a:off x="0" y="0"/>
                                <a:ext cx="228600" cy="5619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B7B3E4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矢印: 下 2" o:spid="_x0000_s1026" type="#_x0000_t67" style="position:absolute;left:0;text-align:left;margin-left:169.85pt;margin-top:27.05pt;width:18pt;height:44.25pt;rotation:-2553885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" adj="17207" fillcolor="#5b9bd5 [3204]" strokecolor="#1f4d78 [1604]" strokeweight="1pt"/>
                  </w:pict>
                </mc:Fallback>
              </mc:AlternateContent>
            </w:r>
            <w:r w:rsidR="00CC3717" w:rsidRPr="00CC3717">
              <w:rPr>
                <w:noProof/>
              </w:rPr>
              <mc:AlternateContent>
                <mc:Choice Requires="wps">
                  <w:drawing>
                    <wp:anchor distT="0" distB="0" distL="114300" distR="114300" simplePos="0" relativeHeight="251663360" behindDoc="0" locked="0" layoutInCell="1" allowOverlap="1" wp14:anchorId="429059DD" wp14:editId="3B303F43">
                      <wp:simplePos x="0" y="0"/>
                      <wp:positionH relativeFrom="column">
                        <wp:posOffset>2196464</wp:posOffset>
                      </wp:positionH>
                      <wp:positionV relativeFrom="paragraph">
                        <wp:posOffset>953770</wp:posOffset>
                      </wp:positionV>
                      <wp:extent cx="1209675" cy="200025"/>
                      <wp:effectExtent l="0" t="0" r="85725" b="85725"/>
                      <wp:wrapNone/>
                      <wp:docPr id="6" name="フリーフォーム: 図形 6"/>
                      <wp:cNvGraphicFramePr/>
                      <a:graphic xmlns:a="http://schemas.openxmlformats.org/drawingml/2006/main">
                        <a:graphicData uri="http://schemas.microsoft.com/office/word/2010/wordprocessingShape">
                          <wps:wsp>
                            <wps:cNvSpPr/>
                            <wps:spPr>
                              <a:xfrm>
                                <a:off x="0" y="0"/>
                                <a:ext cx="1209675" cy="200025"/>
                              </a:xfrm>
                              <a:custGeom>
                                <a:avLst/>
                                <a:gdLst>
                                  <a:gd name="connsiteX0" fmla="*/ 0 w 619125"/>
                                  <a:gd name="connsiteY0" fmla="*/ 0 h 120526"/>
                                  <a:gd name="connsiteX1" fmla="*/ 228600 w 619125"/>
                                  <a:gd name="connsiteY1" fmla="*/ 114300 h 120526"/>
                                  <a:gd name="connsiteX2" fmla="*/ 619125 w 619125"/>
                                  <a:gd name="connsiteY2" fmla="*/ 95250 h 120526"/>
                                </a:gdLst>
                                <a:ahLst/>
                                <a:cxnLst>
                                  <a:cxn ang="0">
                                    <a:pos x="connsiteX0" y="connsiteY0"/>
                                  </a:cxn>
                                  <a:cxn ang="0">
                                    <a:pos x="connsiteX1" y="connsiteY1"/>
                                  </a:cxn>
                                  <a:cxn ang="0">
                                    <a:pos x="connsiteX2" y="connsiteY2"/>
                                  </a:cxn>
                                </a:cxnLst>
                                <a:rect l="l" t="t" r="r" b="b"/>
                                <a:pathLst>
                                  <a:path w="619125" h="120526">
                                    <a:moveTo>
                                      <a:pt x="0" y="0"/>
                                    </a:moveTo>
                                    <a:cubicBezTo>
                                      <a:pt x="62706" y="49212"/>
                                      <a:pt x="125413" y="98425"/>
                                      <a:pt x="228600" y="114300"/>
                                    </a:cubicBezTo>
                                    <a:cubicBezTo>
                                      <a:pt x="331787" y="130175"/>
                                      <a:pt x="475456" y="112712"/>
                                      <a:pt x="619125" y="95250"/>
                                    </a:cubicBezTo>
                                  </a:path>
                                </a:pathLst>
                              </a:custGeom>
                              <a:noFill/>
                              <a:ln>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8C38C" id="フリーフォーム: 図形 6" o:spid="_x0000_s1026" style="position:absolute;left:0;text-align:left;margin-left:172.95pt;margin-top:75.1pt;width:95.2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9125,120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" path="m,c62706,49212,125413,98425,228600,114300v103187,15875,246856,-1588,390525,-19050e" filled="f" strokecolor="black [3213]" strokeweight="1pt">
                      <v:stroke endarrow="open" joinstyle="miter"/>
                      <v:path arrowok="t" o:connecttype="custom" o:connectlocs="0,0;446649,189692;1209675,158077" o:connectangles="0,0,0"/>
                    </v:shape>
                  </w:pict>
                </mc:Fallback>
              </mc:AlternateContent>
            </w:r>
            <w:r w:rsidR="00CC3717" w:rsidRPr="00CC3717">
              <w:rPr>
                <w:noProof/>
              </w:rPr>
              <mc:AlternateContent>
                <mc:Choice Requires="wps">
                  <w:drawing>
                    <wp:anchor distT="0" distB="0" distL="114300" distR="114300" simplePos="0" relativeHeight="251661312" behindDoc="0" locked="0" layoutInCell="1" allowOverlap="1" wp14:anchorId="46138C28" wp14:editId="3707DA42">
                      <wp:simplePos x="0" y="0"/>
                      <wp:positionH relativeFrom="column">
                        <wp:posOffset>2205990</wp:posOffset>
                      </wp:positionH>
                      <wp:positionV relativeFrom="paragraph">
                        <wp:posOffset>934720</wp:posOffset>
                      </wp:positionV>
                      <wp:extent cx="619125" cy="120526"/>
                      <wp:effectExtent l="0" t="0" r="85725" b="89535"/>
                      <wp:wrapNone/>
                      <wp:docPr id="5" name="フリーフォーム: 図形 5"/>
                      <wp:cNvGraphicFramePr/>
                      <a:graphic xmlns:a="http://schemas.openxmlformats.org/drawingml/2006/main">
                        <a:graphicData uri="http://schemas.microsoft.com/office/word/2010/wordprocessingShape">
                          <wps:wsp>
                            <wps:cNvSpPr/>
                            <wps:spPr>
                              <a:xfrm>
                                <a:off x="0" y="0"/>
                                <a:ext cx="619125" cy="120526"/>
                              </a:xfrm>
                              <a:custGeom>
                                <a:avLst/>
                                <a:gdLst>
                                  <a:gd name="connsiteX0" fmla="*/ 0 w 619125"/>
                                  <a:gd name="connsiteY0" fmla="*/ 0 h 120526"/>
                                  <a:gd name="connsiteX1" fmla="*/ 228600 w 619125"/>
                                  <a:gd name="connsiteY1" fmla="*/ 114300 h 120526"/>
                                  <a:gd name="connsiteX2" fmla="*/ 619125 w 619125"/>
                                  <a:gd name="connsiteY2" fmla="*/ 95250 h 120526"/>
                                </a:gdLst>
                                <a:ahLst/>
                                <a:cxnLst>
                                  <a:cxn ang="0">
                                    <a:pos x="connsiteX0" y="connsiteY0"/>
                                  </a:cxn>
                                  <a:cxn ang="0">
                                    <a:pos x="connsiteX1" y="connsiteY1"/>
                                  </a:cxn>
                                  <a:cxn ang="0">
                                    <a:pos x="connsiteX2" y="connsiteY2"/>
                                  </a:cxn>
                                </a:cxnLst>
                                <a:rect l="l" t="t" r="r" b="b"/>
                                <a:pathLst>
                                  <a:path w="619125" h="120526">
                                    <a:moveTo>
                                      <a:pt x="0" y="0"/>
                                    </a:moveTo>
                                    <a:cubicBezTo>
                                      <a:pt x="62706" y="49212"/>
                                      <a:pt x="125413" y="98425"/>
                                      <a:pt x="228600" y="114300"/>
                                    </a:cubicBezTo>
                                    <a:cubicBezTo>
                                      <a:pt x="331787" y="130175"/>
                                      <a:pt x="475456" y="112712"/>
                                      <a:pt x="619125" y="95250"/>
                                    </a:cubicBezTo>
                                  </a:path>
                                </a:pathLst>
                              </a:custGeom>
                              <a:noFill/>
                              <a:ln>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B080BC" id="フリーフォーム: 図形 5" o:spid="_x0000_s1026" style="position:absolute;left:0;text-align:left;margin-left:173.7pt;margin-top:73.6pt;width:48.75pt;height:9.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619125,120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" path="m,c62706,49212,125413,98425,228600,114300v103187,15875,246856,-1588,390525,-19050e" filled="f" strokecolor="black [3213]" strokeweight="1pt">
                      <v:stroke endarrow="open" joinstyle="miter"/>
                      <v:path arrowok="t" o:connecttype="custom" o:connectlocs="0,0;228600,114300;619125,95250" o:connectangles="0,0,0"/>
                    </v:shape>
                  </w:pict>
                </mc:Fallback>
              </mc:AlternateContent>
            </w:r>
            <w:r w:rsidR="00602513" w:rsidRPr="00602513">
              <w:rPr>
                <w:noProof/>
              </w:rPr>
              <w:drawing>
                <wp:inline distT="0" distB="0" distL="0" distR="0" wp14:anchorId="4872C223" wp14:editId="27AC3AD9">
                  <wp:extent cx="5585710" cy="24955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3769" cy="2499151"/>
                          </a:xfrm>
                          <a:prstGeom prst="rect">
                            <a:avLst/>
                          </a:prstGeom>
                          <a:noFill/>
                          <a:ln>
                            <a:noFill/>
                          </a:ln>
                        </pic:spPr>
                      </pic:pic>
                    </a:graphicData>
                  </a:graphic>
                </wp:inline>
              </w:drawing>
            </w:r>
          </w:p>
        </w:tc>
      </w:tr>
      <w:tr w:rsidR="00602513" w14:paraId="7818B7DD" w14:textId="77777777" w:rsidTr="00602513">
        <w:trPr>
          <w:jc w:val="center"/>
        </w:trPr>
        <w:tc>
          <w:tcPr>
            <w:tcW w:w="9954" w:type="dxa"/>
          </w:tcPr>
          <w:p w14:paraId="2D502E9B" w14:textId="180B9500" w:rsidR="00602513" w:rsidRDefault="00602513" w:rsidP="005A6ECF">
            <w:pPr>
              <w:spacing w:beforeLines="50" w:before="180" w:afterLines="50" w:after="180" w:afterAutospacing="0"/>
              <w:jc w:val="center"/>
            </w:pPr>
            <w:r>
              <w:rPr>
                <w:rFonts w:hint="eastAsia"/>
              </w:rPr>
              <w:t>F</w:t>
            </w:r>
            <w:r>
              <w:t xml:space="preserve">igure 1. Indication of </w:t>
            </w:r>
            <w:r w:rsidR="000B7415">
              <w:t>multiple TCI states of unified TCI framework</w:t>
            </w:r>
          </w:p>
        </w:tc>
      </w:tr>
    </w:tbl>
    <w:p w14:paraId="6BAD71EF" w14:textId="4B2D5807" w:rsidR="00C218F0" w:rsidRDefault="00C218F0" w:rsidP="00163E81"/>
    <w:p w14:paraId="2596D5D8" w14:textId="599F8B81" w:rsidR="00276465" w:rsidRDefault="00CC3717" w:rsidP="00163E81">
      <w:r>
        <w:lastRenderedPageBreak/>
        <w:t>O</w:t>
      </w:r>
      <w:r w:rsidR="00276465">
        <w:t xml:space="preserve">ne </w:t>
      </w:r>
      <w:r>
        <w:t xml:space="preserve">of the </w:t>
      </w:r>
      <w:r w:rsidR="00276465">
        <w:t>use case</w:t>
      </w:r>
      <w:r>
        <w:t>s</w:t>
      </w:r>
      <w:r w:rsidR="00276465">
        <w:t xml:space="preserve"> of the extension of unified TCI framework is </w:t>
      </w:r>
      <w:r>
        <w:t xml:space="preserve">that single DCI indicates multiple active TCI states in multi-TRP operation. </w:t>
      </w:r>
      <w:r w:rsidR="00C42BFE">
        <w:t xml:space="preserve">In our view, this scenario is </w:t>
      </w:r>
      <w:r w:rsidR="00551523">
        <w:t xml:space="preserve">one promising scenario in ideal backhaul scenario </w:t>
      </w:r>
      <w:r w:rsidR="005A6ECF">
        <w:t>in Rel-18 as the extension of Rel-17 unified TCI framework</w:t>
      </w:r>
      <w:r w:rsidR="00734D67">
        <w:t xml:space="preserve"> (i.e. M &gt; 1 and N &gt; 1)</w:t>
      </w:r>
      <w:r w:rsidR="005A6ECF">
        <w:t>.</w:t>
      </w:r>
    </w:p>
    <w:p w14:paraId="2845DAE1" w14:textId="7520C6D7" w:rsidR="001C2DCA" w:rsidRPr="005A6ECF" w:rsidRDefault="001C2DCA" w:rsidP="00122FF3">
      <w:pPr>
        <w:rPr>
          <w:b/>
          <w:bCs/>
        </w:rPr>
      </w:pPr>
      <w:bookmarkStart w:id="5" w:name="OLE_LINK28"/>
      <w:bookmarkStart w:id="6" w:name="OLE_LINK29"/>
      <w:bookmarkStart w:id="7" w:name="OLE_LINK30"/>
      <w:bookmarkStart w:id="8" w:name="OLE_LINK37"/>
      <w:bookmarkStart w:id="9" w:name="OLE_LINK38"/>
      <w:r w:rsidRPr="005A6ECF">
        <w:rPr>
          <w:rFonts w:eastAsiaTheme="minorEastAsia" w:cs="Times"/>
          <w:b/>
          <w:bCs/>
        </w:rPr>
        <w:t>Proposal</w:t>
      </w:r>
      <w:r w:rsidR="00595244">
        <w:rPr>
          <w:rFonts w:eastAsiaTheme="minorEastAsia" w:cs="Times"/>
          <w:b/>
          <w:bCs/>
        </w:rPr>
        <w:t xml:space="preserve"> 1</w:t>
      </w:r>
      <w:r w:rsidRPr="005A6ECF">
        <w:rPr>
          <w:rFonts w:eastAsiaTheme="minorEastAsia" w:cs="Times"/>
          <w:b/>
          <w:bCs/>
        </w:rPr>
        <w:t xml:space="preserve">: </w:t>
      </w:r>
      <w:r w:rsidR="005A6ECF">
        <w:rPr>
          <w:rFonts w:eastAsiaTheme="minorEastAsia" w:cs="Times"/>
          <w:b/>
          <w:bCs/>
        </w:rPr>
        <w:t xml:space="preserve">RAN1 should introduce indication of multiple TCI states using Rel-17 unified </w:t>
      </w:r>
      <w:r w:rsidR="005A6ECF">
        <w:rPr>
          <w:rFonts w:eastAsiaTheme="minorEastAsia" w:cs="Times" w:hint="eastAsia"/>
          <w:b/>
          <w:bCs/>
        </w:rPr>
        <w:t>TCI</w:t>
      </w:r>
      <w:r w:rsidR="005A6ECF">
        <w:rPr>
          <w:rFonts w:eastAsiaTheme="minorEastAsia" w:cs="Times"/>
          <w:b/>
          <w:bCs/>
        </w:rPr>
        <w:t xml:space="preserve"> framework.</w:t>
      </w:r>
    </w:p>
    <w:p w14:paraId="29C30F5B" w14:textId="4E0AE65E" w:rsidR="00B554EA" w:rsidRDefault="00B554EA" w:rsidP="00122FF3">
      <w:pPr>
        <w:rPr>
          <w:rFonts w:eastAsiaTheme="minorEastAsia" w:cs="Times"/>
        </w:rPr>
      </w:pPr>
    </w:p>
    <w:p w14:paraId="4996565F" w14:textId="4FE246FC" w:rsidR="00D01238" w:rsidRPr="00676114" w:rsidRDefault="00D01238" w:rsidP="00D01238">
      <w:pPr>
        <w:pStyle w:val="20"/>
        <w:rPr>
          <w:lang w:val="en-US"/>
        </w:rPr>
      </w:pPr>
      <w:r>
        <w:rPr>
          <w:lang w:val="en-US"/>
        </w:rPr>
        <w:t xml:space="preserve">The </w:t>
      </w:r>
      <w:r w:rsidR="00595244">
        <w:rPr>
          <w:lang w:val="en-US"/>
        </w:rPr>
        <w:t xml:space="preserve">maximum </w:t>
      </w:r>
      <w:r>
        <w:rPr>
          <w:lang w:val="en-US"/>
        </w:rPr>
        <w:t>number of DL and UL TCI states</w:t>
      </w:r>
    </w:p>
    <w:p w14:paraId="13349478" w14:textId="0938E556" w:rsidR="00D01238" w:rsidRDefault="009A1EC2" w:rsidP="00122FF3">
      <w:pPr>
        <w:rPr>
          <w:rFonts w:eastAsiaTheme="minorEastAsia" w:cs="Times"/>
          <w:lang w:val="en-US"/>
        </w:rPr>
      </w:pPr>
      <w:r>
        <w:rPr>
          <w:rFonts w:eastAsiaTheme="minorEastAsia" w:cs="Times"/>
          <w:lang w:val="en-US"/>
        </w:rPr>
        <w:t>Up to Rel-17 specification, the maximum number of TRPs is 2. The motivation of this extension is to switch multiple active beam pair links</w:t>
      </w:r>
      <w:r w:rsidR="005A0FE1">
        <w:rPr>
          <w:rFonts w:eastAsiaTheme="minorEastAsia" w:cs="Times"/>
          <w:lang w:val="en-US"/>
        </w:rPr>
        <w:t xml:space="preserve"> with a single indicatio</w:t>
      </w:r>
      <w:r w:rsidR="004C238A">
        <w:rPr>
          <w:rFonts w:eastAsiaTheme="minorEastAsia" w:cs="Times"/>
          <w:lang w:val="en-US"/>
        </w:rPr>
        <w:t>n</w:t>
      </w:r>
      <w:r w:rsidR="00CC3A64">
        <w:rPr>
          <w:rFonts w:eastAsiaTheme="minorEastAsia" w:cs="Times"/>
          <w:lang w:val="en-US"/>
        </w:rPr>
        <w:t xml:space="preserve"> in multi-TRP case</w:t>
      </w:r>
      <w:r>
        <w:rPr>
          <w:rFonts w:eastAsiaTheme="minorEastAsia" w:cs="Times"/>
          <w:lang w:val="en-US"/>
        </w:rPr>
        <w:t xml:space="preserve">. Therefore, from our perspective, it would be enough the number of TCI states in an indication is </w:t>
      </w:r>
      <w:r w:rsidR="00595244">
        <w:rPr>
          <w:rFonts w:eastAsiaTheme="minorEastAsia" w:cs="Times"/>
          <w:lang w:val="en-US"/>
        </w:rPr>
        <w:t>the maximum number of TRPs in multi-TRP operation</w:t>
      </w:r>
      <w:r>
        <w:rPr>
          <w:rFonts w:eastAsiaTheme="minorEastAsia" w:cs="Times"/>
          <w:lang w:val="en-US"/>
        </w:rPr>
        <w:t>.</w:t>
      </w:r>
      <w:r w:rsidR="00595244">
        <w:rPr>
          <w:rFonts w:eastAsiaTheme="minorEastAsia" w:cs="Times"/>
          <w:lang w:val="en-US"/>
        </w:rPr>
        <w:t xml:space="preserve"> </w:t>
      </w:r>
    </w:p>
    <w:p w14:paraId="1415B292" w14:textId="7A5F1BEC" w:rsidR="00595244" w:rsidRPr="005A6ECF" w:rsidRDefault="00595244" w:rsidP="00595244">
      <w:pPr>
        <w:rPr>
          <w:b/>
          <w:bCs/>
        </w:rPr>
      </w:pPr>
      <w:r w:rsidRPr="005A6ECF">
        <w:rPr>
          <w:rFonts w:eastAsiaTheme="minorEastAsia" w:cs="Times"/>
          <w:b/>
          <w:bCs/>
        </w:rPr>
        <w:t>Proposal</w:t>
      </w:r>
      <w:r>
        <w:rPr>
          <w:rFonts w:eastAsiaTheme="minorEastAsia" w:cs="Times"/>
          <w:b/>
          <w:bCs/>
        </w:rPr>
        <w:t xml:space="preserve"> </w:t>
      </w:r>
      <w:r>
        <w:rPr>
          <w:rFonts w:eastAsiaTheme="minorEastAsia" w:cs="Times"/>
          <w:b/>
          <w:bCs/>
        </w:rPr>
        <w:t>2</w:t>
      </w:r>
      <w:r w:rsidRPr="005A6ECF">
        <w:rPr>
          <w:rFonts w:eastAsiaTheme="minorEastAsia" w:cs="Times"/>
          <w:b/>
          <w:bCs/>
        </w:rPr>
        <w:t xml:space="preserve">: </w:t>
      </w:r>
      <w:r>
        <w:rPr>
          <w:rFonts w:eastAsiaTheme="minorEastAsia" w:cs="Times"/>
          <w:b/>
          <w:bCs/>
        </w:rPr>
        <w:t xml:space="preserve">The maximum number of DL and UL TCIs should be the same as the maximum number of TRPs in </w:t>
      </w:r>
      <w:r w:rsidR="00CC3A64">
        <w:rPr>
          <w:rFonts w:eastAsiaTheme="minorEastAsia" w:cs="Times"/>
          <w:b/>
          <w:bCs/>
        </w:rPr>
        <w:t>multi-</w:t>
      </w:r>
      <w:r>
        <w:rPr>
          <w:rFonts w:eastAsiaTheme="minorEastAsia" w:cs="Times"/>
          <w:b/>
          <w:bCs/>
        </w:rPr>
        <w:t>TRP operation</w:t>
      </w:r>
      <w:r>
        <w:rPr>
          <w:rFonts w:eastAsiaTheme="minorEastAsia" w:cs="Times"/>
          <w:b/>
          <w:bCs/>
        </w:rPr>
        <w:t>.</w:t>
      </w:r>
    </w:p>
    <w:p w14:paraId="16471DD8" w14:textId="3511C5F9" w:rsidR="009A1EC2" w:rsidRPr="00930E03" w:rsidRDefault="00B41AFB" w:rsidP="00930E03">
      <w:pPr>
        <w:pStyle w:val="aff9"/>
        <w:numPr>
          <w:ilvl w:val="0"/>
          <w:numId w:val="23"/>
        </w:numPr>
        <w:ind w:firstLineChars="0"/>
        <w:rPr>
          <w:rFonts w:eastAsiaTheme="minorEastAsia" w:cs="Times"/>
        </w:rPr>
      </w:pPr>
      <w:r>
        <w:rPr>
          <w:rFonts w:eastAsiaTheme="minorEastAsia" w:cs="Times"/>
        </w:rPr>
        <w:t>If the number of TRPs in multi-TRP operation is not increased, M and N is up to 2.</w:t>
      </w:r>
    </w:p>
    <w:p w14:paraId="0588F421" w14:textId="77777777" w:rsidR="00595244" w:rsidRPr="00D01238" w:rsidRDefault="00595244" w:rsidP="00122FF3">
      <w:pPr>
        <w:rPr>
          <w:rFonts w:eastAsiaTheme="minorEastAsia" w:cs="Times" w:hint="eastAsia"/>
          <w:lang w:val="en-US"/>
        </w:rPr>
      </w:pP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6C0C3F5"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w:t>
      </w:r>
      <w:r w:rsidR="00D01238">
        <w:rPr>
          <w:rFonts w:eastAsiaTheme="minorEastAsia"/>
          <w:color w:val="000000" w:themeColor="text1"/>
        </w:rPr>
        <w:t>s</w:t>
      </w:r>
      <w:r w:rsidRPr="00006ABC">
        <w:rPr>
          <w:rFonts w:eastAsiaTheme="minorEastAsia"/>
          <w:color w:val="000000" w:themeColor="text1"/>
        </w:rPr>
        <w:t>:</w:t>
      </w:r>
    </w:p>
    <w:bookmarkEnd w:id="3"/>
    <w:p w14:paraId="4472DB86" w14:textId="6C751979" w:rsidR="00286967" w:rsidRDefault="000E7CEA" w:rsidP="00286967">
      <w:pPr>
        <w:rPr>
          <w:rFonts w:eastAsiaTheme="minorEastAsia" w:cs="Times"/>
          <w:b/>
          <w:bCs/>
        </w:rPr>
      </w:pPr>
      <w:r w:rsidRPr="005A6ECF">
        <w:rPr>
          <w:rFonts w:eastAsiaTheme="minorEastAsia" w:cs="Times"/>
          <w:b/>
          <w:bCs/>
        </w:rPr>
        <w:t>Proposal</w:t>
      </w:r>
      <w:r w:rsidR="00D01238">
        <w:rPr>
          <w:rFonts w:eastAsiaTheme="minorEastAsia" w:cs="Times"/>
          <w:b/>
          <w:bCs/>
        </w:rPr>
        <w:t xml:space="preserve"> 1</w:t>
      </w:r>
      <w:r w:rsidRPr="005A6ECF">
        <w:rPr>
          <w:rFonts w:eastAsiaTheme="minorEastAsia" w:cs="Times"/>
          <w:b/>
          <w:bCs/>
        </w:rPr>
        <w:t xml:space="preserve">: </w:t>
      </w:r>
      <w:r>
        <w:rPr>
          <w:rFonts w:eastAsiaTheme="minorEastAsia" w:cs="Times"/>
          <w:b/>
          <w:bCs/>
        </w:rPr>
        <w:t xml:space="preserve">RAN1 should introduce indication of multiple TCI states using Rel-17 unified </w:t>
      </w:r>
      <w:r>
        <w:rPr>
          <w:rFonts w:eastAsiaTheme="minorEastAsia" w:cs="Times" w:hint="eastAsia"/>
          <w:b/>
          <w:bCs/>
        </w:rPr>
        <w:t>TCI</w:t>
      </w:r>
      <w:r>
        <w:rPr>
          <w:rFonts w:eastAsiaTheme="minorEastAsia" w:cs="Times"/>
          <w:b/>
          <w:bCs/>
        </w:rPr>
        <w:t xml:space="preserve"> framework.</w:t>
      </w:r>
    </w:p>
    <w:p w14:paraId="39571905" w14:textId="77777777" w:rsidR="00D9085B" w:rsidRPr="005A6ECF" w:rsidRDefault="00D9085B" w:rsidP="00D9085B">
      <w:pPr>
        <w:rPr>
          <w:b/>
          <w:bCs/>
        </w:rPr>
      </w:pPr>
      <w:r w:rsidRPr="005A6ECF">
        <w:rPr>
          <w:rFonts w:eastAsiaTheme="minorEastAsia" w:cs="Times"/>
          <w:b/>
          <w:bCs/>
        </w:rPr>
        <w:t>Proposal</w:t>
      </w:r>
      <w:r>
        <w:rPr>
          <w:rFonts w:eastAsiaTheme="minorEastAsia" w:cs="Times"/>
          <w:b/>
          <w:bCs/>
        </w:rPr>
        <w:t xml:space="preserve"> 2</w:t>
      </w:r>
      <w:r w:rsidRPr="005A6ECF">
        <w:rPr>
          <w:rFonts w:eastAsiaTheme="minorEastAsia" w:cs="Times"/>
          <w:b/>
          <w:bCs/>
        </w:rPr>
        <w:t xml:space="preserve">: </w:t>
      </w:r>
      <w:r>
        <w:rPr>
          <w:rFonts w:eastAsiaTheme="minorEastAsia" w:cs="Times"/>
          <w:b/>
          <w:bCs/>
        </w:rPr>
        <w:t>The maximum number of DL and UL TCIs should be the same as the maximum number of TRPs in multi-TRP operation.</w:t>
      </w:r>
    </w:p>
    <w:p w14:paraId="5D67ADE8" w14:textId="77777777" w:rsidR="00D9085B" w:rsidRPr="00930E03" w:rsidRDefault="00D9085B" w:rsidP="00D9085B">
      <w:pPr>
        <w:pStyle w:val="aff9"/>
        <w:numPr>
          <w:ilvl w:val="0"/>
          <w:numId w:val="23"/>
        </w:numPr>
        <w:ind w:firstLineChars="0"/>
        <w:rPr>
          <w:rFonts w:eastAsiaTheme="minorEastAsia" w:cs="Times"/>
        </w:rPr>
      </w:pPr>
      <w:r>
        <w:rPr>
          <w:rFonts w:eastAsiaTheme="minorEastAsia" w:cs="Times"/>
        </w:rPr>
        <w:t>If the number of TRPs in multi-TRP operation is not increased, M and N is up to 2.</w:t>
      </w:r>
    </w:p>
    <w:p w14:paraId="53D3C602" w14:textId="77777777" w:rsidR="00D01238" w:rsidRPr="00D9085B" w:rsidRDefault="00D01238" w:rsidP="00286967">
      <w:pPr>
        <w:rPr>
          <w:rFonts w:eastAsiaTheme="minorEastAsia" w:cs="Times" w:hint="eastAsia"/>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3B75BE58" w14:textId="1B43B422" w:rsidR="007E0418" w:rsidRDefault="00CE74B9" w:rsidP="007E0418">
      <w:pPr>
        <w:pStyle w:val="textintend2"/>
        <w:rPr>
          <w:color w:val="000000" w:themeColor="text1"/>
          <w:szCs w:val="24"/>
        </w:rPr>
      </w:pPr>
      <w:r w:rsidRPr="00CE74B9">
        <w:rPr>
          <w:color w:val="000000" w:themeColor="text1"/>
          <w:szCs w:val="24"/>
          <w:lang w:eastAsia="ja-JP"/>
        </w:rPr>
        <w:t>RP-213598, New WID: MIMO Evolution for Downlink and Uplink, Dec. 2021.</w:t>
      </w:r>
    </w:p>
    <w:sectPr w:rsidR="007E041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FF143" w14:textId="77777777" w:rsidR="00125C57" w:rsidRDefault="00125C57">
      <w:r>
        <w:separator/>
      </w:r>
    </w:p>
  </w:endnote>
  <w:endnote w:type="continuationSeparator" w:id="0">
    <w:p w14:paraId="0038C23D" w14:textId="77777777" w:rsidR="00125C57" w:rsidRDefault="0012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0B8AC" w14:textId="77777777" w:rsidR="00125C57" w:rsidRDefault="00125C57">
      <w:r>
        <w:separator/>
      </w:r>
    </w:p>
  </w:footnote>
  <w:footnote w:type="continuationSeparator" w:id="0">
    <w:p w14:paraId="39904175" w14:textId="77777777" w:rsidR="00125C57" w:rsidRDefault="00125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2D0AD9"/>
    <w:multiLevelType w:val="hybridMultilevel"/>
    <w:tmpl w:val="AA645112"/>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36EA074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3AA0FE2"/>
    <w:multiLevelType w:val="hybridMultilevel"/>
    <w:tmpl w:val="4FD61B60"/>
    <w:lvl w:ilvl="0" w:tplc="A40292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7"/>
  </w:num>
  <w:num w:numId="2">
    <w:abstractNumId w:val="1"/>
  </w:num>
  <w:num w:numId="3">
    <w:abstractNumId w:val="5"/>
  </w:num>
  <w:num w:numId="4">
    <w:abstractNumId w:val="18"/>
  </w:num>
  <w:num w:numId="5">
    <w:abstractNumId w:val="13"/>
  </w:num>
  <w:num w:numId="6">
    <w:abstractNumId w:val="14"/>
  </w:num>
  <w:num w:numId="7">
    <w:abstractNumId w:val="11"/>
  </w:num>
  <w:num w:numId="8">
    <w:abstractNumId w:val="0"/>
  </w:num>
  <w:num w:numId="9">
    <w:abstractNumId w:val="20"/>
  </w:num>
  <w:num w:numId="10">
    <w:abstractNumId w:val="10"/>
  </w:num>
  <w:num w:numId="11">
    <w:abstractNumId w:val="15"/>
  </w:num>
  <w:num w:numId="12">
    <w:abstractNumId w:val="3"/>
  </w:num>
  <w:num w:numId="13">
    <w:abstractNumId w:val="9"/>
  </w:num>
  <w:num w:numId="14">
    <w:abstractNumId w:val="3"/>
  </w:num>
  <w:num w:numId="15">
    <w:abstractNumId w:val="16"/>
  </w:num>
  <w:num w:numId="16">
    <w:abstractNumId w:val="4"/>
  </w:num>
  <w:num w:numId="17">
    <w:abstractNumId w:val="8"/>
  </w:num>
  <w:num w:numId="18">
    <w:abstractNumId w:val="12"/>
  </w:num>
  <w:num w:numId="19">
    <w:abstractNumId w:val="2"/>
  </w:num>
  <w:num w:numId="20">
    <w:abstractNumId w:val="6"/>
  </w:num>
  <w:num w:numId="21">
    <w:abstractNumId w:val="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9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0CD5"/>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415"/>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3F"/>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CEA"/>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C57"/>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81"/>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465"/>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967"/>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3719"/>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250"/>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3C5"/>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42"/>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26E"/>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2D8"/>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8A"/>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523"/>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244"/>
    <w:rsid w:val="00595431"/>
    <w:rsid w:val="00595516"/>
    <w:rsid w:val="00595981"/>
    <w:rsid w:val="00595D75"/>
    <w:rsid w:val="00595E02"/>
    <w:rsid w:val="00596482"/>
    <w:rsid w:val="005966F2"/>
    <w:rsid w:val="005967E5"/>
    <w:rsid w:val="005974DA"/>
    <w:rsid w:val="00597687"/>
    <w:rsid w:val="00597716"/>
    <w:rsid w:val="005A0A95"/>
    <w:rsid w:val="005A0F7E"/>
    <w:rsid w:val="005A0FE1"/>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ECF"/>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513"/>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3D3"/>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114"/>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4D67"/>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2C25"/>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698"/>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18"/>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597"/>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E1"/>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0E03"/>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1EC2"/>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BC9"/>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DD"/>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AFB"/>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358"/>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7BB"/>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712"/>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8F0"/>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2BFE"/>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5F1A"/>
    <w:rsid w:val="00CB69D3"/>
    <w:rsid w:val="00CB6F1E"/>
    <w:rsid w:val="00CB6FA4"/>
    <w:rsid w:val="00CB7D1A"/>
    <w:rsid w:val="00CC07E4"/>
    <w:rsid w:val="00CC0A60"/>
    <w:rsid w:val="00CC0EC9"/>
    <w:rsid w:val="00CC1901"/>
    <w:rsid w:val="00CC19ED"/>
    <w:rsid w:val="00CC1F71"/>
    <w:rsid w:val="00CC2558"/>
    <w:rsid w:val="00CC2C3C"/>
    <w:rsid w:val="00CC343D"/>
    <w:rsid w:val="00CC3717"/>
    <w:rsid w:val="00CC3A64"/>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B9"/>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238"/>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5EB"/>
    <w:rsid w:val="00D7669F"/>
    <w:rsid w:val="00D766BC"/>
    <w:rsid w:val="00D76B4E"/>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085B"/>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DEA"/>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66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B8A"/>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43F"/>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08"/>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D01238"/>
    <w:pPr>
      <w:keepNext/>
      <w:numPr>
        <w:ilvl w:val="1"/>
        <w:numId w:val="1"/>
      </w:numPr>
      <w:tabs>
        <w:tab w:val="clear" w:pos="6380"/>
      </w:tabs>
      <w:spacing w:before="240"/>
      <w:ind w:left="284" w:hanging="284"/>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D01238"/>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6330312">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370</Words>
  <Characters>2114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横枕一成/課長</cp:lastModifiedBy>
  <cp:revision>12</cp:revision>
  <cp:lastPrinted>2019-02-13T08:31:00Z</cp:lastPrinted>
  <dcterms:created xsi:type="dcterms:W3CDTF">2022-04-28T06:41:00Z</dcterms:created>
  <dcterms:modified xsi:type="dcterms:W3CDTF">2022-04-28T06:57:00Z</dcterms:modified>
</cp:coreProperties>
</file>