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9C55C1C" w14:textId="77777777" w:rsidR="0070093E" w:rsidRDefault="00172DE2">
      <w:pPr>
        <w:jc w:val="left"/>
        <w:rPr>
          <w:rFonts w:eastAsia="等线"/>
          <w:iCs/>
          <w:lang w:eastAsia="zh-CN"/>
        </w:rPr>
      </w:pPr>
      <w:proofErr w:type="spellStart"/>
      <w:r>
        <w:rPr>
          <w:rFonts w:eastAsia="等线"/>
          <w:iCs/>
          <w:lang w:eastAsia="zh-CN"/>
        </w:rPr>
        <w:t>Spreadtrum</w:t>
      </w:r>
      <w:proofErr w:type="spellEnd"/>
      <w:r>
        <w:rPr>
          <w:rFonts w:eastAsia="等线"/>
          <w:iCs/>
          <w:lang w:eastAsia="zh-CN"/>
        </w:rPr>
        <w:t xml:space="preserve"> proposal 3: Value range for PUCCH-</w:t>
      </w:r>
      <w:proofErr w:type="spellStart"/>
      <w:r>
        <w:rPr>
          <w:rFonts w:eastAsia="等线"/>
          <w:iCs/>
          <w:lang w:eastAsia="zh-CN"/>
        </w:rPr>
        <w:t>Frequencyhopping</w:t>
      </w:r>
      <w:proofErr w:type="spellEnd"/>
      <w:r>
        <w:rPr>
          <w:rFonts w:eastAsia="等线"/>
          <w:iCs/>
          <w:lang w:eastAsia="zh-CN"/>
        </w:rPr>
        <w:t>-Interval is set to “{2, 4, [5]}</w:t>
      </w:r>
    </w:p>
    <w:p w14:paraId="036B759E" w14:textId="77777777" w:rsidR="0070093E" w:rsidRDefault="00172DE2">
      <w:pPr>
        <w:spacing w:after="180" w:line="240" w:lineRule="auto"/>
        <w:jc w:val="left"/>
        <w:rPr>
          <w:iCs/>
        </w:rPr>
      </w:pPr>
      <w:proofErr w:type="spellStart"/>
      <w:r>
        <w:rPr>
          <w:rFonts w:eastAsia="等线"/>
          <w:iCs/>
          <w:lang w:eastAsia="zh-CN"/>
        </w:rPr>
        <w:t>Spreadtrum</w:t>
      </w:r>
      <w:proofErr w:type="spellEnd"/>
      <w:r>
        <w:rPr>
          <w:rFonts w:eastAsia="等线"/>
          <w:iCs/>
          <w:lang w:eastAsia="zh-CN"/>
        </w:rPr>
        <w:t xml:space="preserve"> proposal 4: for PUSCH-</w:t>
      </w:r>
      <w:proofErr w:type="spellStart"/>
      <w:r>
        <w:rPr>
          <w:rFonts w:eastAsia="等线"/>
          <w:iCs/>
          <w:lang w:eastAsia="zh-CN"/>
        </w:rPr>
        <w:t>Frequencyhopping</w:t>
      </w:r>
      <w:proofErr w:type="spellEnd"/>
      <w:r>
        <w:rPr>
          <w:rFonts w:eastAsia="等线"/>
          <w:iCs/>
          <w:lang w:eastAsia="zh-CN"/>
        </w:rPr>
        <w:t>-Interval, down select between:</w:t>
      </w:r>
    </w:p>
    <w:p w14:paraId="4C8BE0E6"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14:paraId="01F7E52D" w14:textId="77777777" w:rsidR="0070093E" w:rsidRDefault="00172DE2">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w:t>
      </w:r>
      <w:proofErr w:type="spellStart"/>
      <w:r>
        <w:rPr>
          <w:rFonts w:eastAsia="等线"/>
          <w:iCs/>
          <w:lang w:eastAsia="zh-CN"/>
        </w:rPr>
        <w:t>Frequencyhopping</w:t>
      </w:r>
      <w:proofErr w:type="spellEnd"/>
      <w:r>
        <w:rPr>
          <w:rFonts w:eastAsia="等线"/>
          <w:iCs/>
          <w:lang w:eastAsia="zh-CN"/>
        </w:rPr>
        <w:t>-Interval is set to “{2, 4,}” or “{1, 2, 4, 8}”, the second one is preferred.</w:t>
      </w:r>
    </w:p>
    <w:p w14:paraId="1E1F9257" w14:textId="77777777" w:rsidR="0070093E" w:rsidRDefault="0070093E">
      <w:pPr>
        <w:snapToGrid w:val="0"/>
        <w:spacing w:after="0"/>
        <w:jc w:val="left"/>
        <w:rPr>
          <w:rFonts w:eastAsia="等线"/>
          <w:iCs/>
          <w:lang w:eastAsia="zh-CN"/>
        </w:rPr>
      </w:pPr>
    </w:p>
    <w:p w14:paraId="3C3DE6C7" w14:textId="77777777" w:rsidR="0070093E" w:rsidRDefault="00172DE2">
      <w:pPr>
        <w:spacing w:after="0"/>
        <w:jc w:val="left"/>
        <w:rPr>
          <w:iCs/>
        </w:rPr>
      </w:pPr>
      <w:r>
        <w:rPr>
          <w:rFonts w:eastAsia="等线"/>
          <w:iCs/>
          <w:lang w:eastAsia="zh-CN"/>
        </w:rPr>
        <w:t xml:space="preserve">Ericsson </w:t>
      </w:r>
      <w:r>
        <w:rPr>
          <w:iCs/>
        </w:rPr>
        <w:t xml:space="preserve">Proposal 5: </w:t>
      </w:r>
    </w:p>
    <w:p w14:paraId="2DCB429A" w14:textId="77777777" w:rsidR="0070093E" w:rsidRDefault="00172DE2">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9C6CD6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等线"/>
          <w:iCs/>
          <w:lang w:eastAsia="zh-CN"/>
        </w:rPr>
        <w:t xml:space="preserve">Samsung </w:t>
      </w:r>
      <w:r>
        <w:rPr>
          <w:iCs/>
        </w:rPr>
        <w:t xml:space="preserve">Proposal 5: </w:t>
      </w:r>
    </w:p>
    <w:p w14:paraId="39E18327" w14:textId="77777777" w:rsidR="0070093E" w:rsidRDefault="00172DE2">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“{2, 4}”</w:t>
      </w:r>
    </w:p>
    <w:p w14:paraId="1B7146E9" w14:textId="77777777" w:rsidR="0070093E" w:rsidRDefault="00172DE2">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1, 2, 3, 4, 6, 7, 8, 10, 12, 14, 16</w:t>
      </w:r>
      <w:r>
        <w:rPr>
          <w:rFonts w:ascii="Times New Roman" w:eastAsia="等线" w:hAnsi="Times New Roman"/>
          <w:iCs/>
          <w:sz w:val="20"/>
          <w:szCs w:val="20"/>
        </w:rPr>
        <w:t>}”</w:t>
      </w:r>
    </w:p>
    <w:p w14:paraId="63BA2705" w14:textId="1A33ACCA" w:rsidR="0070093E" w:rsidRDefault="0070093E">
      <w:pPr>
        <w:snapToGrid w:val="0"/>
        <w:spacing w:after="0"/>
        <w:jc w:val="left"/>
        <w:rPr>
          <w:rFonts w:eastAsia="等线"/>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w:t>
      </w:r>
      <w:proofErr w:type="spellStart"/>
      <w:r w:rsidRPr="00421264">
        <w:rPr>
          <w:iCs/>
        </w:rPr>
        <w:t>Frequencyhopping</w:t>
      </w:r>
      <w:proofErr w:type="spellEnd"/>
      <w:r w:rsidRPr="00421264">
        <w:rPr>
          <w:iCs/>
        </w:rPr>
        <w:t>-Interval/PUSCH-</w:t>
      </w:r>
      <w:proofErr w:type="spellStart"/>
      <w:r w:rsidRPr="00421264">
        <w:rPr>
          <w:iCs/>
        </w:rPr>
        <w:t>Frequencyhopping</w:t>
      </w:r>
      <w:proofErr w:type="spellEnd"/>
      <w:r w:rsidRPr="00421264">
        <w:rPr>
          <w:iCs/>
        </w:rPr>
        <w:t>-Interval:</w:t>
      </w:r>
    </w:p>
    <w:p w14:paraId="2B398359" w14:textId="77777777" w:rsidR="00AD6C5F" w:rsidRPr="00421264" w:rsidRDefault="00AD6C5F" w:rsidP="00AD6C5F">
      <w:pPr>
        <w:spacing w:after="0" w:line="240" w:lineRule="auto"/>
        <w:ind w:firstLine="288"/>
        <w:jc w:val="left"/>
        <w:rPr>
          <w:iCs/>
        </w:rPr>
      </w:pPr>
      <w:r w:rsidRPr="00421264">
        <w:rPr>
          <w:iCs/>
        </w:rPr>
        <w:t>PUCCH-</w:t>
      </w:r>
      <w:proofErr w:type="spellStart"/>
      <w:r w:rsidRPr="00421264">
        <w:rPr>
          <w:iCs/>
        </w:rPr>
        <w:t>Frequencyhopping</w:t>
      </w:r>
      <w:proofErr w:type="spellEnd"/>
      <w:r w:rsidRPr="00421264">
        <w:rPr>
          <w:iCs/>
        </w:rPr>
        <w:t>-Interval = {2, 4, 5}</w:t>
      </w:r>
    </w:p>
    <w:p w14:paraId="4B7872D6" w14:textId="3A15A651" w:rsidR="00AD6C5F" w:rsidRPr="00421264" w:rsidRDefault="00AD6C5F" w:rsidP="00AD6C5F">
      <w:pPr>
        <w:spacing w:after="0" w:line="240" w:lineRule="auto"/>
        <w:ind w:firstLine="288"/>
        <w:jc w:val="left"/>
        <w:rPr>
          <w:iCs/>
        </w:rPr>
      </w:pPr>
      <w:r w:rsidRPr="00421264">
        <w:rPr>
          <w:iCs/>
        </w:rPr>
        <w:t>PUSCH-</w:t>
      </w:r>
      <w:proofErr w:type="spellStart"/>
      <w:r w:rsidRPr="00421264">
        <w:rPr>
          <w:iCs/>
        </w:rPr>
        <w:t>Frequencyhopping</w:t>
      </w:r>
      <w:proofErr w:type="spellEnd"/>
      <w:r w:rsidRPr="00421264">
        <w:rPr>
          <w:iCs/>
        </w:rPr>
        <w:t>-Interval = {2, 4, 5, 8, 10, 16, 20}</w:t>
      </w:r>
    </w:p>
    <w:p w14:paraId="60658E8F" w14:textId="77777777" w:rsidR="00AD6C5F" w:rsidRDefault="00AD6C5F">
      <w:pPr>
        <w:snapToGrid w:val="0"/>
        <w:spacing w:after="0"/>
        <w:jc w:val="left"/>
        <w:rPr>
          <w:rFonts w:eastAsia="等线"/>
          <w:b/>
          <w:lang w:val="en-GB" w:eastAsia="zh-CN"/>
        </w:rPr>
      </w:pPr>
    </w:p>
    <w:p w14:paraId="7777C481" w14:textId="77777777" w:rsidR="0070093E" w:rsidRDefault="00172DE2">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等线"/>
          <w:b/>
          <w:lang w:val="en-GB" w:eastAsia="zh-CN"/>
        </w:rPr>
      </w:pPr>
    </w:p>
    <w:p w14:paraId="5B35CF54" w14:textId="77777777" w:rsidR="00D32C87" w:rsidRDefault="00D32C87" w:rsidP="00D32C87">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3A5FB44A" w14:textId="77777777" w:rsidR="00D32C87" w:rsidRDefault="00D32C87" w:rsidP="00D32C87">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“{1, 2, 4, 5, 8, 10}”</w:t>
      </w:r>
    </w:p>
    <w:p w14:paraId="04944E82" w14:textId="77777777" w:rsidR="00D32C87" w:rsidRDefault="00D32C87" w:rsidP="00D32C87">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2D0BDEB9" w14:textId="77777777" w:rsidR="0070093E" w:rsidRDefault="0070093E">
      <w:pPr>
        <w:snapToGrid w:val="0"/>
        <w:spacing w:after="0"/>
        <w:jc w:val="left"/>
        <w:rPr>
          <w:rFonts w:eastAsia="等线"/>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Value 1 is unnecessary. This is because the UE determines to use Rel-15/16 frequency hopping when DMRS bundling is not enabled in the current spec., and enabling of DMRS bundling is configured in PUSCH-Config. Therefore, PUSCH-</w:t>
            </w:r>
            <w:proofErr w:type="spellStart"/>
            <w:r w:rsidRPr="00192ADA">
              <w:rPr>
                <w:rFonts w:eastAsia="MS Mincho"/>
                <w:lang w:eastAsia="zh-CN"/>
              </w:rPr>
              <w:t>Frequencyhopping</w:t>
            </w:r>
            <w:proofErr w:type="spellEnd"/>
            <w:r w:rsidRPr="00192ADA">
              <w:rPr>
                <w:rFonts w:eastAsia="MS Mincho"/>
                <w:lang w:eastAsia="zh-CN"/>
              </w:rPr>
              <w:t>-Interval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w:t>
            </w:r>
            <w:proofErr w:type="spellStart"/>
            <w:r w:rsidRPr="00192ADA">
              <w:rPr>
                <w:rFonts w:eastAsia="MS Mincho"/>
                <w:lang w:eastAsia="zh-CN"/>
              </w:rPr>
              <w:t>Frequencyhopping</w:t>
            </w:r>
            <w:proofErr w:type="spellEnd"/>
            <w:r w:rsidRPr="00192ADA">
              <w:rPr>
                <w:rFonts w:eastAsia="MS Mincho"/>
                <w:lang w:eastAsia="zh-CN"/>
              </w:rPr>
              <w:t>-Interval/PUCCH-</w:t>
            </w:r>
            <w:proofErr w:type="spellStart"/>
            <w:r w:rsidRPr="00192ADA">
              <w:rPr>
                <w:rFonts w:eastAsia="MS Mincho"/>
                <w:lang w:eastAsia="zh-CN"/>
              </w:rPr>
              <w:t>Frequencyhopping</w:t>
            </w:r>
            <w:proofErr w:type="spellEnd"/>
            <w:r w:rsidRPr="00192ADA">
              <w:rPr>
                <w:rFonts w:eastAsia="MS Mincho"/>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proofErr w:type="spellStart"/>
            <w:r>
              <w:rPr>
                <w:bCs/>
              </w:rPr>
              <w:t>InterDigital</w:t>
            </w:r>
            <w:proofErr w:type="spellEnd"/>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5A66925D" w14:textId="77777777" w:rsidR="0070093E" w:rsidRDefault="00172DE2">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51BACB2A" w14:textId="77777777" w:rsidR="0070093E" w:rsidRDefault="00172DE2">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E55865"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D7CF9F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3E8FADA3" w14:textId="77777777" w:rsidR="0070093E" w:rsidRDefault="00172DE2">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90525C0"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458600EE"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40DE7D8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2839B49"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DE90C2B" w14:textId="77777777" w:rsidR="0070093E" w:rsidRDefault="00172DE2">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7084C6DA"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5C0F831A"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proofErr w:type="spellStart"/>
            <w:r>
              <w:rPr>
                <w:bCs/>
                <w:lang w:eastAsia="zh-CN"/>
              </w:rPr>
              <w:t>InterDigital</w:t>
            </w:r>
            <w:proofErr w:type="spellEnd"/>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r>
              <w:rPr>
                <w:bCs/>
                <w:lang w:eastAsia="zh-CN"/>
              </w:rPr>
              <w:t>Lets</w:t>
            </w:r>
            <w:proofErr w:type="spell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18787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18787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4pt;height:47.4pt;mso-width-percent:0;mso-height-percent:0;mso-width-percent:0;mso-height-percent:0" o:ole="">
            <v:imagedata r:id="rId17" o:title=""/>
          </v:shape>
          <o:OLEObject Type="Embed" ProgID="Equation.DSMT4" ShapeID="_x0000_i1025" DrawAspect="Content" ObjectID="_1707118207" r:id="rId18"/>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6pt;height:18.6pt;mso-width-percent:0;mso-height-percent:0;mso-width-percent:0;mso-height-percent:0" o:ole="">
            <v:imagedata r:id="rId19" o:title=""/>
          </v:shape>
          <o:OLEObject Type="Embed" ProgID="Equation.DSMT4" ShapeID="_x0000_i1026" DrawAspect="Content" ObjectID="_1707118208"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2pt;height:18.6pt;mso-width-percent:0;mso-height-percent:0;mso-width-percent:0;mso-height-percent:0" o:ole="">
            <v:imagedata r:id="rId21" o:title=""/>
          </v:shape>
          <o:OLEObject Type="Embed" ProgID="Equation.DSMT4" ShapeID="_x0000_i1027" DrawAspect="Content" ObjectID="_1707118209"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187874">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187874">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187874">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187874">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30F6C115"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055A1FD8"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408AC54"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3BC7F98B"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等线"/>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1277068E"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0B189F9A"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1"/>
      </w:pPr>
      <w:bookmarkStart w:id="23" w:name="_Ref54470658"/>
      <w:r>
        <w:t>Proposal</w:t>
      </w:r>
      <w:r w:rsidR="00105F58">
        <w:t>s</w:t>
      </w:r>
      <w:r>
        <w:t xml:space="preserve"> for 2/22 GTW</w:t>
      </w:r>
    </w:p>
    <w:p w14:paraId="7F16D69F" w14:textId="517CB0F0" w:rsidR="001176C6" w:rsidRDefault="001176C6" w:rsidP="001176C6">
      <w:pPr>
        <w:spacing w:after="0"/>
        <w:jc w:val="left"/>
      </w:pPr>
      <w:r>
        <w:t>The two options to count relative slot index are listed as following, and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等线"/>
          <w:b/>
          <w:highlight w:val="magenta"/>
          <w:lang w:val="en-GB" w:eastAsia="zh-CN"/>
        </w:rPr>
      </w:pPr>
    </w:p>
    <w:p w14:paraId="5CFA014B" w14:textId="0A8C72AF" w:rsidR="001176C6" w:rsidRDefault="007016F7" w:rsidP="00F36A6B">
      <w:pPr>
        <w:snapToGrid w:val="0"/>
        <w:spacing w:after="0"/>
        <w:jc w:val="left"/>
        <w:rPr>
          <w:rFonts w:eastAsia="等线"/>
          <w:b/>
          <w:highlight w:val="magenta"/>
          <w:lang w:val="en-GB" w:eastAsia="zh-CN"/>
        </w:rPr>
      </w:pPr>
      <w:r>
        <w:rPr>
          <w:rFonts w:eastAsia="等线"/>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等线"/>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2pt;height:17.4pt;mso-width-percent:0;mso-height-percent:0;mso-width-percent:0;mso-height-percent:0" o:ole="">
                                  <v:imagedata r:id="rId24" o:title=""/>
                                </v:shape>
                                <o:OLEObject Type="Embed" ProgID="Equation.3" ShapeID="_x0000_i1029" DrawAspect="Content" ObjectID="_1707118210" r:id="rId25"/>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45pt;height:17.55pt;mso-width-percent:0;mso-height-percent:0;mso-width-percent:0;mso-height-percent:0" o:ole="">
                            <v:imagedata r:id="rId26" o:title=""/>
                          </v:shape>
                          <o:OLEObject Type="Embed" ProgID="Equation.3" ShapeID="_x0000_i1029" DrawAspect="Content" ObjectID="_1707122641" r:id="rId27"/>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af5"/>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afc"/>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afc"/>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afc"/>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afc"/>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afc"/>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afc"/>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afc"/>
        <w:spacing w:after="0" w:line="240" w:lineRule="auto"/>
        <w:jc w:val="left"/>
        <w:rPr>
          <w:rFonts w:ascii="Times New Roman" w:hAnsi="Times New Roman"/>
          <w:color w:val="00B0F0"/>
          <w:sz w:val="20"/>
          <w:szCs w:val="20"/>
        </w:rPr>
      </w:pPr>
    </w:p>
    <w:tbl>
      <w:tblPr>
        <w:tblStyle w:val="af5"/>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afc"/>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afc"/>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afc"/>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afc"/>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afc"/>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afc"/>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afc"/>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afc"/>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af5"/>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等线"/>
          <w:lang w:val="en-GB" w:eastAsia="zh-CN"/>
        </w:rPr>
      </w:pPr>
      <w:r w:rsidRPr="00310EB9">
        <w:rPr>
          <w:rFonts w:eastAsia="等线"/>
          <w:highlight w:val="magenta"/>
          <w:lang w:val="en-GB" w:eastAsia="zh-CN"/>
        </w:rPr>
        <w:t>FL proposal 1</w:t>
      </w:r>
      <w:r>
        <w:rPr>
          <w:rFonts w:eastAsia="等线"/>
          <w:highlight w:val="magenta"/>
          <w:lang w:val="en-GB" w:eastAsia="zh-CN"/>
        </w:rPr>
        <w:t>c</w:t>
      </w:r>
      <w:r w:rsidRPr="00310EB9">
        <w:rPr>
          <w:rFonts w:eastAsia="等线"/>
          <w:highlight w:val="magenta"/>
          <w:lang w:val="en-GB" w:eastAsia="zh-CN"/>
        </w:rPr>
        <w:t>:</w:t>
      </w:r>
      <w:r w:rsidRPr="00310EB9">
        <w:rPr>
          <w:rFonts w:eastAsia="等线"/>
          <w:lang w:val="en-GB" w:eastAsia="zh-CN"/>
        </w:rPr>
        <w:t xml:space="preserve"> </w:t>
      </w:r>
    </w:p>
    <w:p w14:paraId="67CAC425" w14:textId="7716603D" w:rsidR="00476649" w:rsidRPr="003C341D" w:rsidRDefault="00476649" w:rsidP="00476649">
      <w:pPr>
        <w:pStyle w:val="afc"/>
        <w:numPr>
          <w:ilvl w:val="0"/>
          <w:numId w:val="6"/>
        </w:numPr>
        <w:spacing w:after="0" w:line="240" w:lineRule="auto"/>
        <w:jc w:val="left"/>
        <w:rPr>
          <w:rFonts w:ascii="Times New Roman" w:hAnsi="Times New Roman"/>
          <w:iCs/>
          <w:sz w:val="20"/>
          <w:szCs w:val="20"/>
          <w:lang w:val="en-GB"/>
        </w:rPr>
      </w:pPr>
      <w:r w:rsidRPr="00310EB9">
        <w:rPr>
          <w:rFonts w:ascii="Times New Roman" w:eastAsia="等线"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等线" w:hAnsi="Times New Roman"/>
          <w:iCs/>
          <w:sz w:val="20"/>
          <w:szCs w:val="20"/>
        </w:rPr>
        <w:t>}”</w:t>
      </w:r>
    </w:p>
    <w:p w14:paraId="3076FCDF" w14:textId="77777777" w:rsidR="003C341D" w:rsidRPr="00310EB9" w:rsidRDefault="003C341D" w:rsidP="003C341D">
      <w:pPr>
        <w:pStyle w:val="afc"/>
        <w:spacing w:after="0" w:line="240" w:lineRule="auto"/>
        <w:jc w:val="left"/>
        <w:rPr>
          <w:rFonts w:ascii="Times New Roman" w:hAnsi="Times New Roman"/>
          <w:iCs/>
          <w:sz w:val="20"/>
          <w:szCs w:val="20"/>
          <w:lang w:val="en-GB"/>
        </w:rPr>
      </w:pPr>
    </w:p>
    <w:tbl>
      <w:tblPr>
        <w:tblStyle w:val="af5"/>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1E2C463D"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bookmarkStart w:id="24" w:name="_GoBack"/>
            <w:bookmarkEnd w:id="24"/>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等线"/>
          <w:lang w:val="en-GB" w:eastAsia="zh-CN"/>
        </w:rPr>
      </w:pPr>
      <w:r w:rsidRPr="00310EB9">
        <w:rPr>
          <w:rFonts w:eastAsia="等线"/>
          <w:highlight w:val="magenta"/>
          <w:lang w:val="en-GB" w:eastAsia="zh-CN"/>
        </w:rPr>
        <w:t>FL proposal 1d:</w:t>
      </w:r>
      <w:r w:rsidRPr="00310EB9">
        <w:rPr>
          <w:rFonts w:eastAsia="等线"/>
          <w:lang w:val="en-GB" w:eastAsia="zh-CN"/>
        </w:rPr>
        <w:t xml:space="preserve"> </w:t>
      </w:r>
    </w:p>
    <w:p w14:paraId="75C9F33D" w14:textId="77777777" w:rsidR="00447B9D" w:rsidRPr="00310EB9" w:rsidRDefault="00447B9D" w:rsidP="00447B9D">
      <w:pPr>
        <w:pStyle w:val="afc"/>
        <w:numPr>
          <w:ilvl w:val="0"/>
          <w:numId w:val="6"/>
        </w:numPr>
        <w:spacing w:after="0" w:line="240" w:lineRule="auto"/>
        <w:jc w:val="left"/>
        <w:rPr>
          <w:rFonts w:ascii="Times New Roman" w:eastAsia="等线" w:hAnsi="Times New Roman"/>
          <w:iCs/>
          <w:sz w:val="20"/>
          <w:szCs w:val="20"/>
        </w:rPr>
      </w:pPr>
      <w:r w:rsidRPr="00310EB9">
        <w:rPr>
          <w:rFonts w:ascii="Times New Roman" w:eastAsia="等线" w:hAnsi="Times New Roman"/>
          <w:iCs/>
          <w:sz w:val="20"/>
          <w:szCs w:val="20"/>
        </w:rPr>
        <w:t>Value range for PUCCH-Frequencyhopping-Interval is “{</w:t>
      </w:r>
      <w:r w:rsidRPr="00310EB9">
        <w:rPr>
          <w:rFonts w:ascii="Times New Roman" w:eastAsia="等线" w:hAnsi="Times New Roman"/>
          <w:iCs/>
          <w:strike/>
          <w:color w:val="FF0000"/>
          <w:sz w:val="20"/>
          <w:szCs w:val="20"/>
        </w:rPr>
        <w:t>1</w:t>
      </w:r>
      <w:r w:rsidRPr="00310EB9">
        <w:rPr>
          <w:rFonts w:ascii="Times New Roman" w:eastAsia="等线" w:hAnsi="Times New Roman"/>
          <w:iCs/>
          <w:sz w:val="20"/>
          <w:szCs w:val="20"/>
        </w:rPr>
        <w:t>, 2, 4, 5, [8],10}”</w:t>
      </w:r>
    </w:p>
    <w:p w14:paraId="1811F335" w14:textId="5FCFC277" w:rsidR="00447B9D" w:rsidRDefault="00447B9D" w:rsidP="00F36A6B">
      <w:pPr>
        <w:rPr>
          <w:lang w:val="en-GB"/>
        </w:rPr>
      </w:pPr>
    </w:p>
    <w:tbl>
      <w:tblPr>
        <w:tblStyle w:val="af5"/>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4CFA0514" w:rsidR="00D36029" w:rsidRPr="00D36029" w:rsidRDefault="00D36029" w:rsidP="00D36029">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af5"/>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sidRPr="00756413">
        <w:rPr>
          <w:rFonts w:ascii="Times New Roman" w:eastAsia="等线"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等线"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等线"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sidRPr="00756413">
        <w:rPr>
          <w:rFonts w:ascii="Times New Roman" w:eastAsia="等线" w:hAnsi="Times New Roman"/>
          <w:strike/>
          <w:color w:val="FF0000"/>
          <w:sz w:val="20"/>
          <w:szCs w:val="20"/>
          <w:lang w:eastAsia="zh-CN"/>
        </w:rPr>
        <w:t xml:space="preserve">Option 3: </w:t>
      </w:r>
      <w:r w:rsidR="000F3F70" w:rsidRPr="000F3F70">
        <w:rPr>
          <w:rFonts w:ascii="Times New Roman" w:eastAsia="等线"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等线" w:hAnsi="Times New Roman"/>
          <w:strike/>
          <w:color w:val="FF0000"/>
          <w:sz w:val="20"/>
          <w:szCs w:val="20"/>
          <w:lang w:eastAsia="zh-CN"/>
        </w:rPr>
        <w:t>half of default window length of the configured TDW</w:t>
      </w:r>
    </w:p>
    <w:p w14:paraId="797D20E1" w14:textId="74104142" w:rsidR="0017599A" w:rsidRDefault="0017599A" w:rsidP="009F7A26">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af5"/>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1"/>
        <w:jc w:val="left"/>
      </w:pPr>
      <w:r>
        <w:t>References</w:t>
      </w:r>
      <w:bookmarkEnd w:id="23"/>
    </w:p>
    <w:tbl>
      <w:tblPr>
        <w:tblStyle w:val="af5"/>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187874">
            <w:pPr>
              <w:spacing w:before="0" w:after="0"/>
              <w:jc w:val="left"/>
              <w:rPr>
                <w:iCs/>
                <w:lang w:eastAsia="zh-CN"/>
              </w:rPr>
            </w:pPr>
            <w:hyperlink r:id="rId28" w:tgtFrame="_parent" w:history="1">
              <w:r w:rsidR="00172DE2">
                <w:rPr>
                  <w:rStyle w:val="af9"/>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187874">
            <w:pPr>
              <w:spacing w:before="0" w:after="0"/>
              <w:jc w:val="left"/>
              <w:rPr>
                <w:iCs/>
                <w:lang w:eastAsia="zh-CN"/>
              </w:rPr>
            </w:pPr>
            <w:hyperlink r:id="rId29" w:tgtFrame="_parent" w:history="1">
              <w:r w:rsidR="00172DE2">
                <w:rPr>
                  <w:rStyle w:val="af9"/>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187874">
            <w:pPr>
              <w:spacing w:before="0" w:after="0"/>
              <w:jc w:val="left"/>
              <w:rPr>
                <w:iCs/>
                <w:lang w:eastAsia="zh-CN"/>
              </w:rPr>
            </w:pPr>
            <w:hyperlink r:id="rId30" w:tgtFrame="_parent" w:history="1">
              <w:r w:rsidR="00172DE2">
                <w:rPr>
                  <w:rStyle w:val="af9"/>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187874">
            <w:pPr>
              <w:spacing w:before="0" w:after="0"/>
              <w:jc w:val="left"/>
              <w:rPr>
                <w:iCs/>
                <w:lang w:eastAsia="zh-CN"/>
              </w:rPr>
            </w:pPr>
            <w:hyperlink r:id="rId31" w:tgtFrame="_parent" w:history="1">
              <w:r w:rsidR="00172DE2">
                <w:rPr>
                  <w:rStyle w:val="af9"/>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187874">
            <w:pPr>
              <w:spacing w:before="0" w:after="0"/>
              <w:jc w:val="left"/>
              <w:rPr>
                <w:iCs/>
                <w:lang w:eastAsia="zh-CN"/>
              </w:rPr>
            </w:pPr>
            <w:hyperlink r:id="rId32" w:tgtFrame="_parent" w:history="1">
              <w:r w:rsidR="00172DE2">
                <w:rPr>
                  <w:rStyle w:val="af9"/>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187874">
            <w:pPr>
              <w:spacing w:before="0" w:after="0"/>
              <w:jc w:val="left"/>
              <w:rPr>
                <w:iCs/>
                <w:lang w:eastAsia="zh-CN"/>
              </w:rPr>
            </w:pPr>
            <w:hyperlink r:id="rId33" w:tgtFrame="_parent" w:history="1">
              <w:r w:rsidR="00172DE2">
                <w:rPr>
                  <w:rStyle w:val="af9"/>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187874">
            <w:pPr>
              <w:spacing w:before="0" w:after="0"/>
              <w:jc w:val="left"/>
              <w:rPr>
                <w:iCs/>
                <w:lang w:eastAsia="zh-CN"/>
              </w:rPr>
            </w:pPr>
            <w:hyperlink r:id="rId34" w:tgtFrame="_parent" w:history="1">
              <w:r w:rsidR="00172DE2">
                <w:rPr>
                  <w:rStyle w:val="af9"/>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187874">
            <w:pPr>
              <w:spacing w:before="0" w:after="0"/>
              <w:jc w:val="left"/>
              <w:rPr>
                <w:iCs/>
                <w:lang w:eastAsia="zh-CN"/>
              </w:rPr>
            </w:pPr>
            <w:hyperlink r:id="rId35" w:tgtFrame="_parent" w:history="1">
              <w:r w:rsidR="00172DE2">
                <w:rPr>
                  <w:rStyle w:val="af9"/>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187874">
            <w:pPr>
              <w:spacing w:before="0" w:after="0"/>
              <w:jc w:val="left"/>
              <w:rPr>
                <w:iCs/>
                <w:lang w:eastAsia="zh-CN"/>
              </w:rPr>
            </w:pPr>
            <w:hyperlink r:id="rId36" w:tgtFrame="_parent" w:history="1">
              <w:r w:rsidR="00172DE2">
                <w:rPr>
                  <w:rStyle w:val="af9"/>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187874">
            <w:pPr>
              <w:spacing w:before="0" w:after="0"/>
              <w:jc w:val="left"/>
              <w:rPr>
                <w:iCs/>
                <w:lang w:eastAsia="zh-CN"/>
              </w:rPr>
            </w:pPr>
            <w:hyperlink r:id="rId37" w:tgtFrame="_parent" w:history="1">
              <w:r w:rsidR="00172DE2">
                <w:rPr>
                  <w:rStyle w:val="af9"/>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187874">
            <w:pPr>
              <w:spacing w:before="0" w:after="0"/>
              <w:jc w:val="left"/>
              <w:rPr>
                <w:iCs/>
                <w:lang w:eastAsia="zh-CN"/>
              </w:rPr>
            </w:pPr>
            <w:hyperlink r:id="rId38" w:tgtFrame="_parent" w:history="1">
              <w:r w:rsidR="00172DE2">
                <w:rPr>
                  <w:rStyle w:val="af9"/>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187874">
            <w:pPr>
              <w:spacing w:before="0" w:after="0"/>
              <w:jc w:val="left"/>
              <w:rPr>
                <w:iCs/>
                <w:lang w:eastAsia="zh-CN"/>
              </w:rPr>
            </w:pPr>
            <w:hyperlink r:id="rId39" w:tgtFrame="_parent" w:history="1">
              <w:r w:rsidR="00172DE2">
                <w:rPr>
                  <w:rStyle w:val="af9"/>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187874">
            <w:pPr>
              <w:spacing w:before="0" w:after="0"/>
              <w:jc w:val="left"/>
              <w:rPr>
                <w:iCs/>
                <w:lang w:eastAsia="zh-CN"/>
              </w:rPr>
            </w:pPr>
            <w:hyperlink r:id="rId40" w:tgtFrame="_parent" w:history="1">
              <w:r w:rsidR="00172DE2">
                <w:rPr>
                  <w:rStyle w:val="af9"/>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187874">
            <w:pPr>
              <w:spacing w:before="0" w:after="0"/>
              <w:jc w:val="left"/>
              <w:rPr>
                <w:iCs/>
                <w:lang w:eastAsia="zh-CN"/>
              </w:rPr>
            </w:pPr>
            <w:hyperlink r:id="rId41" w:tgtFrame="_parent" w:history="1">
              <w:r w:rsidR="00172DE2">
                <w:rPr>
                  <w:rStyle w:val="af9"/>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187874">
            <w:pPr>
              <w:spacing w:before="0" w:after="0"/>
              <w:jc w:val="left"/>
              <w:rPr>
                <w:iCs/>
                <w:lang w:eastAsia="zh-CN"/>
              </w:rPr>
            </w:pPr>
            <w:hyperlink r:id="rId42" w:tgtFrame="_parent" w:history="1">
              <w:r w:rsidR="00172DE2">
                <w:rPr>
                  <w:rStyle w:val="af9"/>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187874">
            <w:pPr>
              <w:spacing w:before="0" w:after="0"/>
              <w:jc w:val="left"/>
              <w:rPr>
                <w:iCs/>
                <w:lang w:eastAsia="zh-CN"/>
              </w:rPr>
            </w:pPr>
            <w:hyperlink r:id="rId43" w:tgtFrame="_parent" w:history="1">
              <w:r w:rsidR="00172DE2">
                <w:rPr>
                  <w:rStyle w:val="af9"/>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187874">
            <w:pPr>
              <w:spacing w:before="0" w:after="0"/>
              <w:jc w:val="left"/>
              <w:rPr>
                <w:iCs/>
                <w:lang w:eastAsia="zh-CN"/>
              </w:rPr>
            </w:pPr>
            <w:hyperlink r:id="rId44" w:tgtFrame="_parent" w:history="1">
              <w:r w:rsidR="00172DE2">
                <w:rPr>
                  <w:rStyle w:val="af9"/>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187874">
            <w:pPr>
              <w:spacing w:before="0" w:after="0"/>
              <w:jc w:val="left"/>
              <w:rPr>
                <w:iCs/>
                <w:lang w:eastAsia="zh-CN"/>
              </w:rPr>
            </w:pPr>
            <w:hyperlink r:id="rId45" w:tgtFrame="_parent" w:history="1">
              <w:r w:rsidR="00172DE2">
                <w:rPr>
                  <w:rStyle w:val="af9"/>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187874">
            <w:pPr>
              <w:spacing w:before="0" w:after="0"/>
              <w:jc w:val="left"/>
              <w:rPr>
                <w:iCs/>
                <w:lang w:eastAsia="zh-CN"/>
              </w:rPr>
            </w:pPr>
            <w:hyperlink r:id="rId46" w:tgtFrame="_parent" w:history="1">
              <w:r w:rsidR="00172DE2">
                <w:rPr>
                  <w:rStyle w:val="af9"/>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187874">
            <w:pPr>
              <w:spacing w:before="0" w:after="0"/>
              <w:jc w:val="left"/>
              <w:rPr>
                <w:iCs/>
                <w:lang w:eastAsia="zh-CN"/>
              </w:rPr>
            </w:pPr>
            <w:hyperlink r:id="rId47" w:tgtFrame="_parent" w:history="1">
              <w:r w:rsidR="00172DE2">
                <w:rPr>
                  <w:rStyle w:val="af9"/>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187874">
            <w:pPr>
              <w:spacing w:before="0" w:after="0"/>
              <w:jc w:val="left"/>
              <w:rPr>
                <w:iCs/>
                <w:lang w:eastAsia="zh-CN"/>
              </w:rPr>
            </w:pPr>
            <w:hyperlink r:id="rId48" w:tgtFrame="_parent" w:history="1">
              <w:r w:rsidR="00172DE2">
                <w:rPr>
                  <w:rStyle w:val="af9"/>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187874">
            <w:pPr>
              <w:spacing w:before="0" w:after="0"/>
              <w:jc w:val="left"/>
              <w:rPr>
                <w:iCs/>
                <w:lang w:eastAsia="zh-CN"/>
              </w:rPr>
            </w:pPr>
            <w:hyperlink r:id="rId49" w:tgtFrame="_parent" w:history="1">
              <w:r w:rsidR="00172DE2">
                <w:rPr>
                  <w:rStyle w:val="af9"/>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5166" w14:textId="77777777" w:rsidR="00187874" w:rsidRDefault="00187874">
      <w:pPr>
        <w:spacing w:after="0" w:line="240" w:lineRule="auto"/>
      </w:pPr>
      <w:r>
        <w:separator/>
      </w:r>
    </w:p>
  </w:endnote>
  <w:endnote w:type="continuationSeparator" w:id="0">
    <w:p w14:paraId="5A3F0FD8" w14:textId="77777777" w:rsidR="00187874" w:rsidRDefault="0018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B34B" w14:textId="77777777" w:rsidR="001D52B0" w:rsidRDefault="001D52B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00E1099" w14:textId="77777777" w:rsidR="001D52B0" w:rsidRDefault="001D52B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F5D4" w14:textId="1C5346B3" w:rsidR="001D52B0" w:rsidRDefault="001D52B0">
    <w:pPr>
      <w:pStyle w:val="ad"/>
      <w:ind w:right="360"/>
    </w:pPr>
    <w:r>
      <w:rPr>
        <w:rStyle w:val="af7"/>
      </w:rPr>
      <w:fldChar w:fldCharType="begin"/>
    </w:r>
    <w:r>
      <w:rPr>
        <w:rStyle w:val="af7"/>
      </w:rPr>
      <w:instrText xml:space="preserve"> PAGE </w:instrText>
    </w:r>
    <w:r>
      <w:rPr>
        <w:rStyle w:val="af7"/>
      </w:rPr>
      <w:fldChar w:fldCharType="separate"/>
    </w:r>
    <w:r w:rsidR="00823160">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23160">
      <w:rPr>
        <w:rStyle w:val="af7"/>
        <w:noProof/>
      </w:rPr>
      <w:t>23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5D0C" w14:textId="77777777" w:rsidR="00187874" w:rsidRDefault="00187874">
      <w:pPr>
        <w:spacing w:after="0" w:line="240" w:lineRule="auto"/>
      </w:pPr>
      <w:r>
        <w:separator/>
      </w:r>
    </w:p>
  </w:footnote>
  <w:footnote w:type="continuationSeparator" w:id="0">
    <w:p w14:paraId="3EDC9241" w14:textId="77777777" w:rsidR="00187874" w:rsidRDefault="0018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BE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71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015.zip" TargetMode="Externa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F7FEB5B1-8F56-4675-BCAB-F49D63EB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10769</Words>
  <Characters>61384</Characters>
  <Application>Microsoft Office Word</Application>
  <DocSecurity>0</DocSecurity>
  <Lines>511</Lines>
  <Paragraphs>144</Paragraphs>
  <ScaleCrop>false</ScaleCrop>
  <HeadingPairs>
    <vt:vector size="6" baseType="variant">
      <vt:variant>
        <vt:lpstr>Title</vt:lpstr>
      </vt:variant>
      <vt:variant>
        <vt:i4>1</vt:i4>
      </vt:variant>
      <vt:variant>
        <vt:lpstr>标题</vt:lpstr>
      </vt:variant>
      <vt:variant>
        <vt:i4>16</vt:i4>
      </vt:variant>
      <vt:variant>
        <vt:lpstr>제목</vt:lpstr>
      </vt:variant>
      <vt:variant>
        <vt:i4>1</vt:i4>
      </vt:variant>
    </vt:vector>
  </HeadingPairs>
  <TitlesOfParts>
    <vt:vector size="18" baseType="lpstr">
      <vt:lpstr>3GPP TSG-RAN WG1 #84</vt:lpstr>
      <vt:lpstr>Introduction</vt:lpstr>
      <vt:lpstr>RRC parameters for PUCCH repetitions </vt:lpstr>
      <vt:lpstr>Dynamic PUCCH repetition factor indication</vt:lpstr>
      <vt:lpstr>    Dynamic PUCCH repetition factor indication for HARQ-ACK of first SPS PDSCH assoc</vt:lpstr>
      <vt:lpstr>    Other proposals</vt:lpstr>
      <vt:lpstr>DMRS bundling across PUCCH repetitions</vt:lpstr>
      <vt:lpstr>    PUCCH TDW design details</vt:lpstr>
      <vt:lpstr>        6.1.7	UE procedure for determining time domain windows for bundling DM-RS</vt:lpstr>
      <vt:lpstr>    Inter slot freq hopping enhancement with DMRS bundling</vt:lpstr>
      <vt:lpstr>        FFS: different FH pattern determination for PUCCH and PUSCH</vt:lpstr>
      <vt:lpstr>        FFS: details of FH pattern design</vt:lpstr>
      <vt:lpstr>        FFS: if both hopping interval and TDW length are not configured</vt:lpstr>
      <vt:lpstr>    Other proposals</vt:lpstr>
      <vt:lpstr>Power control and TA with PUCCH repetitions </vt:lpstr>
      <vt:lpstr>Proposals for 2/22 GTW</vt:lpstr>
      <vt:lpstr>References</vt:lpstr>
      <vt:lpstr>3GPP TSG-RAN WG1 #84</vt:lpstr>
    </vt:vector>
  </TitlesOfParts>
  <Company>Qualcomm Inc.</Company>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2022-02-23T02:44:00Z</dcterms:created>
  <dcterms:modified xsi:type="dcterms:W3CDTF">2022-02-23T02:44:00Z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