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pPr>
        <w:tabs>
          <w:tab w:val="center" w:pos="4536"/>
          <w:tab w:val="right" w:pos="9072"/>
        </w:tabs>
        <w:jc w:val="left"/>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71731770"/>
      <w:bookmarkStart w:id="8" w:name="_Ref462669569"/>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游明朝"/>
          <w:iCs/>
        </w:rPr>
        <w:t>DCM Proposal 2:</w:t>
      </w:r>
      <w:r>
        <w:rPr>
          <w:iCs/>
          <w:color w:val="000000" w:themeColor="text1"/>
          <w:kern w:val="24"/>
          <w14:textFill>
            <w14:solidFill>
              <w14:schemeClr w14:val="tx1"/>
            </w14:solidFill>
          </w14:textFill>
        </w:rPr>
        <w:t xml:space="preserve"> </w:t>
      </w:r>
      <w:r>
        <w:rPr>
          <w:rFonts w:eastAsia="游明朝"/>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bCs/>
              </w:rPr>
            </w:pPr>
            <w:r>
              <w:rPr>
                <w:bCs/>
                <w:lang w:eastAsia="zh-CN"/>
              </w:rPr>
              <w:t>v</w:t>
            </w:r>
            <w:r>
              <w:rPr>
                <w:rFonts w:hint="eastAsia"/>
                <w:bCs/>
                <w:lang w:eastAsia="zh-CN"/>
              </w:rPr>
              <w:t>ivo</w:t>
            </w:r>
          </w:p>
        </w:tc>
        <w:tc>
          <w:tcPr>
            <w:tcW w:w="7627" w:type="dxa"/>
            <w:shd w:val="clear" w:color="auto" w:fill="auto"/>
          </w:tcPr>
          <w:p>
            <w:pPr>
              <w:spacing w:before="0" w:after="0"/>
              <w:jc w:val="left"/>
              <w:rPr>
                <w:lang w:eastAsia="zh-CN"/>
              </w:rPr>
            </w:pPr>
            <w:r>
              <w:rPr>
                <w:rFonts w:hint="eastAsia"/>
                <w:lang w:eastAsia="zh-CN"/>
              </w:rPr>
              <w:t>G</w:t>
            </w:r>
            <w:r>
              <w:rPr>
                <w:lang w:eastAsia="zh-CN"/>
              </w:rPr>
              <w:t>enerally fine.</w:t>
            </w:r>
          </w:p>
          <w:p>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pPr>
              <w:spacing w:before="0" w:after="0"/>
              <w:jc w:val="left"/>
              <w:rPr>
                <w:lang w:eastAsia="zh-CN"/>
              </w:rPr>
            </w:pPr>
          </w:p>
          <w:p>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pPr>
              <w:spacing w:before="0" w:after="0"/>
              <w:jc w:val="left"/>
              <w:rPr>
                <w:lang w:eastAsia="zh-CN"/>
              </w:rPr>
            </w:pPr>
          </w:p>
          <w:p>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pPr>
              <w:spacing w:before="0" w:after="0"/>
              <w:jc w:val="left"/>
              <w:rPr>
                <w:lang w:eastAsia="zh-CN"/>
              </w:rPr>
            </w:pPr>
          </w:p>
          <w:p>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pPr>
              <w:spacing w:before="0" w:after="0"/>
              <w:jc w:val="left"/>
              <w:rPr>
                <w:lang w:eastAsia="zh-CN"/>
              </w:rPr>
            </w:pPr>
            <w:r>
              <w:rPr>
                <w:rFonts w:hint="eastAsia"/>
                <w:lang w:eastAsia="zh-CN"/>
              </w:rPr>
              <w:t>F</w:t>
            </w:r>
            <w:r>
              <w:rPr>
                <w:lang w:eastAsia="zh-CN"/>
              </w:rPr>
              <w:t>or unpaired spectrum, at least {5,10} should be supported.</w:t>
            </w:r>
          </w:p>
          <w:p>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pPr>
              <w:spacing w:before="0" w:after="0"/>
              <w:jc w:val="left"/>
              <w:rPr>
                <w:lang w:eastAsia="zh-CN"/>
              </w:rPr>
            </w:pPr>
            <w:r>
              <w:rPr>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Intel</w:t>
            </w:r>
          </w:p>
        </w:tc>
        <w:tc>
          <w:tcPr>
            <w:tcW w:w="7627" w:type="dxa"/>
            <w:shd w:val="clear" w:color="auto" w:fill="auto"/>
          </w:tcPr>
          <w:p>
            <w:pPr>
              <w:spacing w:before="0" w:after="0"/>
              <w:jc w:val="left"/>
              <w:rPr>
                <w:lang w:eastAsia="zh-CN"/>
              </w:rPr>
            </w:pPr>
            <w:r>
              <w:rPr>
                <w:lang w:eastAsia="zh-CN"/>
              </w:rPr>
              <w:t>It is not clear to us why {1} is included as hopping interval for both PUSCH and PUCCH.</w:t>
            </w:r>
          </w:p>
          <w:p>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lang w:eastAsia="zh-CN"/>
              </w:rPr>
            </w:pPr>
          </w:p>
          <w:p>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r>
              <w:rPr>
                <w:bCs/>
              </w:rPr>
              <w:t>Samsung</w:t>
            </w:r>
          </w:p>
        </w:tc>
        <w:tc>
          <w:tcPr>
            <w:tcW w:w="7627" w:type="dxa"/>
            <w:shd w:val="clear" w:color="auto" w:fill="auto"/>
          </w:tcPr>
          <w:p>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pPr>
              <w:spacing w:before="0" w:after="0"/>
              <w:jc w:val="left"/>
              <w:rPr>
                <w:lang w:eastAsia="zh-CN"/>
              </w:rPr>
            </w:pPr>
            <w:r>
              <w:rPr>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Nokia/NSB</w:t>
            </w:r>
          </w:p>
        </w:tc>
        <w:tc>
          <w:tcPr>
            <w:tcW w:w="7627" w:type="dxa"/>
            <w:shd w:val="clear" w:color="auto" w:fill="auto"/>
          </w:tcPr>
          <w:p>
            <w:pPr>
              <w:spacing w:before="120"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QC</w:t>
            </w:r>
          </w:p>
        </w:tc>
        <w:tc>
          <w:tcPr>
            <w:tcW w:w="7627" w:type="dxa"/>
            <w:shd w:val="clear" w:color="auto" w:fill="auto"/>
          </w:tcPr>
          <w:p>
            <w:pPr>
              <w:spacing w:before="120"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lang w:eastAsia="zh-CN"/>
              </w:rPr>
            </w:pPr>
            <w:r>
              <w:rPr>
                <w:lang w:eastAsia="zh-CN"/>
              </w:rPr>
              <w:t>Okay if the interval does not divide the number of slots in a frame --- the last hop is a bit shorter.</w:t>
            </w:r>
          </w:p>
          <w:p>
            <w:pPr>
              <w:spacing w:before="12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bCs/>
              </w:rPr>
              <w:t>Ericsson</w:t>
            </w:r>
          </w:p>
        </w:tc>
        <w:tc>
          <w:tcPr>
            <w:tcW w:w="7627" w:type="dxa"/>
            <w:shd w:val="clear" w:color="auto" w:fill="auto"/>
          </w:tcPr>
          <w:p>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lang w:eastAsia="zh-CN"/>
              </w:rPr>
            </w:pPr>
          </w:p>
          <w:p>
            <w:pPr>
              <w:spacing w:before="120" w:after="0"/>
              <w:jc w:val="left"/>
              <w:rPr>
                <w:lang w:eastAsia="zh-CN"/>
              </w:rPr>
            </w:pPr>
            <w:r>
              <w:rPr>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bCs/>
              </w:rPr>
            </w:pPr>
            <w:r>
              <w:rPr>
                <w:rFonts w:hint="eastAsia"/>
                <w:bCs/>
                <w:lang w:eastAsia="zh-CN"/>
              </w:rPr>
              <w:t>China Telecom</w:t>
            </w:r>
          </w:p>
        </w:tc>
        <w:tc>
          <w:tcPr>
            <w:tcW w:w="7627" w:type="dxa"/>
            <w:shd w:val="clear" w:color="auto" w:fill="auto"/>
          </w:tcPr>
          <w:p>
            <w:pPr>
              <w:spacing w:before="120"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hint="eastAsia"/>
                <w:bCs/>
                <w:lang w:eastAsia="zh-CN"/>
              </w:rPr>
            </w:pPr>
            <w:r>
              <w:rPr>
                <w:rFonts w:eastAsia="MS Mincho"/>
                <w:bCs/>
                <w:lang w:eastAsia="zh-CN"/>
              </w:rPr>
              <w:t>Panasonic</w:t>
            </w:r>
          </w:p>
        </w:tc>
        <w:tc>
          <w:tcPr>
            <w:tcW w:w="7627" w:type="dxa"/>
            <w:shd w:val="clear" w:color="auto" w:fill="auto"/>
          </w:tcPr>
          <w:p>
            <w:pPr>
              <w:spacing w:before="120"/>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pPr>
              <w:spacing w:before="120"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hint="default" w:eastAsia="MS Mincho"/>
                <w:bCs/>
                <w:lang w:val="en-US" w:eastAsia="zh-CN"/>
              </w:rPr>
            </w:pPr>
            <w:r>
              <w:rPr>
                <w:rFonts w:hint="default" w:eastAsia="MS Mincho"/>
                <w:bCs/>
                <w:lang w:val="en-US" w:eastAsia="zh-CN"/>
              </w:rPr>
              <w:t>CMCC</w:t>
            </w:r>
          </w:p>
        </w:tc>
        <w:tc>
          <w:tcPr>
            <w:tcW w:w="7627" w:type="dxa"/>
            <w:shd w:val="clear" w:color="auto" w:fill="auto"/>
          </w:tcPr>
          <w:p>
            <w:pPr>
              <w:spacing w:before="120" w:after="0"/>
              <w:jc w:val="left"/>
              <w:rPr>
                <w:rFonts w:eastAsia="等线"/>
                <w:lang w:eastAsia="zh-CN"/>
              </w:rPr>
            </w:pPr>
            <w:r>
              <w:rPr>
                <w:rFonts w:eastAsia="等线"/>
                <w:lang w:eastAsia="zh-CN"/>
              </w:rPr>
              <w:t xml:space="preserve">For PUCCH repetition, if the value of FH-interval </w:t>
            </w:r>
            <w:r>
              <w:rPr>
                <w:rFonts w:hint="eastAsia" w:eastAsia="等线"/>
                <w:lang w:eastAsia="zh-CN"/>
              </w:rPr>
              <w:t>is</w:t>
            </w:r>
            <w:r>
              <w:rPr>
                <w:rFonts w:eastAsia="等线"/>
                <w:lang w:eastAsia="zh-CN"/>
              </w:rPr>
              <w:t xml:space="preserve"> configured as {1}, then the UE would do FH every slot though the PUCCH repetitions, which means DMRS bundling is disable</w:t>
            </w:r>
            <w:r>
              <w:rPr>
                <w:rFonts w:hint="eastAsia" w:eastAsia="等线"/>
                <w:lang w:eastAsia="zh-CN"/>
              </w:rPr>
              <w:t>d</w:t>
            </w:r>
            <w:r>
              <w:rPr>
                <w:rFonts w:eastAsia="等线"/>
                <w:lang w:eastAsia="zh-CN"/>
              </w:rPr>
              <w:t>. The same scenario also happens when the value of FH-interval is {8}, which means UE would transmit PUCCH repetition without FH, in other word, the FH is disabled.</w:t>
            </w:r>
          </w:p>
          <w:p>
            <w:pPr>
              <w:spacing w:before="120"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pPr>
              <w:spacing w:before="120" w:after="0"/>
              <w:jc w:val="left"/>
              <w:rPr>
                <w:lang w:eastAsia="zh-CN"/>
              </w:rPr>
            </w:pPr>
            <w:r>
              <w:rPr>
                <w:rFonts w:hint="eastAsia" w:eastAsia="等线"/>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vAlign w:val="top"/>
          </w:tcPr>
          <w:p>
            <w:pPr>
              <w:spacing w:before="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7627" w:type="dxa"/>
            <w:shd w:val="clear" w:color="auto" w:fill="auto"/>
            <w:vAlign w:val="top"/>
          </w:tcPr>
          <w:p>
            <w:pPr>
              <w:spacing w:before="0" w:after="0"/>
              <w:jc w:val="left"/>
              <w:rPr>
                <w:rFonts w:hint="eastAsia"/>
                <w:lang w:val="en-US" w:eastAsia="zh-CN"/>
              </w:rPr>
            </w:pPr>
            <w:r>
              <w:rPr>
                <w:rFonts w:hint="eastAsia"/>
                <w:lang w:val="en-US"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pPr>
              <w:spacing w:before="0" w:after="0"/>
              <w:jc w:val="left"/>
              <w:rPr>
                <w:rFonts w:hint="eastAsia" w:ascii="Times New Roman" w:hAnsi="Times New Roman" w:eastAsia="宋体" w:cs="Times New Roman"/>
                <w:lang w:val="en-US" w:eastAsia="zh-CN" w:bidi="ar-SA"/>
              </w:rPr>
            </w:pPr>
          </w:p>
        </w:tc>
      </w:tr>
    </w:tbl>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lang w:eastAsia="zh-CN"/>
              </w:rPr>
            </w:pPr>
            <w:r>
              <w:rPr>
                <w:rFonts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eastAsia="MS Mincho"/>
                <w:lang w:eastAsia="zh-CN"/>
              </w:rPr>
            </w:pPr>
            <w:r>
              <w:rPr>
                <w:lang w:eastAsia="zh-CN"/>
              </w:rPr>
              <w:t>Fine with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12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120" w:after="0"/>
              <w:jc w:val="left"/>
              <w:rPr>
                <w:rFonts w:ascii="Times New Roman" w:hAnsi="Times New Roman" w:eastAsia="宋体" w:cs="Times New Roman"/>
                <w:lang w:val="en-US" w:eastAsia="zh-CN" w:bidi="ar-SA"/>
              </w:rPr>
            </w:pPr>
            <w:r>
              <w:rPr>
                <w:lang w:eastAsia="zh-CN"/>
              </w:rPr>
              <w:t>S</w:t>
            </w:r>
            <w:r>
              <w:rPr>
                <w:rFonts w:hint="eastAsia"/>
                <w:lang w:eastAsia="zh-CN"/>
              </w:rPr>
              <w:t>upport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lang w:eastAsia="zh-CN"/>
              </w:rPr>
            </w:pPr>
            <w:r>
              <w:rPr>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eastAsia="MS Mincho"/>
                <w:lang w:eastAsia="zh-CN"/>
              </w:rPr>
            </w:pPr>
            <w:r>
              <w:rPr>
                <w:bCs/>
                <w:lang w:eastAsia="zh-CN"/>
              </w:rPr>
              <w:t>Support. And share similar views with Huawei and Ericsson the description could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12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120" w:after="0"/>
              <w:jc w:val="left"/>
              <w:rPr>
                <w:rFonts w:ascii="Times New Roman" w:hAnsi="Times New Roman" w:eastAsia="宋体" w:cs="Times New Roman"/>
                <w:lang w:val="en-US" w:eastAsia="zh-CN" w:bidi="ar-SA"/>
              </w:rPr>
            </w:pPr>
            <w:r>
              <w:rPr>
                <w:lang w:eastAsia="zh-CN"/>
              </w:rPr>
              <w:t>S</w:t>
            </w:r>
            <w:r>
              <w:rPr>
                <w:rFonts w:hint="eastAsia"/>
                <w:lang w:eastAsia="zh-CN"/>
              </w:rPr>
              <w:t>upport</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游明朝"/>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zh-CN"/>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zh-CN"/>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p>
        </w:tc>
        <w:tc>
          <w:tcPr>
            <w:tcW w:w="3690" w:type="dxa"/>
          </w:tcPr>
          <w:p>
            <w:pPr>
              <w:spacing w:before="0" w:after="0"/>
              <w:jc w:val="left"/>
              <w:rPr>
                <w:lang w:val="en-GB"/>
              </w:rPr>
            </w:pPr>
            <w:r>
              <w:rPr>
                <w:lang w:val="en-GB"/>
              </w:rPr>
              <w:t xml:space="preserve">Frequency hopping based on Physical slot index </w:t>
            </w:r>
          </w:p>
        </w:tc>
        <w:tc>
          <w:tcPr>
            <w:tcW w:w="2700" w:type="dxa"/>
          </w:tcPr>
          <w:p>
            <w:pPr>
              <w:spacing w:before="0" w:after="0"/>
              <w:jc w:val="left"/>
              <w:rPr>
                <w:lang w:val="en-GB"/>
              </w:rPr>
            </w:pPr>
            <w:r>
              <w:rPr>
                <w:lang w:val="en-GB"/>
              </w:rPr>
              <w:t>Frequency hopping based on relative slot index – option A</w:t>
            </w:r>
          </w:p>
        </w:tc>
        <w:tc>
          <w:tcPr>
            <w:tcW w:w="2767" w:type="dxa"/>
          </w:tcPr>
          <w:p>
            <w:pPr>
              <w:spacing w:before="0" w:after="0"/>
              <w:jc w:val="left"/>
              <w:rPr>
                <w:lang w:val="en-GB"/>
              </w:rPr>
            </w:pPr>
            <w:r>
              <w:rPr>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TDD</w:t>
            </w:r>
          </w:p>
        </w:tc>
        <w:tc>
          <w:tcPr>
            <w:tcW w:w="3690" w:type="dxa"/>
          </w:tcPr>
          <w:p>
            <w:pPr>
              <w:spacing w:before="0" w:after="0"/>
              <w:jc w:val="left"/>
              <w:rPr>
                <w:lang w:val="en-GB"/>
              </w:rPr>
            </w:pPr>
            <w:r>
              <w:rPr>
                <w:lang w:val="en-GB"/>
              </w:rPr>
              <w:t>Pros: More spectrum efficient MU pairing (requires same freq hopping interval)</w:t>
            </w:r>
          </w:p>
          <w:p>
            <w:pPr>
              <w:spacing w:before="0" w:after="0"/>
              <w:jc w:val="left"/>
              <w:rPr>
                <w:lang w:val="en-GB"/>
              </w:rPr>
            </w:pPr>
            <w:r>
              <w:rPr>
                <w:lang w:val="en-GB"/>
              </w:rPr>
              <w:t>Cons: unbalanced hopping intervals</w:t>
            </w:r>
          </w:p>
        </w:tc>
        <w:tc>
          <w:tcPr>
            <w:tcW w:w="2700" w:type="dxa"/>
          </w:tcPr>
          <w:p>
            <w:pPr>
              <w:spacing w:before="0" w:after="0"/>
              <w:jc w:val="left"/>
              <w:rPr>
                <w:lang w:val="en-GB"/>
              </w:rPr>
            </w:pPr>
            <w:r>
              <w:rPr>
                <w:lang w:val="en-GB"/>
              </w:rPr>
              <w:t>Pros: not identified so far</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lang w:val="en-GB"/>
              </w:rPr>
            </w:pPr>
            <w:r>
              <w:rPr>
                <w:lang w:val="en-GB"/>
              </w:rPr>
              <w:t>FDD</w:t>
            </w:r>
          </w:p>
        </w:tc>
        <w:tc>
          <w:tcPr>
            <w:tcW w:w="3690" w:type="dxa"/>
          </w:tcPr>
          <w:p>
            <w:pPr>
              <w:spacing w:before="0" w:after="0"/>
              <w:jc w:val="left"/>
              <w:rPr>
                <w:lang w:val="en-GB"/>
              </w:rPr>
            </w:pPr>
            <w:r>
              <w:rPr>
                <w:lang w:val="en-GB"/>
              </w:rPr>
              <w:t>Pros: More spectrum efficient users pairing (requires same freq hopping interval)</w:t>
            </w:r>
          </w:p>
          <w:p>
            <w:pPr>
              <w:spacing w:before="0" w:after="0"/>
              <w:jc w:val="left"/>
              <w:rPr>
                <w:lang w:val="en-GB"/>
              </w:rPr>
            </w:pPr>
            <w:r>
              <w:rPr>
                <w:lang w:val="en-GB"/>
              </w:rPr>
              <w:t>Pros: balanced hopping interval with aligned TDW</w:t>
            </w:r>
          </w:p>
          <w:p>
            <w:pPr>
              <w:spacing w:before="0" w:after="0"/>
              <w:jc w:val="left"/>
              <w:rPr>
                <w:lang w:val="en-GB"/>
              </w:rPr>
            </w:pPr>
            <w:r>
              <w:rPr>
                <w:lang w:val="en-GB"/>
              </w:rPr>
              <w:t>Cons: unbalanced hopping interval with misaligned TDW</w:t>
            </w:r>
          </w:p>
        </w:tc>
        <w:tc>
          <w:tcPr>
            <w:tcW w:w="2700" w:type="dxa"/>
          </w:tcPr>
          <w:p>
            <w:pPr>
              <w:spacing w:before="0" w:after="0"/>
              <w:jc w:val="left"/>
              <w:rPr>
                <w:lang w:val="en-GB"/>
              </w:rPr>
            </w:pPr>
            <w:r>
              <w:rPr>
                <w:lang w:val="en-GB"/>
              </w:rPr>
              <w:t>Pros: balanced hopping interval</w:t>
            </w:r>
          </w:p>
          <w:p>
            <w:pPr>
              <w:spacing w:before="0" w:after="0"/>
              <w:jc w:val="left"/>
              <w:rPr>
                <w:lang w:val="en-GB"/>
              </w:rPr>
            </w:pPr>
            <w:r>
              <w:rPr>
                <w:lang w:val="en-GB"/>
              </w:rPr>
              <w:t>Cons: unfriendly to MU pairing</w:t>
            </w:r>
          </w:p>
        </w:tc>
        <w:tc>
          <w:tcPr>
            <w:tcW w:w="2767" w:type="dxa"/>
          </w:tcPr>
          <w:p>
            <w:pPr>
              <w:spacing w:before="0" w:after="0"/>
              <w:jc w:val="left"/>
              <w:rPr>
                <w:lang w:val="en-GB"/>
              </w:rPr>
            </w:pPr>
            <w:r>
              <w:rPr>
                <w:lang w:val="en-GB"/>
              </w:rPr>
              <w:t>Pros: balanced hopping intervals</w:t>
            </w:r>
          </w:p>
          <w:p>
            <w:pPr>
              <w:spacing w:before="0" w:after="0"/>
              <w:jc w:val="left"/>
              <w:rPr>
                <w:lang w:val="en-GB"/>
              </w:rPr>
            </w:pPr>
            <w:r>
              <w:rPr>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rPr>
              <w:t>Intel</w:t>
            </w:r>
          </w:p>
        </w:tc>
        <w:tc>
          <w:tcPr>
            <w:tcW w:w="8202" w:type="dxa"/>
            <w:shd w:val="clear" w:color="auto" w:fill="auto"/>
          </w:tcPr>
          <w:p>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eastAsia="Malgun Gothic"/>
                <w:bCs/>
                <w:lang w:eastAsia="ko-KR"/>
              </w:rPr>
              <w:t>Nokia/NSB</w:t>
            </w:r>
          </w:p>
        </w:tc>
        <w:tc>
          <w:tcPr>
            <w:tcW w:w="8202" w:type="dxa"/>
          </w:tcPr>
          <w:p>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eastAsia="Malgun Gothic"/>
                <w:bCs/>
                <w:lang w:eastAsia="ko-KR"/>
              </w:rPr>
              <w:t>QC</w:t>
            </w:r>
          </w:p>
        </w:tc>
        <w:tc>
          <w:tcPr>
            <w:tcW w:w="8202" w:type="dxa"/>
          </w:tcPr>
          <w:p>
            <w:pPr>
              <w:spacing w:before="120"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bCs/>
                <w:lang w:eastAsia="zh-CN"/>
              </w:rPr>
            </w:pPr>
            <w:r>
              <w:rPr>
                <w:bCs/>
                <w:lang w:eastAsia="zh-CN"/>
              </w:rPr>
              <w:t>Option B does not seem compatible with how we think of frequency hopping interval --- a set of consecutive slots.</w:t>
            </w:r>
          </w:p>
          <w:p>
            <w:pPr>
              <w:spacing w:before="120" w:after="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lang w:eastAsia="zh-CN"/>
              </w:rPr>
              <w:t>Ericsson</w:t>
            </w:r>
          </w:p>
        </w:tc>
        <w:tc>
          <w:tcPr>
            <w:tcW w:w="8202" w:type="dxa"/>
          </w:tcPr>
          <w:p>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pPr>
              <w:spacing w:before="0" w:after="0"/>
              <w:jc w:val="left"/>
              <w:rPr>
                <w:lang w:eastAsia="zh-CN"/>
              </w:rPr>
            </w:pPr>
          </w:p>
          <w:p>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lang w:eastAsia="zh-CN"/>
              </w:rPr>
            </w:pPr>
          </w:p>
          <w:p>
            <w:pPr>
              <w:spacing w:before="0" w:after="0"/>
              <w:jc w:val="center"/>
              <w:rPr>
                <w:lang w:eastAsia="zh-CN"/>
              </w:rPr>
            </w:pPr>
            <w:r>
              <w:rPr>
                <w:lang w:eastAsia="zh-CN"/>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lang w:eastAsia="zh-CN"/>
              </w:rPr>
            </w:pPr>
          </w:p>
          <w:p>
            <w:pPr>
              <w:spacing w:before="0" w:after="0"/>
              <w:jc w:val="left"/>
              <w:rPr>
                <w:lang w:eastAsia="zh-CN"/>
              </w:rPr>
            </w:pPr>
            <w:r>
              <w:rPr>
                <w:lang w:eastAsia="zh-CN"/>
              </w:rPr>
              <w:t>We agree with the MU pairing benefit of physical slot indices.</w:t>
            </w:r>
          </w:p>
          <w:p>
            <w:pPr>
              <w:spacing w:before="0" w:after="0"/>
              <w:jc w:val="left"/>
              <w:rPr>
                <w:lang w:eastAsia="zh-CN"/>
              </w:rPr>
            </w:pPr>
          </w:p>
          <w:p>
            <w:pPr>
              <w:spacing w:before="120" w:after="0"/>
              <w:jc w:val="left"/>
              <w:rPr>
                <w:bCs/>
                <w:lang w:eastAsia="zh-CN"/>
              </w:rPr>
            </w:pPr>
            <w:r>
              <w:rPr>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lang w:eastAsia="zh-CN"/>
              </w:rPr>
            </w:pPr>
            <w:r>
              <w:rPr>
                <w:rFonts w:hint="eastAsia"/>
                <w:bCs/>
                <w:lang w:eastAsia="zh-CN"/>
              </w:rPr>
              <w:t>China Telecom</w:t>
            </w:r>
          </w:p>
        </w:tc>
        <w:tc>
          <w:tcPr>
            <w:tcW w:w="8202" w:type="dxa"/>
          </w:tcPr>
          <w:p>
            <w:pPr>
              <w:spacing w:before="120"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bCs/>
                <w:lang w:val="en-US" w:eastAsia="zh-CN"/>
              </w:rPr>
            </w:pPr>
            <w:r>
              <w:rPr>
                <w:rFonts w:hint="default"/>
                <w:bCs/>
                <w:lang w:val="en-US" w:eastAsia="zh-CN"/>
              </w:rPr>
              <w:t>CMCC</w:t>
            </w:r>
          </w:p>
        </w:tc>
        <w:tc>
          <w:tcPr>
            <w:tcW w:w="8202" w:type="dxa"/>
          </w:tcPr>
          <w:p>
            <w:pPr>
              <w:spacing w:before="120" w:after="0"/>
              <w:jc w:val="left"/>
              <w:rPr>
                <w:rFonts w:hint="default"/>
                <w:bCs/>
                <w:lang w:val="en-US" w:eastAsia="zh-CN"/>
              </w:rPr>
            </w:pPr>
            <w:r>
              <w:rPr>
                <w:rFonts w:hint="default"/>
                <w:bCs/>
                <w:lang w:val="en-US" w:eastAsia="zh-CN"/>
              </w:rPr>
              <w:t xml:space="preserve">Determination based on physical slot index is the legacy rule for PUSCH FH, and the </w:t>
            </w:r>
            <w:r>
              <w:rPr>
                <w:b/>
                <w:bCs/>
              </w:rPr>
              <w:t>relative slot index – option B</w:t>
            </w:r>
            <w:r>
              <w:rPr>
                <w:rFonts w:hint="default"/>
                <w:b/>
                <w:bCs/>
                <w:lang w:val="en-US"/>
              </w:rPr>
              <w:t xml:space="preserve"> </w:t>
            </w:r>
            <w:r>
              <w:rPr>
                <w:rFonts w:hint="default"/>
                <w:b w:val="0"/>
                <w:bCs w:val="0"/>
                <w:lang w:val="en-US"/>
              </w:rPr>
              <w:t xml:space="preserve">is used to determine the PUCCH FH. </w:t>
            </w:r>
            <w:r>
              <w:rPr>
                <w:rFonts w:hint="default"/>
                <w:b/>
                <w:bCs/>
                <w:lang w:val="en-US"/>
              </w:rPr>
              <w:t>R</w:t>
            </w:r>
            <w:r>
              <w:rPr>
                <w:b/>
                <w:bCs/>
              </w:rPr>
              <w:t>elative slot index – option A</w:t>
            </w:r>
            <w:r>
              <w:rPr>
                <w:rFonts w:hint="default"/>
                <w:b/>
                <w:bCs/>
                <w:lang w:val="en-US"/>
              </w:rPr>
              <w:t xml:space="preserve"> </w:t>
            </w:r>
            <w:r>
              <w:rPr>
                <w:rFonts w:hint="default"/>
                <w:b w:val="0"/>
                <w:bCs w:val="0"/>
                <w:lang w:val="en-US"/>
              </w:rPr>
              <w:t>seems like a</w:t>
            </w:r>
            <w:r>
              <w:rPr>
                <w:rFonts w:hint="default"/>
                <w:b/>
                <w:bCs/>
                <w:lang w:val="en-US"/>
              </w:rPr>
              <w:t xml:space="preserve"> </w:t>
            </w:r>
            <w:r>
              <w:rPr>
                <w:rFonts w:hint="default"/>
                <w:b w:val="0"/>
                <w:bCs w:val="0"/>
                <w:lang w:val="en-US"/>
              </w:rPr>
              <w:t>mix</w:t>
            </w:r>
            <w:r>
              <w:rPr>
                <w:rFonts w:hint="default"/>
                <w:b/>
                <w:bCs/>
                <w:lang w:val="en-US"/>
              </w:rPr>
              <w:t xml:space="preserve"> </w:t>
            </w:r>
            <w:r>
              <w:rPr>
                <w:rFonts w:hint="default"/>
                <w:b w:val="0"/>
                <w:bCs w:val="0"/>
                <w:lang w:val="en-US"/>
              </w:rPr>
              <w:t>between the above mechanism, and we do not see any benefit from it. We would like to keep the legacy rule and add an 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eastAsia"/>
                <w:lang w:val="en-US" w:eastAsia="zh-CN"/>
              </w:rPr>
            </w:pPr>
            <w:r>
              <w:rPr>
                <w:rFonts w:hint="eastAsia"/>
                <w:lang w:val="en-US" w:eastAsia="zh-CN"/>
              </w:rPr>
              <w:t xml:space="preserve">For Option B, one drawback not captured in the table is it would introduce new UE implementation of slot index determination for FH compared to legacy. </w:t>
            </w:r>
          </w:p>
          <w:p>
            <w:pPr>
              <w:spacing w:before="0" w:after="0"/>
              <w:jc w:val="left"/>
              <w:rPr>
                <w:rFonts w:hint="eastAsia"/>
                <w:lang w:val="en-US" w:eastAsia="zh-CN"/>
              </w:rPr>
            </w:pPr>
          </w:p>
          <w:p>
            <w:pPr>
              <w:spacing w:before="0" w:after="0"/>
              <w:jc w:val="left"/>
              <w:rPr>
                <w:rFonts w:hint="default" w:ascii="Times New Roman" w:hAnsi="Times New Roman" w:eastAsia="宋体" w:cs="Times New Roman"/>
                <w:lang w:val="en-US" w:eastAsia="zh-CN" w:bidi="ar-SA"/>
              </w:rPr>
            </w:pPr>
            <w:r>
              <w:rPr>
                <w:rFonts w:hint="eastAsia"/>
                <w:lang w:val="en-US" w:eastAsia="zh-CN"/>
              </w:rPr>
              <w:t xml:space="preserve">For </w:t>
            </w:r>
            <w:r>
              <w:rPr>
                <w:lang w:val="en-GB"/>
              </w:rPr>
              <w:t>MU pairing</w:t>
            </w:r>
            <w:r>
              <w:rPr>
                <w:rFonts w:hint="eastAsia"/>
                <w:lang w:val="en-US" w:eastAsia="zh-CN"/>
              </w:rPr>
              <w:t xml:space="preserve">, it is more for efficiency not the coverage. So, achieving more </w:t>
            </w:r>
            <w:r>
              <w:rPr>
                <w:lang w:val="en-GB"/>
              </w:rPr>
              <w:t>balanced hopping interval</w:t>
            </w:r>
            <w:r>
              <w:rPr>
                <w:rFonts w:hint="eastAsia"/>
                <w:lang w:val="en-US" w:eastAsia="zh-CN"/>
              </w:rPr>
              <w:t xml:space="preserve"> with Option A is more important. </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lang w:eastAsia="zh-CN"/>
              </w:rPr>
              <w:t>V</w:t>
            </w:r>
            <w:r>
              <w:rPr>
                <w:rFonts w:hint="eastAsia"/>
                <w:bCs/>
                <w:lang w:eastAsia="zh-CN"/>
              </w:rPr>
              <w:t>ivo</w:t>
            </w:r>
          </w:p>
        </w:tc>
        <w:tc>
          <w:tcPr>
            <w:tcW w:w="8202" w:type="dxa"/>
            <w:shd w:val="clear" w:color="auto" w:fill="auto"/>
          </w:tcPr>
          <w:p>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ype="textWrapping"/>
            </w:r>
            <w:r>
              <w:rPr>
                <w:bCs/>
                <w:lang w:eastAsia="zh-CN"/>
              </w:rPr>
              <w:t>Option A has problems with hopping balance and/or alignment with nominal TDWs.</w:t>
            </w:r>
          </w:p>
          <w:p>
            <w:pPr>
              <w:spacing w:before="0" w:after="0"/>
              <w:jc w:val="left"/>
              <w:rPr>
                <w:bCs/>
                <w:lang w:eastAsia="zh-CN"/>
              </w:rPr>
            </w:pPr>
            <w:r>
              <w:rPr>
                <w:bCs/>
                <w:lang w:eastAsia="zh-CN"/>
              </w:rPr>
              <w:t xml:space="preserve">Physical slot hopping works well with TDD patterns, avoiding the problems in option A. </w:t>
            </w:r>
          </w:p>
          <w:p>
            <w:pPr>
              <w:spacing w:before="120" w:after="0"/>
              <w:jc w:val="left"/>
              <w:rPr>
                <w:lang w:eastAsia="zh-CN"/>
              </w:rPr>
            </w:pPr>
            <w:r>
              <w:rPr>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rFonts w:hint="eastAsia"/>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We support relative slot index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default" w:ascii="Times New Roman" w:hAnsi="Times New Roman" w:eastAsia="宋体" w:cs="Times New Roman"/>
                <w:lang w:val="en-US" w:eastAsia="zh-CN" w:bidi="ar-SA"/>
              </w:rPr>
            </w:pPr>
            <w:r>
              <w:rPr>
                <w:rFonts w:hint="eastAsia"/>
                <w:lang w:val="en-US" w:eastAsia="zh-CN"/>
              </w:rPr>
              <w:t>Supp</w:t>
            </w:r>
            <w:r>
              <w:rPr>
                <w:rFonts w:hint="eastAsia" w:ascii="Times New Roman" w:hAnsi="Times New Roman" w:eastAsia="宋体" w:cs="Times New Roman"/>
                <w:lang w:val="en-US" w:eastAsia="zh-CN"/>
              </w:rPr>
              <w:t xml:space="preserve">ort relative slot index – option A, which is the same as legacy. </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jc w:val="left"/>
              <w:rPr>
                <w:lang w:eastAsia="zh-CN"/>
              </w:rPr>
            </w:pPr>
            <w:r>
              <w:rPr>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120" w:after="0"/>
              <w:jc w:val="left"/>
              <w:rPr>
                <w:lang w:eastAsia="zh-CN"/>
              </w:rPr>
            </w:pPr>
            <w:r>
              <w:rPr>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Physical slot index</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lang w:eastAsia="zh-CN"/>
              </w:rPr>
            </w:pPr>
            <w:r>
              <w:rPr>
                <w:rFonts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We support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default" w:ascii="Times New Roman" w:hAnsi="Times New Roman" w:eastAsia="宋体" w:cs="Times New Roman"/>
                <w:lang w:val="en-US" w:eastAsia="zh-CN" w:bidi="ar-SA"/>
              </w:rPr>
            </w:pPr>
            <w:r>
              <w:rPr>
                <w:rFonts w:hint="eastAsia"/>
                <w:lang w:val="en-US" w:eastAsia="zh-CN"/>
              </w:rPr>
              <w:t xml:space="preserve">Fine with either </w:t>
            </w:r>
            <w:r>
              <w:rPr>
                <w:rFonts w:hint="eastAsia" w:ascii="Times New Roman" w:hAnsi="Times New Roman" w:eastAsia="宋体" w:cs="Times New Roman"/>
                <w:lang w:val="en-US" w:eastAsia="zh-CN"/>
              </w:rPr>
              <w:t xml:space="preserve">physical slot index or relative slot index – option A.  </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Intel</w:t>
            </w:r>
          </w:p>
        </w:tc>
        <w:tc>
          <w:tcPr>
            <w:tcW w:w="8202" w:type="dxa"/>
            <w:shd w:val="clear" w:color="auto" w:fill="auto"/>
          </w:tcPr>
          <w:p>
            <w:pPr>
              <w:spacing w:before="0" w:after="0"/>
              <w:jc w:val="left"/>
              <w:rPr>
                <w:lang w:eastAsia="zh-CN"/>
              </w:rPr>
            </w:pPr>
            <w:r>
              <w:rPr>
                <w:lang w:eastAsia="zh-CN"/>
              </w:rPr>
              <w:t xml:space="preserve">We do not support the proposal. </w:t>
            </w:r>
          </w:p>
          <w:p>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rPr>
            </w:pPr>
            <w:r>
              <w:rPr>
                <w:bCs/>
              </w:rPr>
              <w:t>Samsung</w:t>
            </w:r>
          </w:p>
        </w:tc>
        <w:tc>
          <w:tcPr>
            <w:tcW w:w="8202" w:type="dxa"/>
            <w:shd w:val="clear" w:color="auto" w:fill="auto"/>
          </w:tcPr>
          <w:p>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eastAsia="Malgun Gothic"/>
                <w:bCs/>
                <w:lang w:eastAsia="ko-KR"/>
              </w:rPr>
              <w:t>Nokia/NSB</w:t>
            </w:r>
          </w:p>
        </w:tc>
        <w:tc>
          <w:tcPr>
            <w:tcW w:w="8202" w:type="dxa"/>
            <w:shd w:val="clear" w:color="auto" w:fill="auto"/>
          </w:tcPr>
          <w:p>
            <w:pPr>
              <w:spacing w:before="120" w:after="0"/>
              <w:jc w:val="left"/>
              <w:rPr>
                <w:lang w:eastAsia="zh-CN"/>
              </w:rPr>
            </w:pPr>
            <w:r>
              <w:rPr>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rFonts w:eastAsia="Malgun Gothic"/>
                <w:bCs/>
                <w:lang w:eastAsia="ko-KR"/>
              </w:rPr>
              <w:t>QC</w:t>
            </w:r>
          </w:p>
        </w:tc>
        <w:tc>
          <w:tcPr>
            <w:tcW w:w="8202" w:type="dxa"/>
            <w:shd w:val="clear" w:color="auto" w:fill="auto"/>
          </w:tcPr>
          <w:p>
            <w:pPr>
              <w:spacing w:before="120" w:after="0"/>
              <w:jc w:val="left"/>
              <w:rPr>
                <w:bCs/>
                <w:lang w:eastAsia="zh-CN"/>
              </w:rPr>
            </w:pPr>
            <w:r>
              <w:rPr>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eastAsia="Malgun Gothic"/>
                <w:bCs/>
                <w:lang w:eastAsia="ko-KR"/>
              </w:rPr>
            </w:pPr>
            <w:r>
              <w:rPr>
                <w:bCs/>
              </w:rPr>
              <w:t>Ericsson</w:t>
            </w:r>
          </w:p>
        </w:tc>
        <w:tc>
          <w:tcPr>
            <w:tcW w:w="8202" w:type="dxa"/>
            <w:shd w:val="clear" w:color="auto" w:fill="auto"/>
          </w:tcPr>
          <w:p>
            <w:pPr>
              <w:spacing w:before="120" w:after="0"/>
              <w:jc w:val="left"/>
              <w:rPr>
                <w:bCs/>
                <w:lang w:eastAsia="zh-CN"/>
              </w:rPr>
            </w:pPr>
            <w:r>
              <w:rPr>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bCs/>
              </w:rPr>
            </w:pPr>
            <w:r>
              <w:rPr>
                <w:rFonts w:hint="eastAsia" w:eastAsiaTheme="minorEastAsia"/>
                <w:bCs/>
                <w:lang w:eastAsia="zh-CN"/>
              </w:rPr>
              <w:t>China Telecom</w:t>
            </w:r>
          </w:p>
        </w:tc>
        <w:tc>
          <w:tcPr>
            <w:tcW w:w="8202" w:type="dxa"/>
            <w:shd w:val="clear" w:color="auto" w:fill="auto"/>
          </w:tcPr>
          <w:p>
            <w:pPr>
              <w:spacing w:before="120" w:after="0"/>
              <w:jc w:val="left"/>
              <w:rPr>
                <w:lang w:eastAsia="zh-CN"/>
              </w:rPr>
            </w:pPr>
            <w:r>
              <w:rPr>
                <w:rFonts w:hint="eastAsia"/>
                <w:bCs/>
                <w:lang w:eastAsia="zh-CN"/>
              </w:rPr>
              <w:t>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vAlign w:val="top"/>
          </w:tcPr>
          <w:p>
            <w:pPr>
              <w:spacing w:before="0" w:after="0"/>
              <w:jc w:val="left"/>
              <w:rPr>
                <w:rFonts w:hint="eastAsia" w:ascii="Times New Roman" w:hAnsi="Times New Roman" w:eastAsia="宋体" w:cs="Times New Roman"/>
                <w:bCs/>
                <w:lang w:val="en-US" w:eastAsia="zh-CN" w:bidi="ar-SA"/>
              </w:rPr>
            </w:pPr>
            <w:r>
              <w:rPr>
                <w:rFonts w:hint="eastAsia"/>
                <w:bCs/>
                <w:lang w:val="en-US" w:eastAsia="zh-CN"/>
              </w:rPr>
              <w:t>ZTE</w:t>
            </w:r>
          </w:p>
        </w:tc>
        <w:tc>
          <w:tcPr>
            <w:tcW w:w="8202" w:type="dxa"/>
            <w:shd w:val="clear" w:color="auto" w:fill="auto"/>
            <w:vAlign w:val="top"/>
          </w:tcPr>
          <w:p>
            <w:pPr>
              <w:spacing w:before="0" w:after="0"/>
              <w:jc w:val="left"/>
              <w:rPr>
                <w:rFonts w:hint="eastAsia" w:ascii="Times New Roman" w:hAnsi="Times New Roman" w:eastAsia="宋体" w:cs="Times New Roman"/>
                <w:lang w:val="en-US" w:eastAsia="zh-CN" w:bidi="ar-SA"/>
              </w:rPr>
            </w:pPr>
            <w:r>
              <w:rPr>
                <w:rFonts w:hint="eastAsia"/>
                <w:lang w:val="en-US" w:eastAsia="zh-CN"/>
              </w:rPr>
              <w:t xml:space="preserve">If no consensus can be reached, we should follow the legacy rules for determination of the slot index, i.e., physical slot index for PUSCH and relative slot index for PUCCH. </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5" o:spt="75" type="#_x0000_t75" style="height:47.25pt;width:308.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6" o:spt="75" type="#_x0000_t75" style="height:18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8pt;width:3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rFonts w:hint="eastAsia"/>
                <w:lang w:eastAsia="zh-CN"/>
              </w:rPr>
              <w:t>S</w:t>
            </w:r>
            <w:r>
              <w:rPr>
                <w:lang w:eastAsia="zh-CN"/>
              </w:rPr>
              <w:t xml:space="preserve">upport. </w:t>
            </w:r>
          </w:p>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rFonts w:hint="eastAsia"/>
                <w:lang w:eastAsia="zh-CN"/>
              </w:rPr>
              <w:t>S</w:t>
            </w:r>
            <w:r>
              <w:rPr>
                <w:lang w:eastAsia="zh-CN"/>
              </w:rPr>
              <w:t>upport.</w:t>
            </w:r>
          </w:p>
          <w:p>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pPr>
              <w:spacing w:before="120" w:after="0" w:line="240" w:lineRule="auto"/>
              <w:rPr>
                <w:rFonts w:eastAsia="游明朝"/>
                <w:highlight w:val="green"/>
                <w:u w:val="single"/>
                <w:lang w:val="sv-SE" w:eastAsia="ja-JP"/>
              </w:rPr>
            </w:pPr>
            <w:r>
              <w:rPr>
                <w:rFonts w:eastAsia="游明朝"/>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rPr>
                <w:bCs/>
                <w:lang w:eastAsia="zh-CN"/>
              </w:rPr>
            </w:pPr>
            <w:r>
              <w:rPr>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eastAsia="Malgun Gothic"/>
                <w:bCs/>
                <w:lang w:eastAsia="ko-KR"/>
              </w:rPr>
              <w:t>Ericsson</w:t>
            </w:r>
          </w:p>
        </w:tc>
        <w:tc>
          <w:tcPr>
            <w:tcW w:w="8202" w:type="dxa"/>
          </w:tcPr>
          <w:p>
            <w:pPr>
              <w:spacing w:before="0" w:after="0"/>
              <w:jc w:val="left"/>
              <w:rPr>
                <w:bCs/>
                <w:lang w:eastAsia="zh-CN"/>
              </w:rPr>
            </w:pPr>
            <w:r>
              <w:rPr>
                <w:bCs/>
                <w:lang w:eastAsia="zh-CN"/>
              </w:rPr>
              <w:t xml:space="preserve">In short, we do not object to the FL’s assessment of the situation or the proposal.  </w:t>
            </w:r>
          </w:p>
          <w:p>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pPr>
              <w:spacing w:before="120"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rFonts w:hint="eastAsia"/>
                <w:bCs/>
                <w:lang w:eastAsia="zh-CN"/>
              </w:rPr>
              <w:t>China Telecom</w:t>
            </w:r>
          </w:p>
        </w:tc>
        <w:tc>
          <w:tcPr>
            <w:tcW w:w="8202" w:type="dxa"/>
          </w:tcPr>
          <w:p>
            <w:pPr>
              <w:spacing w:before="120" w:after="0"/>
              <w:jc w:val="left"/>
              <w:rPr>
                <w:bCs/>
                <w:lang w:eastAsia="zh-CN"/>
              </w:rPr>
            </w:pPr>
            <w:r>
              <w:rPr>
                <w:lang w:eastAsia="zh-CN"/>
              </w:rPr>
              <w:t>Support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 xml:space="preserve">Panasonic </w:t>
            </w:r>
          </w:p>
        </w:tc>
        <w:tc>
          <w:tcPr>
            <w:tcW w:w="8202" w:type="dxa"/>
          </w:tcPr>
          <w:p>
            <w:pPr>
              <w:spacing w:before="120" w:after="0"/>
              <w:jc w:val="left"/>
              <w:rPr>
                <w:lang w:eastAsia="zh-CN"/>
              </w:rPr>
            </w:pPr>
            <w:r>
              <w:rPr>
                <w:rFonts w:eastAsia="MS Mincho"/>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rFonts w:hint="default" w:eastAsia="MS Mincho"/>
                <w:lang w:val="en-US" w:eastAsia="zh-CN"/>
              </w:rPr>
            </w:pPr>
            <w:r>
              <w:rPr>
                <w:rFonts w:hint="default" w:eastAsia="MS Mincho"/>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default" w:ascii="Times New Roman" w:hAnsi="Times New Roman" w:eastAsia="宋体" w:cs="Times New Roman"/>
                <w:bCs/>
                <w:lang w:val="en-US" w:eastAsia="zh-CN" w:bidi="ar-SA"/>
              </w:rPr>
            </w:pPr>
            <w:r>
              <w:rPr>
                <w:rFonts w:hint="eastAsia"/>
                <w:bCs/>
                <w:lang w:val="en-US" w:eastAsia="zh-CN"/>
              </w:rPr>
              <w:t>ZTE</w:t>
            </w:r>
          </w:p>
        </w:tc>
        <w:tc>
          <w:tcPr>
            <w:tcW w:w="8202" w:type="dxa"/>
            <w:vAlign w:val="top"/>
          </w:tcPr>
          <w:p>
            <w:pPr>
              <w:spacing w:before="0" w:after="0"/>
              <w:jc w:val="left"/>
              <w:rPr>
                <w:rFonts w:hint="default" w:ascii="Times New Roman" w:hAnsi="Times New Roman" w:eastAsia="宋体" w:cs="Times New Roman"/>
                <w:lang w:val="en-US" w:eastAsia="zh-CN" w:bidi="ar-SA"/>
              </w:rPr>
            </w:pPr>
            <w:r>
              <w:rPr>
                <w:rFonts w:hint="eastAsia"/>
                <w:lang w:val="en-US" w:eastAsia="zh-CN"/>
              </w:rPr>
              <w:t xml:space="preserve">Support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
                <w:bCs/>
              </w:rPr>
            </w:pPr>
            <w:r>
              <w:rPr>
                <w:b/>
                <w:bCs/>
              </w:rPr>
              <w:t>Company name</w:t>
            </w:r>
          </w:p>
        </w:tc>
        <w:tc>
          <w:tcPr>
            <w:tcW w:w="8202" w:type="dxa"/>
          </w:tcPr>
          <w:p>
            <w:pPr>
              <w:spacing w:before="0" w:after="0"/>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bCs/>
                <w:lang w:eastAsia="zh-CN"/>
              </w:rPr>
              <w:t>Vivo</w:t>
            </w:r>
          </w:p>
        </w:tc>
        <w:tc>
          <w:tcPr>
            <w:tcW w:w="8202" w:type="dxa"/>
            <w:shd w:val="clear" w:color="auto" w:fill="auto"/>
          </w:tcPr>
          <w:p>
            <w:pPr>
              <w:spacing w:before="0" w:after="0"/>
              <w:jc w:val="left"/>
              <w:rPr>
                <w:lang w:eastAsia="zh-CN"/>
              </w:rPr>
            </w:pPr>
            <w:r>
              <w:rPr>
                <w:lang w:eastAsia="zh-CN"/>
              </w:rPr>
              <w:t xml:space="preserve">Option 2. </w:t>
            </w:r>
          </w:p>
          <w:p>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bCs/>
              </w:rPr>
              <w:t>Intel</w:t>
            </w:r>
          </w:p>
        </w:tc>
        <w:tc>
          <w:tcPr>
            <w:tcW w:w="8202" w:type="dxa"/>
          </w:tcPr>
          <w:p>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pPr>
            <w:r>
              <w:t xml:space="preserve">Based on this, the Proposal 3 can be updated to </w:t>
            </w:r>
          </w:p>
          <w:p>
            <w:pPr>
              <w:spacing w:before="120"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bCs/>
              </w:rPr>
            </w:pPr>
            <w:r>
              <w:rPr>
                <w:bCs/>
              </w:rPr>
              <w:t>Samsung</w:t>
            </w:r>
          </w:p>
        </w:tc>
        <w:tc>
          <w:tcPr>
            <w:tcW w:w="8202" w:type="dxa"/>
          </w:tcPr>
          <w:p>
            <w:pPr>
              <w:spacing w:before="0" w:after="0"/>
              <w:jc w:val="left"/>
              <w:rPr>
                <w:lang w:eastAsia="zh-CN"/>
              </w:rPr>
            </w:pPr>
            <w:r>
              <w:rPr>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Nokia/NSB</w:t>
            </w:r>
          </w:p>
        </w:tc>
        <w:tc>
          <w:tcPr>
            <w:tcW w:w="8202" w:type="dxa"/>
          </w:tcPr>
          <w:p>
            <w:pPr>
              <w:spacing w:before="120"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jc w:val="left"/>
              <w:rPr>
                <w:lang w:eastAsia="zh-CN"/>
              </w:rPr>
            </w:pPr>
            <w:r>
              <w:rPr>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rFonts w:hint="eastAsia"/>
                <w:bCs/>
                <w:lang w:eastAsia="zh-CN"/>
              </w:rPr>
              <w:t>China Telecom</w:t>
            </w:r>
          </w:p>
        </w:tc>
        <w:tc>
          <w:tcPr>
            <w:tcW w:w="8202" w:type="dxa"/>
          </w:tcPr>
          <w:p>
            <w:pPr>
              <w:spacing w:before="120"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eastAsia"/>
                <w:bCs/>
                <w:lang w:eastAsia="zh-CN"/>
              </w:rPr>
            </w:pPr>
            <w:r>
              <w:rPr>
                <w:rFonts w:eastAsia="MS Mincho"/>
                <w:bCs/>
                <w:lang w:eastAsia="zh-CN"/>
              </w:rPr>
              <w:t>Panasonic</w:t>
            </w:r>
          </w:p>
        </w:tc>
        <w:tc>
          <w:tcPr>
            <w:tcW w:w="8202" w:type="dxa"/>
          </w:tcPr>
          <w:p>
            <w:pPr>
              <w:spacing w:before="120" w:after="0"/>
              <w:jc w:val="left"/>
              <w:rPr>
                <w:rFonts w:hint="eastAsia"/>
                <w:lang w:eastAsia="zh-CN"/>
              </w:rPr>
            </w:pPr>
            <w:r>
              <w:rPr>
                <w:rFonts w:eastAsia="MS Mincho"/>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hint="default" w:eastAsia="MS Mincho"/>
                <w:bCs/>
                <w:lang w:val="en-US" w:eastAsia="zh-CN"/>
              </w:rPr>
            </w:pPr>
            <w:r>
              <w:rPr>
                <w:rFonts w:hint="default" w:eastAsia="MS Mincho"/>
                <w:bCs/>
                <w:lang w:val="en-US" w:eastAsia="zh-CN"/>
              </w:rPr>
              <w:t>CMCC</w:t>
            </w:r>
          </w:p>
        </w:tc>
        <w:tc>
          <w:tcPr>
            <w:tcW w:w="8202" w:type="dxa"/>
          </w:tcPr>
          <w:p>
            <w:pPr>
              <w:spacing w:before="120" w:after="0"/>
              <w:jc w:val="left"/>
              <w:rPr>
                <w:lang w:eastAsia="zh-CN"/>
              </w:rPr>
            </w:pPr>
            <w:r>
              <w:rPr>
                <w:lang w:eastAsia="zh-CN"/>
              </w:rPr>
              <w:t xml:space="preserve">Support option 2.  Since we have an agreement on default FH interval, we should stick to the same spirit when both cTDW and FH intervals are not configured. </w:t>
            </w:r>
          </w:p>
          <w:p>
            <w:pPr>
              <w:spacing w:before="120" w:after="0"/>
              <w:jc w:val="left"/>
              <w:rPr>
                <w:rFonts w:eastAsia="MS Mincho"/>
                <w:lang w:eastAsia="zh-CN"/>
              </w:rPr>
            </w:pPr>
            <w:r>
              <w:rPr>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jc w:val="left"/>
              <w:rPr>
                <w:rFonts w:hint="default" w:ascii="Times New Roman" w:hAnsi="Times New Roman" w:eastAsia="宋体" w:cs="Times New Roman"/>
                <w:bCs/>
                <w:lang w:val="en-US" w:eastAsia="zh-CN" w:bidi="ar-SA"/>
              </w:rPr>
            </w:pPr>
            <w:bookmarkStart w:id="24" w:name="_GoBack" w:colFirst="0" w:colLast="1"/>
            <w:r>
              <w:rPr>
                <w:rFonts w:hint="eastAsia"/>
                <w:bCs/>
                <w:lang w:val="en-US" w:eastAsia="zh-CN"/>
              </w:rPr>
              <w:t>ZTE</w:t>
            </w:r>
          </w:p>
        </w:tc>
        <w:tc>
          <w:tcPr>
            <w:tcW w:w="8202" w:type="dxa"/>
            <w:vAlign w:val="top"/>
          </w:tcPr>
          <w:p>
            <w:pPr>
              <w:spacing w:before="120"/>
              <w:jc w:val="both"/>
              <w:rPr>
                <w:rFonts w:hint="default" w:ascii="Times New Roman" w:hAnsi="Times New Roman" w:eastAsia="宋体" w:cs="Times New Roman"/>
                <w:lang w:val="en-US" w:eastAsia="zh-CN" w:bidi="ar-SA"/>
              </w:rPr>
            </w:pPr>
            <w:r>
              <w:rPr>
                <w:rFonts w:hint="eastAsia"/>
                <w:lang w:val="en-US" w:eastAsia="zh-CN"/>
              </w:rPr>
              <w:t>Support the proposal and prefer Option 1, which can ensure the diversity gain in case of DMRS bundling. This is an FFS point and we don</w:t>
            </w:r>
            <w:r>
              <w:rPr>
                <w:rFonts w:hint="default"/>
                <w:lang w:val="en-US" w:eastAsia="zh-CN"/>
              </w:rPr>
              <w:t>’</w:t>
            </w:r>
            <w:r>
              <w:rPr>
                <w:rFonts w:hint="eastAsia"/>
                <w:lang w:val="en-US" w:eastAsia="zh-CN"/>
              </w:rPr>
              <w:t xml:space="preserve">t think previous agreements can cover the case. </w:t>
            </w:r>
          </w:p>
        </w:tc>
      </w:tr>
      <w:bookmarkEnd w:id="24"/>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b/>
                <w:bCs/>
              </w:rPr>
            </w:pPr>
            <w:bookmarkStart w:id="22" w:name="_Hlk93222931"/>
            <w:r>
              <w:rPr>
                <w:b/>
                <w:bCs/>
              </w:rPr>
              <w:t>Company name</w:t>
            </w:r>
          </w:p>
        </w:tc>
        <w:tc>
          <w:tcPr>
            <w:tcW w:w="7627" w:type="dxa"/>
          </w:tcPr>
          <w:p>
            <w:pPr>
              <w:spacing w:before="0" w:after="0"/>
              <w:jc w:val="left"/>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bCs/>
              </w:rPr>
            </w:pPr>
          </w:p>
        </w:tc>
        <w:tc>
          <w:tcPr>
            <w:tcW w:w="7627" w:type="dxa"/>
            <w:shd w:val="clear" w:color="auto" w:fill="auto"/>
          </w:tcPr>
          <w:p>
            <w:pPr>
              <w:spacing w:before="0" w:after="0"/>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algun Gothic"/>
                <w:bCs/>
                <w:lang w:eastAsia="ko-KR"/>
              </w:rPr>
            </w:pPr>
          </w:p>
        </w:tc>
        <w:tc>
          <w:tcPr>
            <w:tcW w:w="7627" w:type="dxa"/>
          </w:tcPr>
          <w:p>
            <w:pPr>
              <w:spacing w:before="0" w:after="0"/>
              <w:jc w:val="left"/>
              <w:rPr>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jc w:val="left"/>
      </w:pPr>
      <w:bookmarkStart w:id="23" w:name="_Ref54470658"/>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"https://www.3gpp.org/ftp/TSG_RAN/WG1_RL1/TSGR1_108-e/Docs/R1-2200969.zip" \t "_parent" </w:instrText>
            </w:r>
            <w:r>
              <w:fldChar w:fldCharType="separate"/>
            </w:r>
            <w:r>
              <w:rPr>
                <w:rStyle w:val="54"/>
                <w:iCs/>
                <w:u w:val="none"/>
                <w:lang w:eastAsia="zh-CN"/>
              </w:rPr>
              <w:t>R1-2200969</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coverage enhancement</w:t>
            </w:r>
          </w:p>
        </w:tc>
        <w:tc>
          <w:tcPr>
            <w:tcW w:w="3330" w:type="dxa"/>
          </w:tcPr>
          <w:p>
            <w:pPr>
              <w:spacing w:before="0" w:after="0"/>
              <w:jc w:val="left"/>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"https://www.3gpp.org/ftp/TSG_RAN/WG1_RL1/TSGR1_108-e/Docs/R1-2201015.zip" \t "_parent" </w:instrText>
            </w:r>
            <w:r>
              <w:fldChar w:fldCharType="separate"/>
            </w:r>
            <w:r>
              <w:rPr>
                <w:rStyle w:val="54"/>
                <w:iCs/>
                <w:u w:val="none"/>
                <w:lang w:eastAsia="zh-CN"/>
              </w:rPr>
              <w:t>R1-2201015</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enhancements</w:t>
            </w:r>
          </w:p>
        </w:tc>
        <w:tc>
          <w:tcPr>
            <w:tcW w:w="3330" w:type="dxa"/>
          </w:tcPr>
          <w:p>
            <w:pPr>
              <w:spacing w:before="0" w:after="0"/>
              <w:jc w:val="left"/>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"https://www.3gpp.org/ftp/TSG_RAN/WG1_RL1/TSGR1_108-e/Docs/R1-2201107.zip" \t "_parent" </w:instrText>
            </w:r>
            <w:r>
              <w:fldChar w:fldCharType="separate"/>
            </w:r>
            <w:r>
              <w:rPr>
                <w:rStyle w:val="54"/>
                <w:iCs/>
                <w:u w:val="none"/>
                <w:lang w:eastAsia="zh-CN"/>
              </w:rPr>
              <w:t>R1-2201107</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"https://www.3gpp.org/ftp/TSG_RAN/WG1_RL1/TSGR1_108-e/Docs/R1-2201167.zip" \t "_parent" </w:instrText>
            </w:r>
            <w:r>
              <w:fldChar w:fldCharType="separate"/>
            </w:r>
            <w:r>
              <w:rPr>
                <w:rStyle w:val="54"/>
                <w:iCs/>
                <w:u w:val="none"/>
                <w:lang w:eastAsia="zh-CN"/>
              </w:rPr>
              <w:t>R1-2201167</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remaining issues for coverage enhancements for PUCCH</w:t>
            </w:r>
          </w:p>
        </w:tc>
        <w:tc>
          <w:tcPr>
            <w:tcW w:w="3330" w:type="dxa"/>
          </w:tcPr>
          <w:p>
            <w:pPr>
              <w:spacing w:before="0" w:after="0"/>
              <w:jc w:val="left"/>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"https://www.3gpp.org/ftp/TSG_RAN/WG1_RL1/TSGR1_108-e/Docs/R1-2201286.zip" \t "_parent" </w:instrText>
            </w:r>
            <w:r>
              <w:fldChar w:fldCharType="separate"/>
            </w:r>
            <w:r>
              <w:rPr>
                <w:rStyle w:val="54"/>
                <w:iCs/>
                <w:u w:val="none"/>
                <w:lang w:eastAsia="zh-CN"/>
              </w:rPr>
              <w:t>R1-2201286</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 for coverage</w:t>
            </w:r>
          </w:p>
        </w:tc>
        <w:tc>
          <w:tcPr>
            <w:tcW w:w="3330" w:type="dxa"/>
          </w:tcPr>
          <w:p>
            <w:pPr>
              <w:spacing w:before="0" w:after="0"/>
              <w:jc w:val="left"/>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"https://www.3gpp.org/ftp/TSG_RAN/WG1_RL1/TSGR1_108-e/Docs/R1-2201376.zip" \t "_parent" </w:instrText>
            </w:r>
            <w:r>
              <w:fldChar w:fldCharType="separate"/>
            </w:r>
            <w:r>
              <w:rPr>
                <w:rStyle w:val="54"/>
                <w:iCs/>
                <w:u w:val="none"/>
                <w:lang w:eastAsia="zh-CN"/>
              </w:rPr>
              <w:t>R1-2201376</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"https://www.3gpp.org/ftp/TSG_RAN/WG1_RL1/TSGR1_108-e/Docs/R1-2201382.zip" \t "_parent" </w:instrText>
            </w:r>
            <w:r>
              <w:fldChar w:fldCharType="separate"/>
            </w:r>
            <w:r>
              <w:rPr>
                <w:rStyle w:val="54"/>
                <w:iCs/>
                <w:u w:val="none"/>
                <w:lang w:eastAsia="zh-CN"/>
              </w:rPr>
              <w:t>R1-2201382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the interaction between inter-slot frequency hopping and DMRS bundling</w:t>
            </w:r>
          </w:p>
        </w:tc>
        <w:tc>
          <w:tcPr>
            <w:tcW w:w="3330" w:type="dxa"/>
          </w:tcPr>
          <w:p>
            <w:pPr>
              <w:spacing w:before="0" w:after="0"/>
              <w:jc w:val="left"/>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"https://www.3gpp.org/ftp/TSG_RAN/WG1_RL1/TSGR1_108-e/Docs/R1-2201445.zip" \t "_parent" </w:instrText>
            </w:r>
            <w:r>
              <w:fldChar w:fldCharType="separate"/>
            </w:r>
            <w:r>
              <w:rPr>
                <w:rStyle w:val="54"/>
                <w:iCs/>
                <w:u w:val="none"/>
                <w:lang w:eastAsia="zh-CN"/>
              </w:rPr>
              <w:t>R1-2201445</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inter-slot frequency hopping with inter-slot bundling</w:t>
            </w:r>
          </w:p>
        </w:tc>
        <w:tc>
          <w:tcPr>
            <w:tcW w:w="3330" w:type="dxa"/>
          </w:tcPr>
          <w:p>
            <w:pPr>
              <w:spacing w:before="0" w:after="0"/>
              <w:jc w:val="left"/>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"https://www.3gpp.org/ftp/TSG_RAN/WG1_RL1/TSGR1_108-e/Docs/R1-2201490.zip" \t "_parent" </w:instrText>
            </w:r>
            <w:r>
              <w:fldChar w:fldCharType="separate"/>
            </w:r>
            <w:r>
              <w:rPr>
                <w:rStyle w:val="54"/>
                <w:iCs/>
                <w:u w:val="none"/>
                <w:lang w:eastAsia="zh-CN"/>
              </w:rPr>
              <w:t>R1-2201490</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w:t>
            </w:r>
          </w:p>
        </w:tc>
        <w:tc>
          <w:tcPr>
            <w:tcW w:w="3330" w:type="dxa"/>
          </w:tcPr>
          <w:p>
            <w:pPr>
              <w:spacing w:before="0" w:after="0"/>
              <w:jc w:val="left"/>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"https://www.3gpp.org/ftp/TSG_RAN/WG1_RL1/TSGR1_108-e/Docs/R1-2201556.zip" \t "_parent" </w:instrText>
            </w:r>
            <w:r>
              <w:fldChar w:fldCharType="separate"/>
            </w:r>
            <w:r>
              <w:rPr>
                <w:rStyle w:val="54"/>
                <w:iCs/>
                <w:u w:val="none"/>
                <w:lang w:eastAsia="zh-CN"/>
              </w:rPr>
              <w:t>R1-2201556</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"https://www.3gpp.org/ftp/TSG_RAN/WG1_RL1/TSGR1_108-e/Docs/R1-2201660.zip" \t "_parent" </w:instrText>
            </w:r>
            <w:r>
              <w:fldChar w:fldCharType="separate"/>
            </w:r>
            <w:r>
              <w:rPr>
                <w:rStyle w:val="54"/>
                <w:iCs/>
                <w:u w:val="none"/>
                <w:lang w:eastAsia="zh-CN"/>
              </w:rPr>
              <w:t>R1-2201660</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"https://www.3gpp.org/ftp/TSG_RAN/WG1_RL1/TSGR1_108-e/Docs/R1-2201711.zip" \t "_parent" </w:instrText>
            </w:r>
            <w:r>
              <w:fldChar w:fldCharType="separate"/>
            </w:r>
            <w:r>
              <w:rPr>
                <w:rStyle w:val="54"/>
                <w:iCs/>
                <w:u w:val="none"/>
                <w:lang w:eastAsia="zh-CN"/>
              </w:rPr>
              <w:t>R1-2201711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details on PUCCH enhancements</w:t>
            </w:r>
          </w:p>
        </w:tc>
        <w:tc>
          <w:tcPr>
            <w:tcW w:w="3330" w:type="dxa"/>
          </w:tcPr>
          <w:p>
            <w:pPr>
              <w:spacing w:before="0" w:after="0"/>
              <w:jc w:val="left"/>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"https://www.3gpp.org/ftp/TSG_RAN/WG1_RL1/TSGR1_108-e/Docs/R1-2201783.zip" \t "_parent" </w:instrText>
            </w:r>
            <w:r>
              <w:fldChar w:fldCharType="separate"/>
            </w:r>
            <w:r>
              <w:rPr>
                <w:rStyle w:val="54"/>
                <w:iCs/>
                <w:u w:val="none"/>
                <w:lang w:eastAsia="zh-CN"/>
              </w:rPr>
              <w:t>R1-2201783</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coverage enhancement</w:t>
            </w:r>
          </w:p>
        </w:tc>
        <w:tc>
          <w:tcPr>
            <w:tcW w:w="3330" w:type="dxa"/>
          </w:tcPr>
          <w:p>
            <w:pPr>
              <w:spacing w:before="0" w:after="0"/>
              <w:jc w:val="left"/>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"https://www.3gpp.org/ftp/TSG_RAN/WG1_RL1/TSGR1_108-e/Docs/R1-2201871.zip" \t "_parent" </w:instrText>
            </w:r>
            <w:r>
              <w:fldChar w:fldCharType="separate"/>
            </w:r>
            <w:r>
              <w:rPr>
                <w:rStyle w:val="54"/>
                <w:iCs/>
                <w:u w:val="none"/>
                <w:lang w:eastAsia="zh-CN"/>
              </w:rPr>
              <w:t>R1-2201871</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w:t>
            </w:r>
          </w:p>
        </w:tc>
        <w:tc>
          <w:tcPr>
            <w:tcW w:w="3330" w:type="dxa"/>
          </w:tcPr>
          <w:p>
            <w:pPr>
              <w:spacing w:before="0" w:after="0"/>
              <w:jc w:val="left"/>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"https://www.3gpp.org/ftp/TSG_RAN/WG1_RL1/TSGR1_108-e/Docs/R1-2201913.zip" \t "_parent" </w:instrText>
            </w:r>
            <w:r>
              <w:fldChar w:fldCharType="separate"/>
            </w:r>
            <w:r>
              <w:rPr>
                <w:rStyle w:val="54"/>
                <w:iCs/>
                <w:u w:val="none"/>
                <w:lang w:eastAsia="zh-CN"/>
              </w:rPr>
              <w:t>R1-2201913</w:t>
            </w:r>
            <w:r>
              <w:rPr>
                <w:rStyle w:val="54"/>
                <w:iCs/>
                <w:u w:val="none"/>
                <w:lang w:eastAsia="zh-CN"/>
              </w:rPr>
              <w:fldChar w:fldCharType="end"/>
            </w:r>
          </w:p>
        </w:tc>
        <w:tc>
          <w:tcPr>
            <w:tcW w:w="5310" w:type="dxa"/>
          </w:tcPr>
          <w:p>
            <w:pPr>
              <w:spacing w:before="0" w:after="0"/>
              <w:jc w:val="left"/>
              <w:rPr>
                <w:iCs/>
                <w:lang w:eastAsia="zh-CN"/>
              </w:rPr>
            </w:pPr>
            <w:r>
              <w:rPr>
                <w:iCs/>
                <w:lang w:eastAsia="zh-CN"/>
              </w:rPr>
              <w:t>Remaing issues on PUCCH enhancements</w:t>
            </w:r>
          </w:p>
        </w:tc>
        <w:tc>
          <w:tcPr>
            <w:tcW w:w="3330" w:type="dxa"/>
          </w:tcPr>
          <w:p>
            <w:pPr>
              <w:spacing w:before="0" w:after="0"/>
              <w:jc w:val="left"/>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"https://www.3gpp.org/ftp/TSG_RAN/WG1_RL1/TSGR1_108-e/Docs/R1-2201964.zip" \t "_parent" </w:instrText>
            </w:r>
            <w:r>
              <w:fldChar w:fldCharType="separate"/>
            </w:r>
            <w:r>
              <w:rPr>
                <w:rStyle w:val="54"/>
                <w:iCs/>
                <w:u w:val="none"/>
                <w:lang w:eastAsia="zh-CN"/>
              </w:rPr>
              <w:t>R1-2201964</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for PUCCH Dynamic Repetition and DMRS Bundling</w:t>
            </w:r>
          </w:p>
        </w:tc>
        <w:tc>
          <w:tcPr>
            <w:tcW w:w="3330" w:type="dxa"/>
          </w:tcPr>
          <w:p>
            <w:pPr>
              <w:spacing w:before="0" w:after="0"/>
              <w:jc w:val="left"/>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"https://www.3gpp.org/ftp/TSG_RAN/WG1_RL1/TSGR1_108-e/Docs/R1-2202029.zip" \t "_parent" </w:instrText>
            </w:r>
            <w:r>
              <w:fldChar w:fldCharType="separate"/>
            </w:r>
            <w:r>
              <w:rPr>
                <w:rStyle w:val="54"/>
                <w:iCs/>
                <w:u w:val="none"/>
                <w:lang w:eastAsia="zh-CN"/>
              </w:rPr>
              <w:t>R1-2202029</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"https://www.3gpp.org/ftp/TSG_RAN/WG1_RL1/TSGR1_108-e/Docs/R1-2202154.zip" \t "_parent" </w:instrText>
            </w:r>
            <w:r>
              <w:fldChar w:fldCharType="separate"/>
            </w:r>
            <w:r>
              <w:rPr>
                <w:rStyle w:val="54"/>
                <w:iCs/>
                <w:u w:val="none"/>
                <w:lang w:eastAsia="zh-CN"/>
              </w:rPr>
              <w:t>R1-2202154</w:t>
            </w:r>
            <w:r>
              <w:rPr>
                <w:rStyle w:val="54"/>
                <w:iCs/>
                <w:u w:val="none"/>
                <w:lang w:eastAsia="zh-CN"/>
              </w:rPr>
              <w:fldChar w:fldCharType="end"/>
            </w:r>
          </w:p>
        </w:tc>
        <w:tc>
          <w:tcPr>
            <w:tcW w:w="5310" w:type="dxa"/>
          </w:tcPr>
          <w:p>
            <w:pPr>
              <w:spacing w:before="0" w:after="0"/>
              <w:jc w:val="left"/>
              <w:rPr>
                <w:iCs/>
                <w:lang w:eastAsia="zh-CN"/>
              </w:rPr>
            </w:pPr>
            <w:r>
              <w:rPr>
                <w:iCs/>
                <w:lang w:eastAsia="zh-CN"/>
              </w:rPr>
              <w:t>PUCCH enhancements</w:t>
            </w:r>
          </w:p>
        </w:tc>
        <w:tc>
          <w:tcPr>
            <w:tcW w:w="3330" w:type="dxa"/>
          </w:tcPr>
          <w:p>
            <w:pPr>
              <w:spacing w:before="0" w:after="0"/>
              <w:jc w:val="left"/>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"https://www.3gpp.org/ftp/TSG_RAN/WG1_RL1/TSGR1_108-e/Docs/R1-2202199.zip" \t "_parent" </w:instrText>
            </w:r>
            <w:r>
              <w:fldChar w:fldCharType="separate"/>
            </w:r>
            <w:r>
              <w:rPr>
                <w:rStyle w:val="54"/>
                <w:iCs/>
                <w:u w:val="none"/>
                <w:lang w:eastAsia="zh-CN"/>
              </w:rPr>
              <w:t>R1-2202199</w:t>
            </w:r>
            <w:r>
              <w:rPr>
                <w:rStyle w:val="54"/>
                <w:iCs/>
                <w:u w:val="none"/>
                <w:lang w:eastAsia="zh-CN"/>
              </w:rPr>
              <w:fldChar w:fldCharType="end"/>
            </w:r>
          </w:p>
        </w:tc>
        <w:tc>
          <w:tcPr>
            <w:tcW w:w="5310" w:type="dxa"/>
          </w:tcPr>
          <w:p>
            <w:pPr>
              <w:spacing w:before="0" w:after="0"/>
              <w:jc w:val="left"/>
              <w:rPr>
                <w:iCs/>
                <w:lang w:eastAsia="zh-CN"/>
              </w:rPr>
            </w:pPr>
            <w:r>
              <w:rPr>
                <w:iCs/>
                <w:lang w:eastAsia="zh-CN"/>
              </w:rPr>
              <w:t>PUCCH coverage enhancement</w:t>
            </w:r>
          </w:p>
        </w:tc>
        <w:tc>
          <w:tcPr>
            <w:tcW w:w="3330" w:type="dxa"/>
          </w:tcPr>
          <w:p>
            <w:pPr>
              <w:spacing w:before="0" w:after="0"/>
              <w:jc w:val="left"/>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iCs/>
                <w:lang w:eastAsia="zh-CN"/>
              </w:rPr>
            </w:pPr>
            <w:r>
              <w:fldChar w:fldCharType="begin"/>
            </w:r>
            <w:r>
              <w:instrText xml:space="preserve"> HYPERLINK "https://www.3gpp.org/ftp/TSG_RAN/WG1_RL1/TSGR1_108-e/Docs/R1-2202238.zip" \t "_parent" </w:instrText>
            </w:r>
            <w:r>
              <w:fldChar w:fldCharType="separate"/>
            </w:r>
            <w:r>
              <w:rPr>
                <w:rStyle w:val="54"/>
                <w:iCs/>
                <w:u w:val="none"/>
                <w:lang w:eastAsia="zh-CN"/>
              </w:rPr>
              <w:t>R1-2202238</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 on PUCCH enhancements</w:t>
            </w:r>
          </w:p>
        </w:tc>
        <w:tc>
          <w:tcPr>
            <w:tcW w:w="3330" w:type="dxa"/>
          </w:tcPr>
          <w:p>
            <w:pPr>
              <w:spacing w:before="0" w:after="0"/>
              <w:jc w:val="left"/>
              <w:rPr>
                <w:iCs/>
                <w:lang w:eastAsia="zh-CN"/>
              </w:rPr>
            </w:pPr>
            <w:r>
              <w:rPr>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"https://www.3gpp.org/ftp/TSG_RAN/WG1_RL1/TSGR1_108-e/Docs/R1-2202302.zip" \t "_parent" </w:instrText>
            </w:r>
            <w:r>
              <w:fldChar w:fldCharType="separate"/>
            </w:r>
            <w:r>
              <w:rPr>
                <w:rStyle w:val="54"/>
                <w:iCs/>
                <w:u w:val="none"/>
                <w:lang w:eastAsia="zh-CN"/>
              </w:rPr>
              <w:t>R1-2202302</w:t>
            </w:r>
            <w:r>
              <w:rPr>
                <w:rStyle w:val="54"/>
                <w:iCs/>
                <w:u w:val="none"/>
                <w:lang w:eastAsia="zh-CN"/>
              </w:rPr>
              <w:fldChar w:fldCharType="end"/>
            </w:r>
          </w:p>
        </w:tc>
        <w:tc>
          <w:tcPr>
            <w:tcW w:w="5310" w:type="dxa"/>
          </w:tcPr>
          <w:p>
            <w:pPr>
              <w:spacing w:before="0" w:after="0"/>
              <w:jc w:val="left"/>
              <w:rPr>
                <w:iCs/>
                <w:lang w:eastAsia="zh-CN"/>
              </w:rPr>
            </w:pPr>
            <w:r>
              <w:rPr>
                <w:iCs/>
                <w:lang w:eastAsia="zh-CN"/>
              </w:rPr>
              <w:t>Discussions on coverage enhancement for PUCCH</w:t>
            </w:r>
          </w:p>
        </w:tc>
        <w:tc>
          <w:tcPr>
            <w:tcW w:w="3330" w:type="dxa"/>
          </w:tcPr>
          <w:p>
            <w:pPr>
              <w:spacing w:before="0" w:after="0"/>
              <w:jc w:val="left"/>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iCs/>
                <w:lang w:eastAsia="zh-CN"/>
              </w:rPr>
            </w:pPr>
            <w:r>
              <w:fldChar w:fldCharType="begin"/>
            </w:r>
            <w:r>
              <w:instrText xml:space="preserve"> HYPERLINK "https://www.3gpp.org/ftp/TSG_RAN/WG1_RL1/TSGR1_108-e/Docs/R1-2202488.zip" \t "_parent" </w:instrText>
            </w:r>
            <w:r>
              <w:fldChar w:fldCharType="separate"/>
            </w:r>
            <w:r>
              <w:rPr>
                <w:rStyle w:val="54"/>
                <w:iCs/>
                <w:u w:val="none"/>
                <w:lang w:eastAsia="zh-CN"/>
              </w:rPr>
              <w:t>R1-2202488</w:t>
            </w:r>
            <w:r>
              <w:rPr>
                <w:rStyle w:val="54"/>
                <w:iCs/>
                <w:u w:val="none"/>
                <w:lang w:eastAsia="zh-CN"/>
              </w:rPr>
              <w:fldChar w:fldCharType="end"/>
            </w:r>
          </w:p>
        </w:tc>
        <w:tc>
          <w:tcPr>
            <w:tcW w:w="5310" w:type="dxa"/>
          </w:tcPr>
          <w:p>
            <w:pPr>
              <w:spacing w:before="0" w:after="0"/>
              <w:jc w:val="left"/>
              <w:rPr>
                <w:iCs/>
                <w:lang w:eastAsia="zh-CN"/>
              </w:rPr>
            </w:pPr>
            <w:r>
              <w:rPr>
                <w:iCs/>
                <w:lang w:eastAsia="zh-CN"/>
              </w:rPr>
              <w:t>Remaining issues on PUCCH enhancements for coverage enhancement</w:t>
            </w:r>
          </w:p>
        </w:tc>
        <w:tc>
          <w:tcPr>
            <w:tcW w:w="3330" w:type="dxa"/>
          </w:tcPr>
          <w:p>
            <w:pPr>
              <w:spacing w:before="0" w:after="0"/>
              <w:jc w:val="left"/>
              <w:rPr>
                <w:iCs/>
                <w:lang w:eastAsia="zh-CN"/>
              </w:rPr>
            </w:pPr>
            <w:r>
              <w:rPr>
                <w:iCs/>
                <w:lang w:eastAsia="zh-CN"/>
              </w:rPr>
              <w:t>WILUS Inc.</w:t>
            </w:r>
          </w:p>
        </w:tc>
      </w:tr>
    </w:tbl>
    <w:p>
      <w:pPr>
        <w:jc w:val="left"/>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Nokia Pure Text Light">
    <w:altName w:val="Segoe Print"/>
    <w:panose1 w:val="00000000000000000000"/>
    <w:charset w:val="00"/>
    <w:family w:val="swiss"/>
    <w:pitch w:val="default"/>
    <w:sig w:usb0="00000000" w:usb1="00000000" w:usb2="00010000" w:usb3="00000000" w:csb0="000001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18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19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5">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8">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見出し 1 (文字)"/>
    <w:link w:val="2"/>
    <w:qFormat/>
    <w:uiPriority w:val="0"/>
    <w:rPr>
      <w:rFonts w:ascii="Arial" w:hAnsi="Arial"/>
      <w:sz w:val="36"/>
      <w:lang w:val="en-GB" w:eastAsia="en-US"/>
    </w:rPr>
  </w:style>
  <w:style w:type="character" w:customStyle="1" w:styleId="102">
    <w:name w:val="見出し 2 (文字)"/>
    <w:link w:val="3"/>
    <w:qFormat/>
    <w:uiPriority w:val="0"/>
    <w:rPr>
      <w:rFonts w:ascii="Arial" w:hAnsi="Arial"/>
      <w:sz w:val="32"/>
      <w:lang w:val="en-GB" w:eastAsia="en-US"/>
    </w:rPr>
  </w:style>
  <w:style w:type="character" w:customStyle="1" w:styleId="103">
    <w:name w:val="見出し 3 (文字)"/>
    <w:link w:val="4"/>
    <w:qFormat/>
    <w:uiPriority w:val="0"/>
    <w:rPr>
      <w:rFonts w:ascii="Arial" w:hAnsi="Arial"/>
      <w:sz w:val="28"/>
      <w:lang w:val="en-GB" w:eastAsia="en-US"/>
    </w:rPr>
  </w:style>
  <w:style w:type="character" w:customStyle="1" w:styleId="104">
    <w:name w:val="見出し 4 (文字)"/>
    <w:link w:val="5"/>
    <w:qFormat/>
    <w:uiPriority w:val="0"/>
    <w:rPr>
      <w:rFonts w:ascii="Arial" w:hAnsi="Arial"/>
      <w:sz w:val="24"/>
      <w:lang w:val="en-GB" w:eastAsia="en-US"/>
    </w:rPr>
  </w:style>
  <w:style w:type="character" w:customStyle="1" w:styleId="105">
    <w:name w:val="見出し 5 (文字)"/>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題 (文字)"/>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コメント文字列 (文字)"/>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リスト段落 (文字)"/>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ヘッダー (文字)"/>
    <w:link w:val="37"/>
    <w:qFormat/>
    <w:uiPriority w:val="0"/>
    <w:rPr>
      <w:rFonts w:ascii="Arial" w:hAnsi="Arial"/>
      <w:b/>
      <w:sz w:val="18"/>
      <w:lang w:eastAsia="en-US"/>
    </w:rPr>
  </w:style>
  <w:style w:type="character" w:customStyle="1" w:styleId="127">
    <w:name w:val="図表番号 (文字)"/>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5A558-C7BD-4AFC-A88E-54E62827CE2B}">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customXml/itemProps6.xml><?xml version="1.0" encoding="utf-8"?>
<ds:datastoreItem xmlns:ds="http://schemas.openxmlformats.org/officeDocument/2006/customXml" ds:itemID="{203B90A3-70CD-4A5F-8C68-4D4F7EE1DB24}">
  <ds:schemaRefs/>
</ds:datastoreItem>
</file>

<file path=customXml/itemProps7.xml><?xml version="1.0" encoding="utf-8"?>
<ds:datastoreItem xmlns:ds="http://schemas.openxmlformats.org/officeDocument/2006/customXml" ds:itemID="{154FF9B9-C1C1-42F6-B2A7-B2A603ED264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20</Pages>
  <Words>8152</Words>
  <Characters>46467</Characters>
  <Lines>387</Lines>
  <Paragraphs>109</Paragraphs>
  <TotalTime>0</TotalTime>
  <ScaleCrop>false</ScaleCrop>
  <LinksUpToDate>false</LinksUpToDate>
  <CharactersWithSpaces>54510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2022-02-21T22:28:00Z</dcterms:created>
  <dc:creator>Qualcomm Inc.</dc:creator>
  <cp:lastModifiedBy>ZTE</cp:lastModifiedBy>
  <cp:lastPrinted>2014-11-07T05:38:00Z</cp:lastPrinted>
  <dcterms:modified xsi:type="dcterms:W3CDTF">2022-02-22T03:32:29Z</dcterms:modified>
  <dc:title>3GPP TSG-RAN WG1 #84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