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CF36642"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Microsoft YaHei"/>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Microsoft YaHei"/>
                <w:sz w:val="20"/>
                <w:szCs w:val="20"/>
              </w:rPr>
            </w:pP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support FL proposal 3-3. We have strong opinion on keeping the guard period as is</w:t>
            </w:r>
            <w:r w:rsidR="008C42DF">
              <w:rPr>
                <w:rFonts w:eastAsia="맑은 고딕"/>
                <w:sz w:val="20"/>
                <w:szCs w:val="20"/>
                <w:lang w:eastAsia="ko-KR"/>
              </w:rPr>
              <w:t>.</w:t>
            </w:r>
            <w:r>
              <w:rPr>
                <w:rFonts w:eastAsia="맑은 고딕"/>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In addition, out of the listed alternatives, only Alt 4 address UE timeline requirements for switching antenna ports and changing power in between SRSs and </w:t>
            </w:r>
            <w:r>
              <w:rPr>
                <w:rFonts w:eastAsia="맑은 고딕"/>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맑은 고딕"/>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맑은 고딕"/>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맑은 고딕"/>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맑은 고딕"/>
                <w:sz w:val="20"/>
                <w:szCs w:val="20"/>
                <w:lang w:eastAsia="ko-KR"/>
              </w:rPr>
              <w:t>obtain</w:t>
            </w:r>
            <w:r>
              <w:rPr>
                <w:rFonts w:eastAsia="맑은 고딕"/>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맑은 고딕"/>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맑은 고딕"/>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맑은 고딕"/>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만든 이"/>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w:t>
            </w:r>
            <w:r>
              <w:rPr>
                <w:rFonts w:eastAsia="Microsoft YaHei"/>
                <w:sz w:val="20"/>
                <w:szCs w:val="20"/>
              </w:rPr>
              <w:lastRenderedPageBreak/>
              <w:t>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맑은 고딕"/>
                <w:sz w:val="20"/>
                <w:szCs w:val="20"/>
                <w:lang w:eastAsia="ko-KR"/>
              </w:rPr>
              <w:t>Support Alt 2-1 or Alt 2-2.</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맑은 고딕"/>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맑은 고딕"/>
                <w:sz w:val="20"/>
                <w:szCs w:val="20"/>
                <w:lang w:eastAsia="ko-KR"/>
              </w:rPr>
            </w:pPr>
            <w:r w:rsidRPr="00E55A44">
              <w:rPr>
                <w:rFonts w:eastAsia="맑은 고딕"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맑은 고딕"/>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Okay with FL proposal 4-1. </w:t>
            </w:r>
            <w:r>
              <w:rPr>
                <w:rFonts w:eastAsia="맑은 고딕"/>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맑은 고딕"/>
                <w:sz w:val="20"/>
                <w:szCs w:val="20"/>
                <w:lang w:eastAsia="ko-KR"/>
              </w:rPr>
            </w:pPr>
            <w:r>
              <w:rPr>
                <w:rFonts w:eastAsia="Microsoft YaHei"/>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맑은 고딕"/>
                <w:i/>
                <w:iCs/>
                <w:sz w:val="20"/>
                <w:szCs w:val="20"/>
                <w:lang w:eastAsia="ko-KR"/>
              </w:rPr>
            </w:pPr>
            <w:r w:rsidRPr="00C222F0">
              <w:rPr>
                <w:rFonts w:eastAsia="맑은 고딕"/>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RPFS should be </w:t>
            </w:r>
            <w:r w:rsidRPr="00CC6B7F">
              <w:rPr>
                <w:rFonts w:eastAsia="맑은 고딕"/>
                <w:sz w:val="20"/>
                <w:szCs w:val="20"/>
                <w:lang w:eastAsia="ko-KR"/>
              </w:rPr>
              <w:t>applicable for both frequency hopping and non-frequency hopping cases.</w:t>
            </w:r>
            <w:r>
              <w:rPr>
                <w:rFonts w:eastAsia="맑은 고딕"/>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맑은 고딕"/>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맑은 고딕"/>
                <w:sz w:val="20"/>
                <w:szCs w:val="20"/>
                <w:lang w:eastAsia="ko-KR"/>
              </w:rPr>
              <w:t>capacity and coverage</w:t>
            </w:r>
            <w:r>
              <w:rPr>
                <w:rFonts w:eastAsia="맑은 고딕"/>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맑은 고딕"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We are fine with either supporting of RPFS for both cases or supporting of RPFS only for frequency hopping case.</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A96259"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A96259"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slightly prefer not to introduce new max CS numbers just for RPFS. This may be done by adding UE assumption that a PF value leading to </w:t>
            </w:r>
            <w:r w:rsidR="00FC424D">
              <w:rPr>
                <w:rFonts w:eastAsia="맑은 고딕"/>
                <w:sz w:val="20"/>
                <w:szCs w:val="20"/>
                <w:lang w:eastAsia="ko-KR"/>
              </w:rPr>
              <w:t xml:space="preserve">a sequence length incompatible with the existing max CS number is not expected. We are also open to </w:t>
            </w:r>
            <w:r w:rsidR="00FC424D">
              <w:rPr>
                <w:rFonts w:eastAsia="맑은 고딕"/>
                <w:sz w:val="20"/>
                <w:szCs w:val="20"/>
                <w:lang w:eastAsia="ko-KR"/>
              </w:rPr>
              <w:lastRenderedPageBreak/>
              <w:t>other simple solutions</w:t>
            </w:r>
            <w:r w:rsidR="00551BAE">
              <w:rPr>
                <w:rFonts w:eastAsia="맑은 고딕"/>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There is a way to solve this issue by gNB implementation. For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ap</m:t>
                  </m:r>
                </m:sub>
                <m:sup>
                  <m:r>
                    <w:rPr>
                      <w:rFonts w:ascii="Cambria Math" w:eastAsia="맑은 고딕" w:hAnsi="Cambria Math"/>
                      <w:sz w:val="20"/>
                      <w:szCs w:val="20"/>
                      <w:lang w:eastAsia="ko-KR"/>
                    </w:rPr>
                    <m:t>SRS</m:t>
                  </m:r>
                </m:sup>
              </m:sSubSup>
              <m:r>
                <m:rPr>
                  <m:sty m:val="p"/>
                </m:rPr>
                <w:rPr>
                  <w:rFonts w:ascii="Cambria Math" w:eastAsia="맑은 고딕" w:hAnsi="Cambria Math"/>
                  <w:sz w:val="20"/>
                  <w:szCs w:val="20"/>
                  <w:lang w:eastAsia="ko-KR"/>
                </w:rPr>
                <m:t xml:space="preserve">=4, </m:t>
              </m:r>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m:t>
              </m:r>
              <m:f>
                <m:fPr>
                  <m:ctrlPr>
                    <w:rPr>
                      <w:rFonts w:ascii="Cambria Math" w:eastAsia="맑은 고딕" w:hAnsi="Cambria Math"/>
                      <w:sz w:val="20"/>
                      <w:szCs w:val="20"/>
                      <w:lang w:eastAsia="ko-KR"/>
                    </w:rPr>
                  </m:ctrlPr>
                </m:fPr>
                <m:num>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num>
                <m:den>
                  <m:r>
                    <m:rPr>
                      <m:sty m:val="p"/>
                    </m:rPr>
                    <w:rPr>
                      <w:rFonts w:ascii="Cambria Math" w:eastAsia="맑은 고딕" w:hAnsi="Cambria Math"/>
                      <w:sz w:val="20"/>
                      <w:szCs w:val="20"/>
                      <w:lang w:eastAsia="ko-KR"/>
                    </w:rPr>
                    <m:t>2</m:t>
                  </m:r>
                </m:den>
              </m:f>
              <m:r>
                <m:rPr>
                  <m:sty m:val="p"/>
                </m:rPr>
                <w:rPr>
                  <w:rFonts w:ascii="Cambria Math" w:eastAsia="맑은 고딕" w:hAnsi="Cambria Math"/>
                  <w:sz w:val="20"/>
                  <w:szCs w:val="20"/>
                  <w:lang w:eastAsia="ko-KR"/>
                </w:rPr>
                <m:t xml:space="preserve"> </m:t>
              </m:r>
            </m:oMath>
            <w:r>
              <w:rPr>
                <w:rFonts w:eastAsia="맑은 고딕"/>
                <w:sz w:val="20"/>
                <w:szCs w:val="20"/>
                <w:lang w:eastAsia="ko-KR"/>
              </w:rPr>
              <w:t xml:space="preserve">, the 4 ports are multiplexed over two combs. Taking the example by NEC </w:t>
            </w:r>
            <w:r w:rsidRPr="00F96209">
              <w:rPr>
                <w:rFonts w:eastAsia="맑은 고딕"/>
                <w:sz w:val="20"/>
                <w:szCs w:val="20"/>
                <w:lang w:eastAsia="ko-KR"/>
              </w:rPr>
              <w:t>(</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m</m:t>
                  </m:r>
                </m:e>
                <m:sub>
                  <m:r>
                    <w:rPr>
                      <w:rFonts w:ascii="Cambria Math" w:eastAsia="맑은 고딕" w:hAnsi="Cambria Math"/>
                      <w:sz w:val="20"/>
                      <w:szCs w:val="20"/>
                      <w:lang w:eastAsia="ko-KR"/>
                    </w:rPr>
                    <m:t>SRS</m:t>
                  </m:r>
                  <m:r>
                    <m:rPr>
                      <m:sty m:val="p"/>
                    </m:rPr>
                    <w:rPr>
                      <w:rFonts w:ascii="Cambria Math" w:eastAsia="맑은 고딕" w:hAnsi="Cambria Math"/>
                      <w:sz w:val="20"/>
                      <w:szCs w:val="20"/>
                      <w:lang w:eastAsia="ko-KR"/>
                    </w:rPr>
                    <m:t>, </m:t>
                  </m:r>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B</m:t>
                      </m:r>
                    </m:e>
                    <m:sub>
                      <m:r>
                        <w:rPr>
                          <w:rFonts w:ascii="Cambria Math" w:eastAsia="맑은 고딕" w:hAnsi="Cambria Math"/>
                          <w:sz w:val="20"/>
                          <w:szCs w:val="20"/>
                          <w:lang w:eastAsia="ko-KR"/>
                        </w:rPr>
                        <m:t>SRS</m:t>
                      </m:r>
                    </m:sub>
                  </m:sSub>
                </m:sub>
              </m:sSub>
            </m:oMath>
            <w:r w:rsidRPr="00F96209">
              <w:rPr>
                <w:rFonts w:eastAsia="맑은 고딕" w:hint="eastAsia"/>
                <w:sz w:val="20"/>
                <w:szCs w:val="20"/>
                <w:lang w:eastAsia="ko-KR"/>
              </w:rPr>
              <w:t xml:space="preserve"> </w:t>
            </w:r>
            <w:r w:rsidRPr="00F96209">
              <w:rPr>
                <w:rFonts w:eastAsia="맑은 고딕"/>
                <w:sz w:val="20"/>
                <w:szCs w:val="20"/>
                <w:lang w:eastAsia="ko-KR"/>
              </w:rPr>
              <w:t xml:space="preserve">= 20,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P</m:t>
                  </m:r>
                </m:e>
                <m:sub>
                  <m:r>
                    <m:rPr>
                      <m:nor/>
                    </m:rPr>
                    <w:rPr>
                      <w:rFonts w:eastAsia="맑은 고딕"/>
                      <w:sz w:val="20"/>
                      <w:szCs w:val="20"/>
                      <w:lang w:eastAsia="ko-KR"/>
                    </w:rPr>
                    <m:t>F</m:t>
                  </m:r>
                </m:sub>
              </m:sSub>
            </m:oMath>
            <w:r w:rsidRPr="00F96209">
              <w:rPr>
                <w:rFonts w:eastAsia="맑은 고딕"/>
                <w:sz w:val="20"/>
                <w:szCs w:val="20"/>
                <w:lang w:eastAsia="ko-KR"/>
              </w:rPr>
              <w:t xml:space="preserve">=4,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Pr="00F96209">
              <w:rPr>
                <w:rFonts w:eastAsia="맑은 고딕" w:hint="eastAsia"/>
                <w:sz w:val="20"/>
                <w:szCs w:val="20"/>
                <w:lang w:eastAsia="ko-KR"/>
              </w:rPr>
              <w:t xml:space="preserve"> </w:t>
            </w:r>
            <w:r w:rsidRPr="00F96209">
              <w:rPr>
                <w:rFonts w:eastAsia="맑은 고딕"/>
                <w:sz w:val="20"/>
                <w:szCs w:val="20"/>
                <w:lang w:eastAsia="ko-KR"/>
              </w:rPr>
              <w:t>= 2)</w:t>
            </w:r>
            <w:r>
              <w:rPr>
                <w:rFonts w:eastAsia="맑은 고딕"/>
                <w:sz w:val="20"/>
                <w:szCs w:val="20"/>
                <w:lang w:eastAsia="ko-KR"/>
              </w:rPr>
              <w:t xml:space="preserve"> and</w:t>
            </w:r>
            <w:r w:rsidRPr="00F96209">
              <w:rPr>
                <w:rFonts w:eastAsia="맑은 고딕"/>
                <w:sz w:val="20"/>
                <w:szCs w:val="20"/>
                <w:lang w:eastAsia="ko-KR"/>
              </w:rPr>
              <w:t xml:space="preserve"> following 38.211 CS and port-mapping</w:t>
            </w:r>
            <w:r>
              <w:rPr>
                <w:rFonts w:eastAsia="맑은 고딕"/>
                <w:sz w:val="20"/>
                <w:szCs w:val="20"/>
                <w:lang w:eastAsia="ko-KR"/>
              </w:rPr>
              <w:t xml:space="preserve"> when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w:rPr>
                      <w:rFonts w:ascii="Cambria Math" w:eastAsia="맑은 고딕" w:hAnsi="Cambria Math"/>
                      <w:sz w:val="20"/>
                      <w:szCs w:val="20"/>
                      <w:lang w:eastAsia="ko-KR"/>
                    </w:rPr>
                    <m:t>SRS</m:t>
                  </m:r>
                </m:sub>
                <m:sup>
                  <m:r>
                    <w:rPr>
                      <w:rFonts w:ascii="Cambria Math" w:eastAsia="맑은 고딕" w:hAnsi="Cambria Math"/>
                      <w:sz w:val="20"/>
                      <w:szCs w:val="20"/>
                      <w:lang w:eastAsia="ko-KR"/>
                    </w:rPr>
                    <m:t>CS</m:t>
                  </m:r>
                </m:sup>
              </m:sSubSup>
              <m:r>
                <m:rPr>
                  <m:sty m:val="p"/>
                </m:rPr>
                <w:rPr>
                  <w:rFonts w:ascii="Cambria Math" w:eastAsia="맑은 고딕" w:hAnsi="Cambria Math"/>
                  <w:sz w:val="20"/>
                  <w:szCs w:val="20"/>
                  <w:lang w:eastAsia="ko-KR"/>
                </w:rPr>
                <m:t>=4,</m:t>
              </m:r>
            </m:oMath>
            <w:r>
              <w:rPr>
                <w:rFonts w:eastAsia="맑은 고딕"/>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m:rPr>
                  <m:sty m:val="p"/>
                </m:rPr>
                <w:rPr>
                  <w:rFonts w:ascii="Cambria Math" w:eastAsia="맑은 고딕" w:hAnsi="Cambria Math"/>
                  <w:sz w:val="20"/>
                  <w:szCs w:val="20"/>
                  <w:lang w:eastAsia="ko-KR"/>
                </w:rPr>
                <m:t>=8</m:t>
              </m:r>
              <m:r>
                <w:rPr>
                  <w:rFonts w:ascii="Cambria Math" w:eastAsia="맑은 고딕"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맑은 고딕"/>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m:t>
              </m:r>
            </m:oMath>
            <w:r>
              <w:rPr>
                <w:rFonts w:eastAsiaTheme="minorEastAsia"/>
                <w:sz w:val="20"/>
                <w:szCs w:val="20"/>
              </w:rPr>
              <w:t xml:space="preserve">6. But for RPFS UE,  </w:t>
            </w:r>
            <m:oMath>
              <m:sSub>
                <m:sSubPr>
                  <m:ctrlPr>
                    <w:rPr>
                      <w:rFonts w:ascii="Cambria Math" w:eastAsia="맑은 고딕" w:hAnsi="Cambria Math"/>
                      <w:sz w:val="20"/>
                      <w:szCs w:val="20"/>
                      <w:lang w:eastAsia="ko-KR"/>
                    </w:rPr>
                  </m:ctrlPr>
                </m:sSubPr>
                <m:e>
                  <m:r>
                    <w:rPr>
                      <w:rFonts w:ascii="Cambria Math" w:eastAsia="맑은 고딕" w:hAnsi="Cambria Math"/>
                      <w:sz w:val="20"/>
                      <w:szCs w:val="20"/>
                      <w:lang w:eastAsia="ko-KR"/>
                    </w:rPr>
                    <m:t>K</m:t>
                  </m:r>
                </m:e>
                <m:sub>
                  <m:r>
                    <m:rPr>
                      <m:nor/>
                    </m:rPr>
                    <w:rPr>
                      <w:rFonts w:eastAsia="맑은 고딕"/>
                      <w:sz w:val="20"/>
                      <w:szCs w:val="20"/>
                      <w:lang w:eastAsia="ko-KR"/>
                    </w:rPr>
                    <m:t>TC</m:t>
                  </m:r>
                </m:sub>
              </m:sSub>
              <m:r>
                <w:rPr>
                  <w:rFonts w:ascii="Cambria Math" w:eastAsia="맑은 고딕"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맑은 고딕" w:hAnsi="Cambria Math"/>
                      <w:sz w:val="20"/>
                      <w:szCs w:val="20"/>
                      <w:lang w:eastAsia="ko-KR"/>
                    </w:rPr>
                  </m:ctrlPr>
                </m:sSubSupPr>
                <m:e>
                  <m:r>
                    <w:rPr>
                      <w:rFonts w:ascii="Cambria Math" w:eastAsia="맑은 고딕" w:hAnsi="Cambria Math"/>
                      <w:sz w:val="20"/>
                      <w:szCs w:val="20"/>
                      <w:lang w:eastAsia="ko-KR"/>
                    </w:rPr>
                    <m:t>n</m:t>
                  </m:r>
                </m:e>
                <m:sub>
                  <m:r>
                    <m:rPr>
                      <m:nor/>
                    </m:rPr>
                    <w:rPr>
                      <w:rFonts w:eastAsia="맑은 고딕"/>
                      <w:sz w:val="20"/>
                      <w:szCs w:val="20"/>
                      <w:lang w:eastAsia="ko-KR"/>
                    </w:rPr>
                    <m:t>SRS</m:t>
                  </m:r>
                </m:sub>
                <m:sup>
                  <m:r>
                    <m:rPr>
                      <m:nor/>
                    </m:rPr>
                    <w:rPr>
                      <w:rFonts w:eastAsia="맑은 고딕"/>
                      <w:sz w:val="20"/>
                      <w:szCs w:val="20"/>
                      <w:lang w:eastAsia="ko-KR"/>
                    </w:rPr>
                    <m:t>cs,max</m:t>
                  </m:r>
                </m:sup>
              </m:sSubSup>
              <m:r>
                <w:rPr>
                  <w:rFonts w:ascii="Cambria Math" w:eastAsia="맑은 고딕"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3659DE">
        <w:tc>
          <w:tcPr>
            <w:tcW w:w="2405"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A96259"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맑은 고딕"/>
                <w:sz w:val="20"/>
                <w:szCs w:val="20"/>
                <w:lang w:eastAsia="ko-KR"/>
              </w:rPr>
              <w:t>We are also open to solve this issue by gNB implementation although it is not perfect solution</w:t>
            </w:r>
          </w:p>
        </w:tc>
      </w:tr>
      <w:tr w:rsidR="00975E13" w14:paraId="1EAC8E03" w14:textId="77777777" w:rsidTr="003659DE">
        <w:tc>
          <w:tcPr>
            <w:tcW w:w="2405"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Samsung</w:t>
            </w:r>
          </w:p>
        </w:tc>
        <w:tc>
          <w:tcPr>
            <w:tcW w:w="6945"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We are fine either FL proposal or OPPO</w:t>
            </w:r>
            <w:r>
              <w:rPr>
                <w:rFonts w:eastAsia="맑은 고딕"/>
                <w:sz w:val="20"/>
                <w:szCs w:val="20"/>
                <w:lang w:eastAsia="ko-KR"/>
              </w:rPr>
              <w:t>’s suggestion.</w:t>
            </w:r>
          </w:p>
        </w:tc>
      </w:tr>
      <w:tr w:rsidR="008C11AE" w14:paraId="1B395F2E" w14:textId="77777777" w:rsidTr="003659DE">
        <w:tc>
          <w:tcPr>
            <w:tcW w:w="2405" w:type="dxa"/>
          </w:tcPr>
          <w:p w14:paraId="0B2C63D9" w14:textId="3657F101" w:rsidR="008C11AE" w:rsidRDefault="008C11AE" w:rsidP="008C11AE">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맑은 고딕"/>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3659DE">
        <w:tc>
          <w:tcPr>
            <w:tcW w:w="2405"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AAF5A4" w14:textId="77777777" w:rsidR="005A57A9" w:rsidRDefault="005A57A9" w:rsidP="005A57A9">
            <w:pPr>
              <w:widowControl w:val="0"/>
              <w:snapToGrid w:val="0"/>
              <w:spacing w:before="120" w:after="120" w:line="240" w:lineRule="auto"/>
              <w:rPr>
                <w:rFonts w:eastAsia="맑은 고딕"/>
                <w:sz w:val="20"/>
                <w:szCs w:val="20"/>
                <w:lang w:eastAsia="ko-KR"/>
              </w:rPr>
            </w:pPr>
            <w:r>
              <w:rPr>
                <w:rFonts w:eastAsia="맑은 고딕"/>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맑은 고딕"/>
                <w:sz w:val="20"/>
                <w:szCs w:val="20"/>
                <w:lang w:eastAsia="ko-KR"/>
              </w:rPr>
              <w:t>We prefer to address this issue by implementation.</w:t>
            </w:r>
          </w:p>
        </w:tc>
      </w:tr>
      <w:tr w:rsidR="00B03858" w14:paraId="706DA49B" w14:textId="77777777" w:rsidTr="003659DE">
        <w:tc>
          <w:tcPr>
            <w:tcW w:w="2405"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84BD66B" w14:textId="4D2250CA" w:rsidR="00B03858" w:rsidRDefault="00B03858" w:rsidP="00B03858">
            <w:pPr>
              <w:widowControl w:val="0"/>
              <w:snapToGrid w:val="0"/>
              <w:spacing w:before="120" w:after="120" w:line="240" w:lineRule="auto"/>
              <w:rPr>
                <w:rFonts w:eastAsia="맑은 고딕"/>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Thank you for the discussion. </w:t>
            </w:r>
            <w:r w:rsidR="00877292">
              <w:rPr>
                <w:rFonts w:eastAsia="맑은 고딕"/>
                <w:sz w:val="20"/>
                <w:szCs w:val="20"/>
                <w:lang w:eastAsia="ko-KR"/>
              </w:rPr>
              <w:t xml:space="preserve">The 212 clause only specifies how to determine the SOI bit width, but it does not describe the UE behavior of following R15/16 </w:t>
            </w:r>
            <w:r w:rsidR="00DD0D8C">
              <w:rPr>
                <w:rFonts w:eastAsia="맑은 고딕"/>
                <w:sz w:val="20"/>
                <w:szCs w:val="20"/>
                <w:lang w:eastAsia="ko-KR"/>
              </w:rPr>
              <w:t>or</w:t>
            </w:r>
            <w:r w:rsidR="00877292">
              <w:rPr>
                <w:rFonts w:eastAsia="맑은 고딕"/>
                <w:sz w:val="20"/>
                <w:szCs w:val="20"/>
                <w:lang w:eastAsia="ko-KR"/>
              </w:rPr>
              <w:t xml:space="preserve"> R17</w:t>
            </w:r>
            <w:r w:rsidR="001C4D4F">
              <w:rPr>
                <w:rFonts w:eastAsia="맑은 고딕"/>
                <w:sz w:val="20"/>
                <w:szCs w:val="20"/>
                <w:lang w:eastAsia="ko-KR"/>
              </w:rPr>
              <w:t xml:space="preserve"> for the slot offset determination</w:t>
            </w:r>
            <w:r w:rsidR="00877292">
              <w:rPr>
                <w:rFonts w:eastAsia="맑은 고딕"/>
                <w:sz w:val="20"/>
                <w:szCs w:val="20"/>
                <w:lang w:eastAsia="ko-KR"/>
              </w:rPr>
              <w:t xml:space="preserve">. Note that the SOI bit width cannot determine whether the UE should follow R15/16 or not, as 0 bit may be for </w:t>
            </w:r>
            <w:r w:rsidR="007138C2">
              <w:rPr>
                <w:rFonts w:eastAsia="맑은 고딕"/>
                <w:sz w:val="20"/>
                <w:szCs w:val="20"/>
                <w:lang w:eastAsia="ko-KR"/>
              </w:rPr>
              <w:t>zero</w:t>
            </w:r>
            <w:r w:rsidR="00877292">
              <w:rPr>
                <w:rFonts w:eastAsia="맑은 고딕"/>
                <w:sz w:val="20"/>
                <w:szCs w:val="20"/>
                <w:lang w:eastAsia="ko-KR"/>
              </w:rPr>
              <w:t xml:space="preserve"> available slot offset (then use R15/16) or max 1 available slot offset (then use R17). Th</w:t>
            </w:r>
            <w:r w:rsidR="00DD0D8C">
              <w:rPr>
                <w:rFonts w:eastAsia="맑은 고딕"/>
                <w:sz w:val="20"/>
                <w:szCs w:val="20"/>
                <w:lang w:eastAsia="ko-KR"/>
              </w:rPr>
              <w:t>us the</w:t>
            </w:r>
            <w:r w:rsidR="00877292">
              <w:rPr>
                <w:rFonts w:eastAsia="맑은 고딕"/>
                <w:sz w:val="20"/>
                <w:szCs w:val="20"/>
                <w:lang w:eastAsia="ko-KR"/>
              </w:rPr>
              <w:t xml:space="preserve"> UE </w:t>
            </w:r>
            <w:r w:rsidR="00877292">
              <w:rPr>
                <w:rFonts w:eastAsia="맑은 고딕"/>
                <w:sz w:val="20"/>
                <w:szCs w:val="20"/>
                <w:lang w:eastAsia="ko-KR"/>
              </w:rPr>
              <w:lastRenderedPageBreak/>
              <w:t xml:space="preserve">cannot decide the correct behavior </w:t>
            </w:r>
            <w:r w:rsidR="001C4D4F">
              <w:rPr>
                <w:rFonts w:eastAsia="맑은 고딕"/>
                <w:sz w:val="20"/>
                <w:szCs w:val="20"/>
                <w:lang w:eastAsia="ko-KR"/>
              </w:rPr>
              <w:t xml:space="preserve">only based on </w:t>
            </w:r>
            <w:r w:rsidR="00877292">
              <w:rPr>
                <w:rFonts w:eastAsia="맑은 고딕"/>
                <w:sz w:val="20"/>
                <w:szCs w:val="20"/>
                <w:lang w:eastAsia="ko-KR"/>
              </w:rPr>
              <w:t xml:space="preserve">212. The UE cannot </w:t>
            </w:r>
            <w:r w:rsidR="002F53A3">
              <w:rPr>
                <w:rFonts w:eastAsia="맑은 고딕"/>
                <w:sz w:val="20"/>
                <w:szCs w:val="20"/>
                <w:lang w:eastAsia="ko-KR"/>
              </w:rPr>
              <w:t>infer</w:t>
            </w:r>
            <w:r w:rsidR="00877292">
              <w:rPr>
                <w:rFonts w:eastAsia="맑은 고딕"/>
                <w:sz w:val="20"/>
                <w:szCs w:val="20"/>
                <w:lang w:eastAsia="ko-KR"/>
              </w:rPr>
              <w:t xml:space="preserve"> the correct behavior from 214 as well, as “in a component carrier” </w:t>
            </w:r>
            <w:r w:rsidR="00DD0D8C">
              <w:rPr>
                <w:rFonts w:eastAsia="맑은 고딕"/>
                <w:sz w:val="20"/>
                <w:szCs w:val="20"/>
                <w:lang w:eastAsia="ko-KR"/>
              </w:rPr>
              <w:t>uses the indefinite article “a”</w:t>
            </w:r>
            <w:r w:rsidR="00A818F5">
              <w:rPr>
                <w:rFonts w:eastAsia="맑은 고딕"/>
                <w:sz w:val="20"/>
                <w:szCs w:val="20"/>
                <w:lang w:eastAsia="ko-KR"/>
              </w:rPr>
              <w:t xml:space="preserve"> without any additional limitation</w:t>
            </w:r>
            <w:r w:rsidR="00DD0D8C">
              <w:rPr>
                <w:rFonts w:eastAsia="맑은 고딕"/>
                <w:sz w:val="20"/>
                <w:szCs w:val="20"/>
                <w:lang w:eastAsia="ko-KR"/>
              </w:rPr>
              <w:t xml:space="preserve">, so in the case of multiple component carrier, it is unclear which </w:t>
            </w:r>
            <w:r w:rsidR="007138C2">
              <w:rPr>
                <w:rFonts w:eastAsia="맑은 고딕"/>
                <w:sz w:val="20"/>
                <w:szCs w:val="20"/>
                <w:lang w:eastAsia="ko-KR"/>
              </w:rPr>
              <w:t>CC</w:t>
            </w:r>
            <w:r w:rsidR="00DD0D8C">
              <w:rPr>
                <w:rFonts w:eastAsia="맑은 고딕"/>
                <w:sz w:val="20"/>
                <w:szCs w:val="20"/>
                <w:lang w:eastAsia="ko-KR"/>
              </w:rPr>
              <w:t xml:space="preserve"> it is referring to.</w:t>
            </w:r>
            <w:r w:rsidR="0006721C">
              <w:rPr>
                <w:rFonts w:eastAsia="맑은 고딕"/>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맑은 고딕"/>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T</w:t>
            </w:r>
            <w:r w:rsidR="00AF550D">
              <w:rPr>
                <w:rFonts w:eastAsia="맑은 고딕"/>
                <w:sz w:val="20"/>
                <w:szCs w:val="20"/>
                <w:lang w:eastAsia="ko-KR"/>
              </w:rPr>
              <w:t>he agreement and current spec texts are</w:t>
            </w:r>
            <w:r w:rsidR="000A2604">
              <w:rPr>
                <w:rFonts w:eastAsia="맑은 고딕"/>
                <w:sz w:val="20"/>
                <w:szCs w:val="20"/>
                <w:lang w:eastAsia="ko-KR"/>
              </w:rPr>
              <w:t xml:space="preserve"> provided below. </w:t>
            </w:r>
            <w:r w:rsidR="007138C2">
              <w:rPr>
                <w:rFonts w:eastAsia="맑은 고딕"/>
                <w:sz w:val="20"/>
                <w:szCs w:val="20"/>
                <w:lang w:eastAsia="ko-KR"/>
              </w:rPr>
              <w:t xml:space="preserve">The agreement clearly says “in a CC </w:t>
            </w:r>
            <w:r w:rsidR="007138C2" w:rsidRPr="007138C2">
              <w:rPr>
                <w:rFonts w:eastAsia="맑은 고딕"/>
                <w:color w:val="FF0000"/>
                <w:sz w:val="20"/>
                <w:szCs w:val="20"/>
                <w:lang w:eastAsia="ko-KR"/>
              </w:rPr>
              <w:t>for SRS transmission</w:t>
            </w:r>
            <w:r w:rsidR="007138C2">
              <w:rPr>
                <w:rFonts w:eastAsia="맑은 고딕"/>
                <w:sz w:val="20"/>
                <w:szCs w:val="20"/>
                <w:lang w:eastAsia="ko-KR"/>
              </w:rPr>
              <w:t xml:space="preserve">” but the </w:t>
            </w:r>
            <w:r w:rsidR="007138C2" w:rsidRPr="007138C2">
              <w:rPr>
                <w:rFonts w:eastAsia="맑은 고딕"/>
                <w:color w:val="FF0000"/>
                <w:sz w:val="20"/>
                <w:szCs w:val="20"/>
                <w:lang w:eastAsia="ko-KR"/>
              </w:rPr>
              <w:t xml:space="preserve">red </w:t>
            </w:r>
            <w:r w:rsidR="007138C2">
              <w:rPr>
                <w:rFonts w:eastAsia="맑은 고딕"/>
                <w:sz w:val="20"/>
                <w:szCs w:val="20"/>
                <w:lang w:eastAsia="ko-KR"/>
              </w:rPr>
              <w:t xml:space="preserve">part is missing from </w:t>
            </w:r>
            <w:r w:rsidR="001D7798">
              <w:rPr>
                <w:rFonts w:eastAsia="맑은 고딕"/>
                <w:sz w:val="20"/>
                <w:szCs w:val="20"/>
                <w:lang w:eastAsia="ko-KR"/>
              </w:rPr>
              <w:t>214</w:t>
            </w:r>
            <w:r w:rsidR="007138C2">
              <w:rPr>
                <w:rFonts w:eastAsia="맑은 고딕"/>
                <w:sz w:val="20"/>
                <w:szCs w:val="20"/>
                <w:lang w:eastAsia="ko-KR"/>
              </w:rPr>
              <w:t xml:space="preserve">. All we ask is to accurately reflect the agreement. </w:t>
            </w:r>
            <w:r w:rsidR="009B304B">
              <w:rPr>
                <w:rFonts w:eastAsia="맑은 고딕"/>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맑은 고딕"/>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맑은 고딕"/>
                <w:sz w:val="16"/>
                <w:szCs w:val="16"/>
                <w:lang w:eastAsia="ko-KR"/>
              </w:rPr>
            </w:pPr>
            <w:r w:rsidRPr="007138C2">
              <w:rPr>
                <w:rFonts w:eastAsia="맑은 고딕"/>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6pt;height:39.75pt" o:ole="">
                  <v:imagedata r:id="rId9" o:title=""/>
                </v:shape>
                <o:OLEObject Type="Embed" ProgID="Equation.DSMT4" ShapeID="_x0000_i1025" DrawAspect="Content" ObjectID="_1707164068" r:id="rId10"/>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맑은 고딕"/>
                <w:sz w:val="16"/>
                <w:szCs w:val="16"/>
                <w:lang w:val="en-GB" w:eastAsia="ko-KR"/>
              </w:rPr>
            </w:pPr>
            <w:r w:rsidRPr="007138C2">
              <w:rPr>
                <w:rFonts w:eastAsia="맑은 고딕"/>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w:t>
            </w:r>
            <w:r w:rsidRPr="00B471EF">
              <w:rPr>
                <w:rFonts w:eastAsia="等线"/>
                <w:iCs/>
                <w:color w:val="000000"/>
                <w:sz w:val="16"/>
                <w:szCs w:val="16"/>
                <w:lang w:val="en-AU" w:eastAsia="en-US"/>
              </w:rPr>
              <w:lastRenderedPageBreak/>
              <w:t xml:space="preserve">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3.6pt;height:39.75pt" o:ole="">
                  <v:imagedata r:id="rId9" o:title=""/>
                </v:shape>
                <o:OLEObject Type="Embed" ProgID="Equation.DSMT4" ShapeID="_x0000_i1026" DrawAspect="Content" ObjectID="_1707164069"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ko-KR"/>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맑은 고딕"/>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5.8pt;height:16.1pt" o:ole="">
                        <v:imagedata r:id="rId13" o:title=""/>
                      </v:shape>
                      <o:OLEObject Type="Embed" ProgID="Equation.DSMT4" ShapeID="_x0000_i1027" DrawAspect="Content" ObjectID="_1707164070" r:id="rId14"/>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5.8pt;height:16.1pt" o:ole="">
                        <v:imagedata r:id="rId13" o:title=""/>
                      </v:shape>
                      <o:OLEObject Type="Embed" ProgID="Equation.DSMT4" ShapeID="_x0000_i1028" DrawAspect="Content" ObjectID="_1707164071" r:id="rId15"/>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만든 이">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Since it seems that current spec is already clear, w</w:t>
            </w:r>
            <w:r>
              <w:rPr>
                <w:rFonts w:eastAsia="맑은 고딕"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맑은 고딕"/>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lastRenderedPageBreak/>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맑은 고딕"/>
                <w:sz w:val="20"/>
                <w:szCs w:val="20"/>
                <w:lang w:eastAsia="ko-KR"/>
              </w:rPr>
              <w:t>Agree with FL’s assessment and Qualcomm’s view.</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만든 이">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만든 이">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만든 이">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맑은 고딕"/>
                <w:sz w:val="20"/>
                <w:szCs w:val="20"/>
                <w:lang w:eastAsia="ko-KR"/>
              </w:rPr>
              <w:t>We think that c</w:t>
            </w:r>
            <w:r>
              <w:rPr>
                <w:rFonts w:eastAsia="맑은 고딕" w:hint="eastAsia"/>
                <w:sz w:val="20"/>
                <w:szCs w:val="20"/>
                <w:lang w:eastAsia="ko-KR"/>
              </w:rPr>
              <w:t xml:space="preserve">onfiguring </w:t>
            </w:r>
            <w:r>
              <w:rPr>
                <w:rFonts w:eastAsia="맑은 고딕"/>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맑은 고딕"/>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맑은 고딕"/>
                <w:sz w:val="20"/>
                <w:szCs w:val="20"/>
                <w:lang w:eastAsia="ko-KR"/>
              </w:rPr>
              <w:t>OK</w:t>
            </w:r>
            <w:r>
              <w:rPr>
                <w:rFonts w:eastAsia="Microsoft YaHei"/>
                <w:sz w:val="20"/>
                <w:szCs w:val="20"/>
              </w:rPr>
              <w:t xml:space="preserve"> with the TP. </w:t>
            </w:r>
            <w:r>
              <w:rPr>
                <w:rFonts w:eastAsia="맑은 고딕"/>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also open to discuss, but the same value</w:t>
            </w:r>
            <w:r w:rsidR="00424EDD">
              <w:rPr>
                <w:rFonts w:eastAsia="맑은 고딕" w:hint="eastAsia"/>
                <w:sz w:val="20"/>
                <w:szCs w:val="20"/>
                <w:lang w:eastAsia="ko-KR"/>
              </w:rPr>
              <w:t>s</w:t>
            </w:r>
            <w:r>
              <w:rPr>
                <w:rFonts w:eastAsia="맑은 고딕"/>
                <w:sz w:val="20"/>
                <w:szCs w:val="20"/>
                <w:lang w:eastAsia="ko-KR"/>
              </w:rPr>
              <w:t xml:space="preserve"> of</w:t>
            </w:r>
            <w:bookmarkStart w:id="16" w:name="_GoBack"/>
            <w:bookmarkEnd w:id="16"/>
            <w:r>
              <w:rPr>
                <w:rFonts w:eastAsia="맑은 고딕"/>
                <w:sz w:val="20"/>
                <w:szCs w:val="20"/>
                <w:lang w:eastAsia="ko-KR"/>
              </w:rPr>
              <w:t xml:space="preserve"> available slot offset for a single SRS resource set is valid only for when multiple sets are triggered simultaneously </w:t>
            </w:r>
            <w:r>
              <w:rPr>
                <w:rFonts w:eastAsia="맑은 고딕"/>
                <w:sz w:val="20"/>
                <w:szCs w:val="20"/>
                <w:lang w:eastAsia="ko-KR"/>
              </w:rPr>
              <w:lastRenderedPageBreak/>
              <w:t>with ‘usage’ of antenna switching. It seems not essential at this stage.</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만든 이">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For 1T</w:t>
                  </w:r>
                  <w:r>
                    <w:rPr>
                      <w:rFonts w:eastAsia="맑은 고딕"/>
                      <w:sz w:val="20"/>
                      <w:szCs w:val="20"/>
                      <w:lang w:eastAsia="ko-KR"/>
                    </w:rPr>
                    <w:t>8</w:t>
                  </w:r>
                  <w:r w:rsidRPr="00B25A30">
                    <w:rPr>
                      <w:rFonts w:eastAsia="맑은 고딕"/>
                      <w:sz w:val="20"/>
                      <w:szCs w:val="20"/>
                      <w:lang w:eastAsia="ko-KR"/>
                    </w:rPr>
                    <w:t xml:space="preserve">R, zero or one SRS resource set configured with resourceType in SRS-ResourceSet set to ‘periodic’, where in the case of one resource set has </w:t>
                  </w:r>
                  <w:r>
                    <w:rPr>
                      <w:rFonts w:eastAsia="맑은 고딕"/>
                      <w:sz w:val="20"/>
                      <w:szCs w:val="20"/>
                      <w:lang w:eastAsia="ko-KR"/>
                    </w:rPr>
                    <w:t>eight</w:t>
                  </w:r>
                  <w:r w:rsidRPr="00B25A30">
                    <w:rPr>
                      <w:rFonts w:eastAsia="맑은 고딕"/>
                      <w:sz w:val="20"/>
                      <w:szCs w:val="20"/>
                      <w:lang w:eastAsia="ko-KR"/>
                    </w:rPr>
                    <w:t xml:space="preserve"> SRS resources transmitted in different symbols, each SRS resource in a given set consisting of a single SRS port, and the SRS port of the resource in the set is associated with a different UE antenna </w:t>
                  </w:r>
                  <w:r w:rsidRPr="00B25A30">
                    <w:rPr>
                      <w:rFonts w:eastAsia="맑은 고딕"/>
                      <w:sz w:val="20"/>
                      <w:szCs w:val="20"/>
                      <w:lang w:eastAsia="ko-KR"/>
                    </w:rPr>
                    <w:lastRenderedPageBreak/>
                    <w:t>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맑은 고딕"/>
                      <w:sz w:val="20"/>
                      <w:szCs w:val="20"/>
                      <w:lang w:eastAsia="ko-KR"/>
                    </w:rPr>
                  </w:pPr>
                  <w:r w:rsidRPr="00B25A30">
                    <w:rPr>
                      <w:rFonts w:eastAsia="맑은 고딕"/>
                      <w:sz w:val="20"/>
                      <w:szCs w:val="20"/>
                      <w:lang w:eastAsia="ko-KR"/>
                    </w:rPr>
                    <w:t xml:space="preserve">For 1T8R, zero or one SRS resource sets configured with resourceType in SRS-ResourceSet set to ‘semi-persistent’ </w:t>
                  </w:r>
                  <w:bookmarkStart w:id="18" w:name="_Hlk86877536"/>
                  <w:r w:rsidRPr="00B25A30">
                    <w:rPr>
                      <w:rFonts w:eastAsia="맑은 고딕"/>
                      <w:sz w:val="20"/>
                      <w:szCs w:val="20"/>
                      <w:lang w:eastAsia="ko-KR"/>
                    </w:rPr>
                    <w:t>if the UE is not indicating a capability for [maximum 2 semi-persistent and maximum 1 periodic SRS resource sets],</w:t>
                  </w:r>
                  <w:bookmarkEnd w:id="18"/>
                  <w:r w:rsidRPr="00B25A30">
                    <w:rPr>
                      <w:rFonts w:eastAsia="맑은 고딕"/>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맑은 고딕"/>
                <w:sz w:val="20"/>
                <w:szCs w:val="20"/>
                <w:lang w:eastAsia="ko-KR"/>
              </w:rPr>
            </w:pPr>
          </w:p>
          <w:p w14:paraId="082FB8DD" w14:textId="77777777" w:rsidR="00F4543A" w:rsidRDefault="00F4543A" w:rsidP="00F4543A">
            <w:pPr>
              <w:widowControl w:val="0"/>
              <w:snapToGrid w:val="0"/>
              <w:spacing w:before="120" w:after="120" w:line="240" w:lineRule="auto"/>
              <w:rPr>
                <w:rFonts w:eastAsia="맑은 고딕"/>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맑은 고딕"/>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w:t>
            </w:r>
            <w:r>
              <w:rPr>
                <w:rFonts w:eastAsia="맑은 고딕"/>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맑은 고딕"/>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맑은 고딕"/>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맑은 고딕"/>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맑은 고딕"/>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맑은 고딕"/>
                <w:sz w:val="20"/>
                <w:szCs w:val="20"/>
                <w:lang w:eastAsia="ko-KR"/>
              </w:rPr>
              <w:t xml:space="preserve">Fine with the TP, and </w:t>
            </w:r>
            <w:r>
              <w:rPr>
                <w:rFonts w:eastAsia="맑은 고딕" w:hint="eastAsia"/>
                <w:sz w:val="20"/>
                <w:szCs w:val="20"/>
                <w:lang w:eastAsia="ko-KR"/>
              </w:rPr>
              <w:t>QC</w:t>
            </w:r>
            <w:r>
              <w:rPr>
                <w:rFonts w:eastAsia="맑은 고딕"/>
                <w:sz w:val="20"/>
                <w:szCs w:val="20"/>
                <w:lang w:eastAsia="ko-KR"/>
              </w:rPr>
              <w:t>’s version is more preferred for the consistency.</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9" w:author="만든 이">
              <w:r w:rsidRPr="00D27191">
                <w:rPr>
                  <w:rFonts w:eastAsia="MS Mincho"/>
                  <w:iCs/>
                  <w:color w:val="000000"/>
                  <w:sz w:val="20"/>
                  <w:szCs w:val="20"/>
                  <w:lang w:eastAsia="ja-JP"/>
                </w:rPr>
                <w:t>.</w:t>
              </w:r>
            </w:ins>
            <w:del w:id="20" w:author="만든 이">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 xml:space="preserve">if the UE is not indicating a capability for </w:delText>
              </w:r>
              <w:r w:rsidRPr="00D27191" w:rsidDel="004666E4">
                <w:rPr>
                  <w:rFonts w:eastAsia="MS Mincho"/>
                  <w:color w:val="000000"/>
                  <w:sz w:val="20"/>
                  <w:szCs w:val="20"/>
                  <w:lang w:val="x-none"/>
                </w:rPr>
                <w:lastRenderedPageBreak/>
                <w:delText>[maximum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1" w:author="만든 이">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2" w:author="만든 이">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3" w:author="만든 이">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4" w:author="만든 이">
              <w:r w:rsidRPr="00D27191">
                <w:rPr>
                  <w:rFonts w:eastAsia="MS Mincho"/>
                  <w:color w:val="000000"/>
                  <w:sz w:val="20"/>
                  <w:szCs w:val="20"/>
                  <w:lang w:val="x-none"/>
                </w:rPr>
                <w:t xml:space="preserve"> also can be configured</w:t>
              </w:r>
            </w:ins>
            <w:del w:id="25" w:author="만든 이">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6" w:author="만든 이">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7" w:author="만든 이">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8" w:author="만든 이">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9" w:author="만든 이">
              <w:r w:rsidRPr="00D27191">
                <w:rPr>
                  <w:rFonts w:eastAsia="MS Mincho"/>
                  <w:iCs/>
                  <w:color w:val="000000"/>
                  <w:sz w:val="20"/>
                  <w:szCs w:val="20"/>
                  <w:lang w:val="x-none" w:eastAsia="ja-JP"/>
                </w:rPr>
                <w:t xml:space="preserve"> </w:t>
              </w:r>
            </w:ins>
            <w:del w:id="30" w:author="만든 이">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1" w:author="만든 이"/>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2" w:author="만든 이">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3" w:author="만든 이">
              <w:r w:rsidRPr="00343897" w:rsidDel="000946DD">
                <w:rPr>
                  <w:rFonts w:eastAsia="MS Mincho"/>
                  <w:color w:val="000000" w:themeColor="text1"/>
                </w:rPr>
                <w:delText>i</w:delText>
              </w:r>
            </w:del>
            <w:ins w:id="34" w:author="만든 이">
              <w:r>
                <w:rPr>
                  <w:rFonts w:eastAsiaTheme="minorEastAsia" w:hint="eastAsia"/>
                  <w:color w:val="000000" w:themeColor="text1"/>
                  <w:lang w:eastAsia="zh-CN"/>
                </w:rPr>
                <w:t>I</w:t>
              </w:r>
            </w:ins>
            <w:r w:rsidRPr="00343897">
              <w:rPr>
                <w:rFonts w:eastAsia="MS Mincho"/>
                <w:color w:val="000000" w:themeColor="text1"/>
              </w:rPr>
              <w:t xml:space="preserve">f the UE is </w:t>
            </w:r>
            <w:del w:id="35" w:author="만든 이">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6" w:author="만든 이">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7" w:author="만든 이">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8" w:author="만든 이">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9" w:author="만든 이">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0" w:author="만든 이">
              <w:r w:rsidRPr="00343897" w:rsidDel="00EC1362">
                <w:rPr>
                  <w:rFonts w:eastAsia="MS Mincho"/>
                  <w:iCs/>
                  <w:color w:val="000000" w:themeColor="text1"/>
                  <w:lang w:eastAsia="ja-JP"/>
                </w:rPr>
                <w:delText xml:space="preserve">, </w:delText>
              </w:r>
            </w:del>
            <w:ins w:id="41" w:author="만든 이">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맑은 고딕"/>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lastRenderedPageBreak/>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맑은 고딕"/>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맑은 고딕"/>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 TP cannot address the issue from Huawei’s further clarification.</w:t>
            </w:r>
            <w:r w:rsidR="005644C6">
              <w:rPr>
                <w:rFonts w:eastAsia="맑은 고딕"/>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맑은 고딕"/>
                <w:sz w:val="20"/>
                <w:szCs w:val="20"/>
                <w:lang w:eastAsia="ko-KR"/>
              </w:rPr>
              <w:t>s</w:t>
            </w:r>
            <w:r w:rsidR="005644C6">
              <w:rPr>
                <w:rFonts w:eastAsia="맑은 고딕"/>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 </w:t>
            </w:r>
            <w:r w:rsidR="007F750D">
              <w:rPr>
                <w:rFonts w:eastAsia="맑은 고딕"/>
                <w:sz w:val="20"/>
                <w:szCs w:val="20"/>
                <w:lang w:eastAsia="ko-KR"/>
              </w:rPr>
              <w:t>Thus, we</w:t>
            </w:r>
            <w:r>
              <w:rPr>
                <w:rFonts w:eastAsia="맑은 고딕"/>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맑은 고딕"/>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2" w:author="만든 이">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3" w:author="만든 이">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맑은 고딕" w:hint="eastAsia"/>
                <w:sz w:val="20"/>
                <w:szCs w:val="20"/>
                <w:lang w:eastAsia="ko-KR"/>
              </w:rPr>
              <w:t xml:space="preserve">Support FL proposal with not removing </w:t>
            </w:r>
            <w:r>
              <w:rPr>
                <w:rFonts w:eastAsia="맑은 고딕"/>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44" w:author="만든 이">
              <w:r w:rsidRPr="005B09CC">
                <w:rPr>
                  <w:rFonts w:eastAsia="MS Mincho"/>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Microsoft YaHei"/>
                <w:sz w:val="20"/>
                <w:szCs w:val="20"/>
              </w:rPr>
              <w:t>@</w:t>
            </w:r>
            <w:r>
              <w:rPr>
                <w:rFonts w:eastAsia="맑은 고딕"/>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맑은 고딕"/>
                <w:sz w:val="20"/>
                <w:szCs w:val="20"/>
                <w:lang w:eastAsia="ko-KR"/>
              </w:rPr>
            </w:pPr>
            <w:r>
              <w:rPr>
                <w:rFonts w:eastAsia="MS Mincho"/>
                <w:color w:val="000000" w:themeColor="text1"/>
                <w:sz w:val="20"/>
              </w:rPr>
              <w:t xml:space="preserve">@CATT: Thanks for understanding. Generally modifying behavior of legacy UE is not preferable. </w:t>
            </w: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lastRenderedPageBreak/>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45" w:author="만든 이">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6" w:author="만든 이">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7" w:author="만든 이">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8" w:author="만든 이">
              <w:del w:id="49" w:author="만든 이">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6pt;height:15.6pt;mso-width-percent:0;mso-height-percent:0;mso-width-percent:0;mso-height-percent:0" o:ole="">
                  <v:imagedata r:id="rId16" o:title=""/>
                </v:shape>
                <o:OLEObject Type="Embed" ProgID="Equation.3" ShapeID="_x0000_i1029" DrawAspect="Content" ObjectID="_1707164072"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2.05pt;height:15.6pt;mso-width-percent:0;mso-height-percent:0;mso-width-percent:0;mso-height-percent:0" o:ole="">
                  <v:imagedata r:id="rId18" o:title=""/>
                </v:shape>
                <o:OLEObject Type="Embed" ProgID="Equation.3" ShapeID="_x0000_i1030" DrawAspect="Content" ObjectID="_1707164073"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2.05pt;height:15.6pt;mso-width-percent:0;mso-height-percent:0;mso-width-percent:0;mso-height-percent:0" o:ole="">
                  <v:imagedata r:id="rId20" o:title=""/>
                </v:shape>
                <o:OLEObject Type="Embed" ProgID="Equation.3" ShapeID="_x0000_i1031" DrawAspect="Content" ObjectID="_1707164074"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2.05pt;height:13.95pt;mso-width-percent:0;mso-height-percent:0;mso-width-percent:0;mso-height-percent:0" o:ole="">
                  <v:imagedata r:id="rId22" o:title=""/>
                </v:shape>
                <o:OLEObject Type="Embed" ProgID="Equation.3" ShapeID="_x0000_i1032" DrawAspect="Content" ObjectID="_1707164075"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0" w:author="만든 이">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1" w:author="만든 이">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2" w:author="만든 이">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2.05pt;height:15.6pt;mso-width-percent:0;mso-height-percent:0;mso-width-percent:0;mso-height-percent:0" o:ole="">
                  <v:imagedata r:id="rId18" o:title=""/>
                </v:shape>
                <o:OLEObject Type="Embed" ProgID="Equation.3" ShapeID="_x0000_i1033" DrawAspect="Content" ObjectID="_1707164076"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2.05pt;height:15.6pt;mso-width-percent:0;mso-height-percent:0;mso-width-percent:0;mso-height-percent:0" o:ole="">
                  <v:imagedata r:id="rId20" o:title=""/>
                </v:shape>
                <o:OLEObject Type="Embed" ProgID="Equation.3" ShapeID="_x0000_i1034" DrawAspect="Content" ObjectID="_1707164077"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2.05pt;height:13.95pt;mso-width-percent:0;mso-height-percent:0;mso-width-percent:0;mso-height-percent:0" o:ole="">
                  <v:imagedata r:id="rId22" o:title=""/>
                </v:shape>
                <o:OLEObject Type="Embed" ProgID="Equation.3" ShapeID="_x0000_i1035" DrawAspect="Content" ObjectID="_1707164078" r:id="rId26"/>
              </w:object>
            </w:r>
            <w:ins w:id="53" w:author="만든 이">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4"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55" w:author="만든 이">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56" w:author="만든 이">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6pt;height:15.6pt;mso-width-percent:0;mso-height-percent:0;mso-width-percent:0;mso-height-percent:0" o:ole="">
                  <v:imagedata r:id="rId27" o:title=""/>
                </v:shape>
                <o:OLEObject Type="Embed" ProgID="Equation.3" ShapeID="_x0000_i1036" DrawAspect="Content" ObjectID="_1707164079"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7" w:author="만든 이">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58" w:author="만든 이">
                <m:r>
                  <w:rPr>
                    <w:rFonts w:ascii="Cambria Math" w:hAnsi="Cambria Math"/>
                    <w:strike/>
                    <w:color w:val="000000" w:themeColor="text1"/>
                    <w:sz w:val="20"/>
                    <w:szCs w:val="20"/>
                  </w:rPr>
                  <m:t>=</m:t>
                </m:r>
              </w:del>
              <w:ins w:id="59" w:author="만든 이">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0" w:author="만든 이">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1" w:author="만든 이">
                      <w:rPr>
                        <w:rFonts w:ascii="Cambria Math" w:hAnsi="Cambria Math"/>
                        <w:color w:val="000000" w:themeColor="text1"/>
                        <w:sz w:val="20"/>
                        <w:szCs w:val="20"/>
                      </w:rPr>
                    </w:ins>
                  </m:ctrlPr>
                </m:fPr>
                <m:num>
                  <m:sSub>
                    <m:sSubPr>
                      <m:ctrlPr>
                        <w:ins w:id="62" w:author="만든 이">
                          <w:rPr>
                            <w:rFonts w:ascii="Cambria Math" w:hAnsi="Cambria Math"/>
                            <w:i/>
                            <w:color w:val="000000" w:themeColor="text1"/>
                            <w:sz w:val="20"/>
                            <w:szCs w:val="20"/>
                          </w:rPr>
                        </w:ins>
                      </m:ctrlPr>
                    </m:sSubPr>
                    <m:e>
                      <w:ins w:id="63" w:author="만든 이">
                        <m:r>
                          <w:rPr>
                            <w:rFonts w:ascii="Cambria Math" w:hAnsi="Cambria Math"/>
                            <w:color w:val="000000" w:themeColor="text1"/>
                            <w:sz w:val="20"/>
                            <w:szCs w:val="20"/>
                          </w:rPr>
                          <m:t>N</m:t>
                        </m:r>
                      </w:ins>
                    </m:e>
                    <m:sub>
                      <w:ins w:id="64" w:author="만든 이">
                        <m:r>
                          <w:rPr>
                            <w:rFonts w:ascii="Cambria Math" w:hAnsi="Cambria Math"/>
                            <w:color w:val="000000" w:themeColor="text1"/>
                            <w:sz w:val="20"/>
                            <w:szCs w:val="20"/>
                          </w:rPr>
                          <m:t>s</m:t>
                        </m:r>
                      </w:ins>
                    </m:sub>
                  </m:sSub>
                </m:num>
                <m:den>
                  <w:ins w:id="65" w:author="만든 이">
                    <m:r>
                      <w:rPr>
                        <w:rFonts w:ascii="Cambria Math" w:hAnsi="Cambria Math"/>
                        <w:color w:val="000000" w:themeColor="text1"/>
                        <w:sz w:val="20"/>
                        <w:szCs w:val="20"/>
                      </w:rPr>
                      <m:t>R</m:t>
                    </m:r>
                  </w:ins>
                </m:den>
              </m:f>
            </m:oMath>
            <w:del w:id="66" w:author="만든 이">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7" w:author="만든 이">
              <w:r w:rsidRPr="0072646E" w:rsidDel="00835A72">
                <w:rPr>
                  <w:i/>
                  <w:strike/>
                  <w:color w:val="000000" w:themeColor="text1"/>
                  <w:sz w:val="20"/>
                  <w:szCs w:val="20"/>
                </w:rPr>
                <w:delText>=</w:delText>
              </w:r>
            </w:del>
            <w:ins w:id="68" w:author="만든 이">
              <m:oMath>
                <m:r>
                  <w:rPr>
                    <w:rFonts w:ascii="Cambria Math" w:hAnsi="Cambria Math"/>
                    <w:color w:val="000000" w:themeColor="text1"/>
                    <w:sz w:val="20"/>
                    <w:szCs w:val="20"/>
                  </w:rPr>
                  <m:t>≥</m:t>
                </m:r>
              </m:oMath>
            </w:ins>
            <w:r w:rsidRPr="0072646E">
              <w:rPr>
                <w:i/>
                <w:color w:val="000000" w:themeColor="text1"/>
                <w:sz w:val="20"/>
                <w:szCs w:val="20"/>
              </w:rPr>
              <w:t>2</w:t>
            </w:r>
            <w:ins w:id="69" w:author="만든 이">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0" w:author="만든 이">
                      <w:rPr>
                        <w:rFonts w:ascii="Cambria Math" w:hAnsi="Cambria Math"/>
                        <w:i/>
                        <w:color w:val="000000" w:themeColor="text1"/>
                        <w:sz w:val="20"/>
                        <w:szCs w:val="20"/>
                      </w:rPr>
                    </w:ins>
                  </m:ctrlPr>
                </m:sSubPr>
                <m:e>
                  <w:ins w:id="71" w:author="만든 이">
                    <m:r>
                      <w:rPr>
                        <w:rFonts w:ascii="Cambria Math" w:hAnsi="Cambria Math"/>
                        <w:color w:val="000000" w:themeColor="text1"/>
                        <w:sz w:val="20"/>
                        <w:szCs w:val="20"/>
                      </w:rPr>
                      <m:t xml:space="preserve"> N</m:t>
                    </m:r>
                  </w:ins>
                </m:e>
                <m:sub>
                  <w:ins w:id="72" w:author="만든 이">
                    <m:r>
                      <w:rPr>
                        <w:rFonts w:ascii="Cambria Math" w:hAnsi="Cambria Math"/>
                        <w:color w:val="000000" w:themeColor="text1"/>
                        <w:sz w:val="20"/>
                        <w:szCs w:val="20"/>
                      </w:rPr>
                      <m:t>s</m:t>
                    </m:r>
                  </w:ins>
                </m:sub>
              </m:sSub>
            </m:oMath>
            <w:ins w:id="73" w:author="만든 이">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55pt;height:15.6pt;mso-width-percent:0;mso-height-percent:0;mso-width-percent:0;mso-height-percent:0" o:ole="">
                  <v:imagedata r:id="rId29" o:title=""/>
                </v:shape>
                <o:OLEObject Type="Embed" ProgID="Equation.3" ShapeID="_x0000_i1037" DrawAspect="Content" ObjectID="_1707164080"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74" w:author="만든 이">
                <w:del w:id="75" w:author="만든 이">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76" w:author="만든 이">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77" w:author="만든 이">
                <m:r>
                  <w:rPr>
                    <w:rFonts w:ascii="Cambria Math" w:hAnsi="Cambria Math"/>
                    <w:strike/>
                    <w:color w:val="000000" w:themeColor="text1"/>
                    <w:sz w:val="20"/>
                    <w:szCs w:val="20"/>
                  </w:rPr>
                  <m:t>=</m:t>
                </m:r>
              </w:del>
              <w:ins w:id="78" w:author="만든 이">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9" w:author="만든 이">
              <w:r w:rsidRPr="0072646E" w:rsidDel="00961957">
                <w:rPr>
                  <w:i/>
                  <w:strike/>
                  <w:color w:val="000000" w:themeColor="text1"/>
                  <w:sz w:val="20"/>
                  <w:szCs w:val="20"/>
                </w:rPr>
                <w:delText>=</w:delText>
              </w:r>
            </w:del>
            <w:ins w:id="80" w:author="만든 이">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1" w:author="만든 이">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2" w:author="만든 이">
                      <w:rPr>
                        <w:rFonts w:ascii="Cambria Math" w:hAnsi="Cambria Math"/>
                        <w:color w:val="000000" w:themeColor="text1"/>
                        <w:sz w:val="20"/>
                        <w:szCs w:val="20"/>
                      </w:rPr>
                    </w:ins>
                  </m:ctrlPr>
                </m:fPr>
                <m:num>
                  <m:sSub>
                    <m:sSubPr>
                      <m:ctrlPr>
                        <w:ins w:id="83" w:author="만든 이">
                          <w:rPr>
                            <w:rFonts w:ascii="Cambria Math" w:hAnsi="Cambria Math"/>
                            <w:i/>
                            <w:color w:val="000000" w:themeColor="text1"/>
                            <w:sz w:val="20"/>
                            <w:szCs w:val="20"/>
                          </w:rPr>
                        </w:ins>
                      </m:ctrlPr>
                    </m:sSubPr>
                    <m:e>
                      <w:ins w:id="84" w:author="만든 이">
                        <m:r>
                          <w:rPr>
                            <w:rFonts w:ascii="Cambria Math" w:hAnsi="Cambria Math"/>
                            <w:color w:val="000000" w:themeColor="text1"/>
                            <w:sz w:val="20"/>
                            <w:szCs w:val="20"/>
                          </w:rPr>
                          <m:t>N</m:t>
                        </m:r>
                      </w:ins>
                    </m:e>
                    <m:sub>
                      <w:ins w:id="85" w:author="만든 이">
                        <m:r>
                          <w:rPr>
                            <w:rFonts w:ascii="Cambria Math" w:hAnsi="Cambria Math"/>
                            <w:color w:val="000000" w:themeColor="text1"/>
                            <w:sz w:val="20"/>
                            <w:szCs w:val="20"/>
                          </w:rPr>
                          <m:t>s</m:t>
                        </m:r>
                      </w:ins>
                    </m:sub>
                  </m:sSub>
                </m:num>
                <m:den>
                  <w:ins w:id="86" w:author="만든 이">
                    <m:r>
                      <w:rPr>
                        <w:rFonts w:ascii="Cambria Math" w:hAnsi="Cambria Math"/>
                        <w:color w:val="000000" w:themeColor="text1"/>
                        <w:sz w:val="20"/>
                        <w:szCs w:val="20"/>
                      </w:rPr>
                      <m:t>R</m:t>
                    </m:r>
                  </w:ins>
                </m:den>
              </m:f>
              <w:ins w:id="87" w:author="만든 이">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8" w:author="만든 이">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w:t>
            </w:r>
            <w:r w:rsidRPr="0072646E">
              <w:rPr>
                <w:color w:val="000000"/>
                <w:sz w:val="20"/>
                <w:szCs w:val="20"/>
              </w:rPr>
              <w:lastRenderedPageBreak/>
              <w:t xml:space="preserve">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맑은 고딕"/>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맑은 고딕"/>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K</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5AB8" w14:textId="77777777" w:rsidR="00A96259" w:rsidRDefault="00A96259" w:rsidP="0066336C">
      <w:pPr>
        <w:spacing w:after="0" w:line="240" w:lineRule="auto"/>
      </w:pPr>
      <w:r>
        <w:separator/>
      </w:r>
    </w:p>
  </w:endnote>
  <w:endnote w:type="continuationSeparator" w:id="0">
    <w:p w14:paraId="6558ABB3" w14:textId="77777777" w:rsidR="00A96259" w:rsidRDefault="00A9625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02575" w14:textId="77777777" w:rsidR="00A96259" w:rsidRDefault="00A96259" w:rsidP="0066336C">
      <w:pPr>
        <w:spacing w:after="0" w:line="240" w:lineRule="auto"/>
      </w:pPr>
      <w:r>
        <w:separator/>
      </w:r>
    </w:p>
  </w:footnote>
  <w:footnote w:type="continuationSeparator" w:id="0">
    <w:p w14:paraId="5249BF75" w14:textId="77777777" w:rsidR="00A96259" w:rsidRDefault="00A9625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3D3"/>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맑은 고딕" w:hAnsi="Times New Roman" w:cs="바탕"/>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DE6B6-C38F-44BB-A55C-12E7EE65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6781</Words>
  <Characters>38655</Characters>
  <Application>Microsoft Office Word</Application>
  <DocSecurity>0</DocSecurity>
  <Lines>322</Lines>
  <Paragraphs>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2022-02-23T13:35:00Z</dcterms:created>
  <dcterms:modified xsi:type="dcterms:W3CDTF">2022-02-23T14:28:00Z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