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r>
      <w:r>
        <w:rPr>
          <w:rFonts w:ascii="Times New Roman" w:hAnsi="Times New Roman"/>
          <w:b/>
          <w:kern w:val="2"/>
          <w:lang w:eastAsia="zh-CN"/>
        </w:rPr>
        <w:t>R1-210xxxx</w:t>
      </w:r>
    </w:p>
    <w:p>
      <w:pPr>
        <w:spacing w:after="120" w:afterLines="50"/>
        <w:rPr>
          <w:rFonts w:ascii="Times New Roman" w:hAnsi="Times New Roman"/>
          <w:b/>
          <w:kern w:val="2"/>
          <w:lang w:eastAsia="zh-CN"/>
        </w:rPr>
      </w:pPr>
      <w:r>
        <w:rPr>
          <w:rFonts w:ascii="Times New Roman" w:hAnsi="Times New Roman"/>
          <w:b/>
          <w:kern w:val="2"/>
          <w:lang w:eastAsia="zh-CN"/>
        </w:rPr>
        <w:t>E-Meeting, February 21 – March 3,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[108-e-R16-URLLC-04] Issue#6: Discussion on determination of SRS resource set triggered by DCI format 2_3</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pPr>
        <w:rPr>
          <w:lang w:eastAsia="zh-CN"/>
        </w:rPr>
      </w:pPr>
    </w:p>
    <w:p>
      <w:pPr>
        <w:autoSpaceDE w:val="0"/>
        <w:autoSpaceDN w:val="0"/>
        <w:snapToGrid w:val="0"/>
        <w:spacing w:before="120" w:beforeLines="5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pPr>
        <w:rPr>
          <w:lang w:eastAsia="zh-CN"/>
        </w:rPr>
      </w:pPr>
    </w:p>
    <w:p>
      <w:pPr>
        <w:rPr>
          <w:lang w:eastAsia="zh-CN"/>
        </w:rPr>
      </w:pPr>
    </w:p>
    <w:p>
      <w:pPr>
        <w:rPr>
          <w:b/>
          <w:u w:val="single"/>
          <w:lang w:eastAsia="zh-CN"/>
        </w:rPr>
      </w:pPr>
      <w:r>
        <w:rPr>
          <w:b/>
          <w:u w:val="single"/>
          <w:lang w:eastAsia="zh-CN"/>
        </w:rPr>
        <w:t>Background</w:t>
      </w:r>
    </w:p>
    <w:p>
      <w:pPr>
        <w:rPr>
          <w:lang w:eastAsia="zh-CN"/>
        </w:rPr>
      </w:pPr>
    </w:p>
    <w:p>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hAnsi="Times" w:eastAsia="Batang"/>
          <w:i/>
          <w:szCs w:val="24"/>
          <w:lang w:eastAsia="zh-CN"/>
        </w:rPr>
        <w:t>srs-ResourceSetToAddModList</w:t>
      </w:r>
      <w:r>
        <w:rPr>
          <w:rFonts w:ascii="Times" w:hAnsi="Times" w:eastAsia="Batang"/>
          <w:szCs w:val="24"/>
          <w:lang w:eastAsia="zh-CN"/>
        </w:rPr>
        <w:t xml:space="preserve"> and </w:t>
      </w:r>
      <w:r>
        <w:rPr>
          <w:rFonts w:ascii="Times" w:hAnsi="Times" w:eastAsia="Batang"/>
          <w:i/>
          <w:szCs w:val="24"/>
          <w:lang w:eastAsia="zh-CN"/>
        </w:rPr>
        <w:t xml:space="preserve">srs-ResourceSetToAddModListDCI-0-2 </w:t>
      </w:r>
      <w:r>
        <w:rPr>
          <w:rFonts w:ascii="Times" w:hAnsi="Times" w:eastAsia="Batang"/>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hAnsi="Times" w:eastAsia="Batang"/>
          <w:i/>
          <w:szCs w:val="24"/>
          <w:lang w:eastAsia="zh-CN"/>
        </w:rPr>
        <w:t>srs-ResourceSetToAddModList.</w:t>
      </w:r>
      <w:r>
        <w:rPr>
          <w:rFonts w:ascii="Times" w:hAnsi="Times" w:eastAsia="Batang"/>
          <w:szCs w:val="24"/>
          <w:lang w:eastAsia="zh-CN"/>
        </w:rPr>
        <w:t xml:space="preserve">   </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Due to lack of time, this issue was not further discussed during that meeting.</w:t>
      </w: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pPr>
        <w:rPr>
          <w:lang w:eastAsia="zh-CN"/>
        </w:rPr>
      </w:pPr>
    </w:p>
    <w:p>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pPr>
        <w:ind w:left="0" w:firstLine="0"/>
        <w:rPr>
          <w:lang w:eastAsia="zh-CN"/>
        </w:rPr>
      </w:pPr>
    </w:p>
    <w:p>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pPr>
        <w:ind w:left="0" w:firstLine="0"/>
        <w:rPr>
          <w:lang w:eastAsia="zh-CN"/>
        </w:rPr>
      </w:pPr>
    </w:p>
    <w:p>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pPr>
        <w:ind w:left="0" w:firstLine="0"/>
        <w:rPr>
          <w:lang w:eastAsia="zh-CN"/>
        </w:rPr>
      </w:pPr>
    </w:p>
    <w:p>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14:textFill>
            <w14:solidFill>
              <w14:schemeClr w14:val="tx1"/>
            </w14:solidFill>
          </w14:textFill>
        </w:rPr>
        <w:t xml:space="preserve">srs-ResourceSetToAddModListDCI-0-2 </w:t>
      </w:r>
      <w:r>
        <w:rPr>
          <w:lang w:eastAsia="zh-CN"/>
        </w:rPr>
        <w:t xml:space="preserve">can be used for codebook/non-codebook PUSCH transmission for Rel-16, 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14:textFill>
            <w14:solidFill>
              <w14:schemeClr w14:val="tx1"/>
            </w14:solidFill>
          </w14:textFill>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pPr>
        <w:rPr>
          <w:lang w:eastAsia="zh-CN"/>
        </w:rPr>
      </w:pPr>
    </w:p>
    <w:p>
      <w:pPr>
        <w:rPr>
          <w:lang w:eastAsia="zh-CN"/>
        </w:rPr>
      </w:pPr>
    </w:p>
    <w:p>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pPr>
              <w:spacing w:after="240"/>
              <w:ind w:left="0" w:firstLine="0"/>
              <w:jc w:val="both"/>
              <w:rPr>
                <w:rFonts w:eastAsia="ＭＳ 明朝"/>
                <w:lang w:eastAsia="ja-JP"/>
              </w:rPr>
            </w:pPr>
            <w:r>
              <w:rPr>
                <w:rFonts w:eastAsia="ＭＳ 明朝"/>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ＭＳ 明朝"/>
                <w:b/>
                <w:bCs/>
                <w:lang w:eastAsia="ja-JP"/>
              </w:rPr>
              <w:t>usage</w:t>
            </w:r>
            <w:r>
              <w:rPr>
                <w:rFonts w:eastAsia="ＭＳ 明朝"/>
                <w:lang w:eastAsia="ja-JP"/>
              </w:rPr>
              <w:t xml:space="preserve"> of SRS resource set that can be triggered by each DCI format 0_1/1_1, or 0_2/1_2, or 2_3. </w:t>
            </w:r>
          </w:p>
          <w:p>
            <w:pPr>
              <w:spacing w:after="240"/>
              <w:ind w:left="0" w:firstLine="0"/>
              <w:jc w:val="both"/>
              <w:rPr>
                <w:i/>
                <w:color w:val="7030A0"/>
                <w:lang w:eastAsia="zh-CN"/>
              </w:rPr>
            </w:pPr>
            <w:r>
              <w:rPr>
                <w:rFonts w:eastAsia="ＭＳ 明朝"/>
                <w:color w:val="7030A0"/>
                <w:lang w:eastAsia="ja-JP"/>
              </w:rPr>
              <w:t>[Moderator1]: Thanks a lot for the feedback. According to my understanding, when DCI 2_3 is triggering a SRS resource set, then the usage has to be set to ‘</w:t>
            </w:r>
            <w:r>
              <w:rPr>
                <w:rFonts w:eastAsia="ＭＳ 明朝"/>
                <w:i/>
                <w:color w:val="7030A0"/>
                <w:lang w:eastAsia="ja-JP"/>
              </w:rPr>
              <w:t>antennaSwitching</w:t>
            </w:r>
            <w:r>
              <w:rPr>
                <w:rFonts w:eastAsia="ＭＳ 明朝"/>
                <w:color w:val="7030A0"/>
                <w:lang w:eastAsia="ja-JP"/>
              </w:rPr>
              <w:t xml:space="preserve">’. I get this understanding from the part of the specification that I copied below. If my understanding is correct, then it is meaningful to clarify whether SRS resource set(s) in </w:t>
            </w:r>
            <w:r>
              <w:rPr>
                <w:rFonts w:eastAsia="ＭＳ 明朝"/>
                <w:i/>
                <w:color w:val="7030A0"/>
                <w:lang w:eastAsia="ja-JP"/>
              </w:rPr>
              <w:t>srs-ResourceSetToAddModListDCI-0-2</w:t>
            </w:r>
            <w:r>
              <w:rPr>
                <w:rFonts w:eastAsia="ＭＳ 明朝"/>
                <w:color w:val="7030A0"/>
                <w:lang w:eastAsia="ja-JP"/>
              </w:rPr>
              <w:t xml:space="preserve"> can be configured with usage ‘</w:t>
            </w:r>
            <w:r>
              <w:rPr>
                <w:rFonts w:eastAsia="ＭＳ 明朝"/>
                <w:i/>
                <w:color w:val="7030A0"/>
                <w:lang w:eastAsia="ja-JP"/>
              </w:rPr>
              <w:t>antennaSwitching’</w:t>
            </w:r>
            <w:r>
              <w:rPr>
                <w:rFonts w:eastAsia="ＭＳ 明朝"/>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pPr>
              <w:spacing w:after="240"/>
              <w:ind w:left="0" w:firstLine="0"/>
              <w:jc w:val="both"/>
              <w:rPr>
                <w:rFonts w:eastAsia="ＭＳ 明朝"/>
                <w:color w:val="7030A0"/>
                <w:lang w:eastAsia="ja-JP"/>
              </w:rPr>
            </w:pPr>
            <w:r>
              <w:rPr>
                <w:color w:val="7030A0"/>
                <w:lang w:eastAsia="zh-CN"/>
              </w:rPr>
              <w:t xml:space="preserve">It would be great to hear if you agree with my reasoning and it would also be great to hear the views of others. </w:t>
            </w:r>
          </w:p>
          <w:p>
            <w:pPr>
              <w:spacing w:after="240"/>
              <w:ind w:left="0" w:firstLine="0"/>
              <w:jc w:val="both"/>
              <w:rPr>
                <w:rFonts w:eastAsia="ＭＳ 明朝"/>
                <w:color w:val="7030A0"/>
                <w:lang w:eastAsia="ja-JP"/>
              </w:rPr>
            </w:pPr>
            <w:r>
              <w:rPr>
                <w:rFonts w:eastAsia="ＭＳ 明朝"/>
                <w:color w:val="7030A0"/>
                <w:lang w:eastAsia="ja-JP"/>
              </w:rPr>
              <w:t>From 38.214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8" w:type="dxa"/>
                </w:tcPr>
                <w:p>
                  <w:pPr>
                    <w:spacing w:after="180"/>
                    <w:ind w:left="0" w:firstLine="0"/>
                    <w:rPr>
                      <w:rFonts w:ascii="Times New Roman" w:hAnsi="Times New Roman" w:eastAsia="宋体"/>
                      <w:color w:val="7030A0"/>
                      <w:szCs w:val="22"/>
                      <w:lang w:val="en-US"/>
                    </w:rPr>
                  </w:pPr>
                  <w:r>
                    <w:rPr>
                      <w:rFonts w:ascii="Times New Roman" w:hAnsi="Times New Roman" w:eastAsia="宋体"/>
                      <w:color w:val="7030A0"/>
                      <w:szCs w:val="22"/>
                      <w:lang w:val="en-US"/>
                    </w:rPr>
                    <w:t xml:space="preserve">For an aperiodic SRS triggered in </w:t>
                  </w:r>
                  <w:r>
                    <w:rPr>
                      <w:rFonts w:ascii="Times New Roman" w:hAnsi="Times New Roman" w:eastAsia="宋体"/>
                      <w:color w:val="7030A0"/>
                      <w:szCs w:val="22"/>
                      <w:highlight w:val="yellow"/>
                      <w:lang w:val="en-US"/>
                    </w:rPr>
                    <w:t>DCI format 2_3</w:t>
                  </w:r>
                  <w:r>
                    <w:rPr>
                      <w:rFonts w:ascii="Times New Roman" w:hAnsi="Times New Roman" w:eastAsia="宋体"/>
                      <w:color w:val="7030A0"/>
                      <w:szCs w:val="22"/>
                      <w:lang w:val="en-US"/>
                    </w:rPr>
                    <w:t xml:space="preserve"> and if the UE is configured with higher layer parameter </w:t>
                  </w:r>
                  <w:r>
                    <w:rPr>
                      <w:rFonts w:ascii="Times New Roman" w:hAnsi="Times New Roman" w:eastAsia="宋体"/>
                      <w:i/>
                      <w:color w:val="7030A0"/>
                      <w:szCs w:val="20"/>
                    </w:rPr>
                    <w:t>srs-TPC-PDCCH-Group</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typeA'</w:t>
                  </w:r>
                  <w:r>
                    <w:rPr>
                      <w:rFonts w:ascii="Times New Roman" w:hAnsi="Times New Roman" w:eastAsia="宋体"/>
                      <w:color w:val="7030A0"/>
                      <w:szCs w:val="22"/>
                      <w:lang w:val="en-US"/>
                    </w:rPr>
                    <w:t xml:space="preserve">, and given by </w:t>
                  </w:r>
                  <w:r>
                    <w:rPr>
                      <w:rFonts w:ascii="Times New Roman" w:hAnsi="Times New Roman" w:eastAsia="宋体"/>
                      <w:i/>
                      <w:color w:val="7030A0"/>
                      <w:szCs w:val="20"/>
                    </w:rPr>
                    <w:t>SRS-CarrierSwitching,</w:t>
                  </w:r>
                  <w:r>
                    <w:rPr>
                      <w:rFonts w:ascii="Times New Roman" w:hAnsi="Times New Roman" w:eastAsia="宋体"/>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hAnsi="Times New Roman" w:eastAsia="宋体"/>
                      <w:color w:val="7030A0"/>
                      <w:szCs w:val="20"/>
                    </w:rPr>
                    <w:t xml:space="preserve"> </w:t>
                  </w:r>
                  <w:r>
                    <w:rPr>
                      <w:rFonts w:ascii="Times New Roman" w:hAnsi="Times New Roman" w:eastAsia="宋体"/>
                      <w:color w:val="7030A0"/>
                      <w:szCs w:val="22"/>
                      <w:lang w:val="en-US"/>
                    </w:rPr>
                    <w:t xml:space="preserve">where the UE in each serving cell transmits the configured one or two SRS resource set(s) with higher layer parameter </w:t>
                  </w:r>
                  <w:r>
                    <w:rPr>
                      <w:rFonts w:ascii="Times New Roman" w:hAnsi="Times New Roman" w:eastAsia="宋体"/>
                      <w:i/>
                      <w:color w:val="7030A0"/>
                      <w:szCs w:val="22"/>
                      <w:lang w:val="en-US"/>
                    </w:rPr>
                    <w:t>usage</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'antennaSwitching'</w:t>
                  </w:r>
                  <w:r>
                    <w:rPr>
                      <w:rFonts w:ascii="Times New Roman" w:hAnsi="Times New Roman" w:eastAsia="宋体"/>
                      <w:color w:val="7030A0"/>
                      <w:szCs w:val="22"/>
                      <w:lang w:val="en-US"/>
                    </w:rPr>
                    <w:t xml:space="preserve"> and higher layer parameter </w:t>
                  </w:r>
                  <w:r>
                    <w:rPr>
                      <w:rFonts w:ascii="Times New Roman" w:hAnsi="Times New Roman" w:eastAsia="宋体"/>
                      <w:i/>
                      <w:color w:val="7030A0"/>
                      <w:szCs w:val="22"/>
                      <w:lang w:val="en-US"/>
                    </w:rPr>
                    <w:t>resourceType</w:t>
                  </w:r>
                  <w:r>
                    <w:rPr>
                      <w:rFonts w:ascii="Times New Roman" w:hAnsi="Times New Roman" w:eastAsia="宋体"/>
                      <w:color w:val="7030A0"/>
                      <w:szCs w:val="22"/>
                      <w:lang w:val="en-US"/>
                    </w:rPr>
                    <w:t xml:space="preserve"> in </w:t>
                  </w:r>
                  <w:r>
                    <w:rPr>
                      <w:rFonts w:ascii="Times New Roman" w:hAnsi="Times New Roman" w:eastAsia="宋体"/>
                      <w:i/>
                      <w:color w:val="7030A0"/>
                      <w:szCs w:val="22"/>
                      <w:lang w:val="en-US"/>
                    </w:rPr>
                    <w:t>SRS-ResourceSet</w:t>
                  </w:r>
                  <w:r>
                    <w:rPr>
                      <w:rFonts w:ascii="Times New Roman" w:hAnsi="Times New Roman" w:eastAsia="宋体"/>
                      <w:color w:val="7030A0"/>
                      <w:szCs w:val="22"/>
                      <w:lang w:val="en-US"/>
                    </w:rPr>
                    <w:t xml:space="preserve"> set to 'aperiodic'. </w:t>
                  </w:r>
                </w:p>
                <w:p>
                  <w:pPr>
                    <w:spacing w:after="180"/>
                    <w:ind w:left="0" w:firstLine="0"/>
                    <w:rPr>
                      <w:rFonts w:ascii="Times New Roman" w:hAnsi="Times New Roman" w:eastAsia="宋体"/>
                      <w:color w:val="000000"/>
                      <w:szCs w:val="22"/>
                      <w:lang w:val="en-US"/>
                    </w:rPr>
                  </w:pPr>
                  <w:r>
                    <w:rPr>
                      <w:rFonts w:ascii="Times New Roman" w:hAnsi="Times New Roman" w:eastAsia="宋体"/>
                      <w:color w:val="7030A0"/>
                      <w:szCs w:val="22"/>
                      <w:lang w:val="en-US"/>
                    </w:rPr>
                    <w:t xml:space="preserve">For an aperiodic SRS triggered in </w:t>
                  </w:r>
                  <w:r>
                    <w:rPr>
                      <w:rFonts w:ascii="Times New Roman" w:hAnsi="Times New Roman" w:eastAsia="宋体"/>
                      <w:color w:val="7030A0"/>
                      <w:szCs w:val="22"/>
                      <w:highlight w:val="yellow"/>
                      <w:lang w:val="en-US"/>
                    </w:rPr>
                    <w:t>DCI format 2_3</w:t>
                  </w:r>
                  <w:r>
                    <w:rPr>
                      <w:rFonts w:ascii="Times New Roman" w:hAnsi="Times New Roman" w:eastAsia="宋体"/>
                      <w:color w:val="7030A0"/>
                      <w:szCs w:val="22"/>
                      <w:lang w:val="en-US"/>
                    </w:rPr>
                    <w:t xml:space="preserve"> and if the UE is configured with higher layer parameter </w:t>
                  </w:r>
                  <w:r>
                    <w:rPr>
                      <w:rFonts w:ascii="Times New Roman" w:hAnsi="Times New Roman" w:eastAsia="宋体"/>
                      <w:i/>
                      <w:color w:val="7030A0"/>
                      <w:szCs w:val="20"/>
                    </w:rPr>
                    <w:t>srs-TPC-PDCCH-Group</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typeB'</w:t>
                  </w:r>
                  <w:r>
                    <w:rPr>
                      <w:rFonts w:ascii="Times New Roman" w:hAnsi="Times New Roman" w:eastAsia="宋体"/>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hAnsi="Times New Roman" w:eastAsia="宋体"/>
                      <w:i/>
                      <w:color w:val="7030A0"/>
                      <w:szCs w:val="22"/>
                      <w:lang w:val="en-US"/>
                    </w:rPr>
                    <w:t>usage</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'antennaSwitching</w:t>
                  </w:r>
                  <w:r>
                    <w:rPr>
                      <w:rFonts w:ascii="Times New Roman" w:hAnsi="Times New Roman" w:eastAsia="宋体"/>
                      <w:color w:val="7030A0"/>
                      <w:szCs w:val="22"/>
                      <w:lang w:val="en-US"/>
                    </w:rPr>
                    <w:t xml:space="preserve">' and higher layer parameter </w:t>
                  </w:r>
                  <w:r>
                    <w:rPr>
                      <w:rFonts w:ascii="Times New Roman" w:hAnsi="Times New Roman" w:eastAsia="宋体"/>
                      <w:i/>
                      <w:color w:val="7030A0"/>
                      <w:szCs w:val="22"/>
                      <w:lang w:val="en-US"/>
                    </w:rPr>
                    <w:t>resourceType</w:t>
                  </w:r>
                  <w:r>
                    <w:rPr>
                      <w:rFonts w:ascii="Times New Roman" w:hAnsi="Times New Roman" w:eastAsia="宋体"/>
                      <w:color w:val="7030A0"/>
                      <w:szCs w:val="22"/>
                      <w:lang w:val="en-US"/>
                    </w:rPr>
                    <w:t xml:space="preserve"> in </w:t>
                  </w:r>
                  <w:r>
                    <w:rPr>
                      <w:rFonts w:ascii="Times New Roman" w:hAnsi="Times New Roman" w:eastAsia="宋体"/>
                      <w:i/>
                      <w:color w:val="7030A0"/>
                      <w:szCs w:val="22"/>
                      <w:lang w:val="en-US"/>
                    </w:rPr>
                    <w:t>SRS-ResourceSet</w:t>
                  </w:r>
                  <w:r>
                    <w:rPr>
                      <w:rFonts w:ascii="Times New Roman" w:hAnsi="Times New Roman" w:eastAsia="宋体"/>
                      <w:color w:val="7030A0"/>
                      <w:szCs w:val="22"/>
                      <w:lang w:val="en-US"/>
                    </w:rPr>
                    <w:t xml:space="preserve"> set to 'aperiodic'.</w:t>
                  </w:r>
                </w:p>
              </w:tc>
            </w:tr>
          </w:tbl>
          <w:p>
            <w:pPr>
              <w:spacing w:after="240"/>
              <w:ind w:left="0" w:firstLine="0"/>
              <w:jc w:val="both"/>
              <w:rPr>
                <w:rFonts w:eastAsia="ＭＳ 明朝"/>
                <w:color w:val="7030A0"/>
                <w:lang w:eastAsia="ja-JP"/>
              </w:rPr>
            </w:pPr>
          </w:p>
          <w:p>
            <w:pPr>
              <w:spacing w:after="240"/>
              <w:ind w:left="0" w:firstLine="0"/>
              <w:jc w:val="both"/>
              <w:rPr>
                <w:bCs/>
                <w:iCs/>
                <w:lang w:eastAsia="zh-CN"/>
              </w:rPr>
            </w:pPr>
            <w:r>
              <w:rPr>
                <w:rFonts w:eastAsia="ＭＳ 明朝"/>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0" w:firstLine="0"/>
              <w:jc w:val="both"/>
              <w:rPr>
                <w:rFonts w:eastAsia="ＭＳ 明朝"/>
                <w:lang w:eastAsia="ja-JP"/>
              </w:rPr>
            </w:pPr>
            <w:r>
              <w:rPr>
                <w:rFonts w:eastAsia="ＭＳ 明朝"/>
                <w:lang w:eastAsia="ja-JP"/>
              </w:rPr>
              <w:t>Nokia/NSB</w:t>
            </w:r>
          </w:p>
        </w:tc>
        <w:tc>
          <w:tcPr>
            <w:tcW w:w="6474" w:type="dxa"/>
            <w:shd w:val="clear" w:color="auto" w:fill="auto"/>
          </w:tcPr>
          <w:p>
            <w:pPr>
              <w:spacing w:after="240"/>
              <w:ind w:left="0" w:firstLine="0"/>
              <w:jc w:val="both"/>
              <w:rPr>
                <w:rFonts w:eastAsia="ＭＳ 明朝"/>
                <w:lang w:eastAsia="ja-JP"/>
              </w:rPr>
            </w:pPr>
            <w:r>
              <w:rPr>
                <w:rFonts w:eastAsia="ＭＳ 明朝"/>
                <w:lang w:eastAsia="ja-JP"/>
              </w:rPr>
              <w:t xml:space="preserve">According to our understanding, there is no restriction to not allow the configuration with ‘antennaSwitching’ for srs resource set for DCI format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auto"/>
          </w:tcPr>
          <w:p>
            <w:pPr>
              <w:spacing w:after="240"/>
              <w:jc w:val="both"/>
              <w:rPr>
                <w:rFonts w:eastAsiaTheme="minorEastAsia"/>
                <w:lang w:eastAsia="zh-CN"/>
              </w:rPr>
            </w:pPr>
            <w:r>
              <w:rPr>
                <w:rFonts w:eastAsiaTheme="minorEastAsia"/>
                <w:lang w:eastAsia="zh-CN"/>
              </w:rPr>
              <w:t>DOCOMO</w:t>
            </w:r>
          </w:p>
        </w:tc>
        <w:tc>
          <w:tcPr>
            <w:tcW w:w="6474" w:type="dxa"/>
            <w:shd w:val="clear" w:color="auto" w:fill="auto"/>
          </w:tcPr>
          <w:p>
            <w:pPr>
              <w:spacing w:after="240"/>
              <w:ind w:left="0" w:firstLine="0"/>
              <w:jc w:val="both"/>
              <w:rPr>
                <w:rFonts w:eastAsia="ＭＳ 明朝"/>
                <w:lang w:eastAsia="ja-JP"/>
              </w:rPr>
            </w:pPr>
            <w:r>
              <w:rPr>
                <w:rFonts w:eastAsia="ＭＳ 明朝"/>
                <w:lang w:eastAsia="ja-JP"/>
              </w:rPr>
              <w:t xml:space="preserve">Share the same view as Nokia/NSB. In our understanding, it is allowed to configure SRS resource set(s) in </w:t>
            </w:r>
            <w:r>
              <w:rPr>
                <w:rFonts w:eastAsia="ＭＳ 明朝"/>
                <w:i/>
                <w:iCs/>
                <w:lang w:eastAsia="ja-JP"/>
              </w:rPr>
              <w:t>srs-ResourceSetToAddModListDCI-0-2</w:t>
            </w:r>
            <w:r>
              <w:rPr>
                <w:rFonts w:eastAsia="ＭＳ 明朝"/>
                <w:lang w:eastAsia="ja-JP"/>
              </w:rPr>
              <w:t xml:space="preserve"> with usage set to </w:t>
            </w:r>
            <w:r>
              <w:rPr>
                <w:rFonts w:eastAsia="ＭＳ 明朝"/>
                <w:i/>
                <w:iCs/>
                <w:lang w:eastAsia="ja-JP"/>
              </w:rPr>
              <w:t>'antennaSwitching'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Malgun Gothic"/>
                <w:lang w:eastAsia="ko-KR"/>
              </w:rPr>
              <w:t>Samsung</w:t>
            </w:r>
          </w:p>
        </w:tc>
        <w:tc>
          <w:tcPr>
            <w:tcW w:w="6474" w:type="dxa"/>
            <w:shd w:val="clear" w:color="auto" w:fill="auto"/>
          </w:tcPr>
          <w:p>
            <w:pPr>
              <w:spacing w:after="240"/>
              <w:ind w:left="0" w:firstLine="0"/>
              <w:jc w:val="both"/>
              <w:rPr>
                <w:rFonts w:eastAsia="ＭＳ 明朝"/>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6474" w:type="dxa"/>
            <w:shd w:val="clear" w:color="auto" w:fill="auto"/>
          </w:tcPr>
          <w:p>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auto"/>
          </w:tcPr>
          <w:p>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auto"/>
          </w:tcPr>
          <w:p>
            <w:pPr>
              <w:spacing w:after="240"/>
              <w:jc w:val="both"/>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6474" w:type="dxa"/>
            <w:shd w:val="clear" w:color="auto" w:fill="auto"/>
          </w:tcPr>
          <w:p>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Theme="minorEastAsia"/>
                <w:lang w:eastAsia="zh-CN"/>
              </w:rPr>
              <w:t>HW/HiSi</w:t>
            </w:r>
          </w:p>
        </w:tc>
        <w:tc>
          <w:tcPr>
            <w:tcW w:w="6474" w:type="dxa"/>
            <w:shd w:val="clear" w:color="auto" w:fill="auto"/>
          </w:tcPr>
          <w:p>
            <w:pPr>
              <w:pBdr>
                <w:bottom w:val="single" w:color="auto" w:sz="6" w:space="1"/>
              </w:pBdr>
              <w:spacing w:after="240"/>
              <w:ind w:left="0" w:firstLine="0"/>
              <w:jc w:val="both"/>
              <w:rPr>
                <w:lang w:eastAsia="zh-CN"/>
              </w:rPr>
            </w:pPr>
            <w:r>
              <w:rPr>
                <w:rFonts w:eastAsia="Malgun Gothic"/>
                <w:lang w:val="en-US" w:eastAsia="ko-KR"/>
              </w:rPr>
              <w:t>In our view, it is not clear that usage ‘</w:t>
            </w:r>
            <w:r>
              <w:rPr>
                <w:rFonts w:eastAsia="Malgun Gothic"/>
                <w:i/>
                <w:lang w:val="en-US" w:eastAsia="ko-KR"/>
              </w:rPr>
              <w:t>antennaSwitching</w:t>
            </w:r>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pPr>
              <w:pBdr>
                <w:top w:val="single" w:color="auto" w:sz="6" w:space="1"/>
                <w:bottom w:val="single" w:color="auto" w:sz="6" w:space="1"/>
              </w:pBdr>
              <w:spacing w:after="240"/>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 xml:space="preserve">Only one SRS resource set can be configured in </w:t>
            </w:r>
            <w:r>
              <w:rPr>
                <w:i/>
                <w:color w:val="000000" w:themeColor="text1"/>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and only one SRS resource set can be configured in </w:t>
            </w:r>
            <w:r>
              <w:rPr>
                <w:i/>
                <w:color w:val="000000" w:themeColor="text1"/>
                <w14:textFill>
                  <w14:solidFill>
                    <w14:schemeClr w14:val="tx1"/>
                  </w14:solidFill>
                </w14:textFill>
              </w:rPr>
              <w:t xml:space="preserve">srs-ResourceSetToAddModListDCI-0-2 </w:t>
            </w:r>
            <w:r>
              <w:rPr>
                <w:color w:val="000000" w:themeColor="text1"/>
                <w14:textFill>
                  <w14:solidFill>
                    <w14:schemeClr w14:val="tx1"/>
                  </w14:solidFill>
                </w14:textFill>
              </w:rPr>
              <w:t xml:space="preserve">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w:t>
            </w:r>
          </w:p>
          <w:p>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r>
              <w:rPr>
                <w:rFonts w:eastAsia="Malgun Gothic"/>
                <w:i/>
                <w:lang w:val="en-US" w:eastAsia="ko-KR"/>
              </w:rPr>
              <w:t>antennaSwitching</w:t>
            </w:r>
            <w:r>
              <w:rPr>
                <w:rFonts w:eastAsia="Malgun Gothic"/>
                <w:lang w:val="en-US" w:eastAsia="ko-KR"/>
              </w:rPr>
              <w:t>’.</w:t>
            </w:r>
          </w:p>
        </w:tc>
      </w:tr>
    </w:tbl>
    <w:p>
      <w:pPr>
        <w:ind w:left="0" w:firstLine="0"/>
        <w:rPr>
          <w:lang w:eastAsia="zh-CN"/>
        </w:rPr>
      </w:pPr>
    </w:p>
    <w:p>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pPr>
        <w:ind w:left="0" w:firstLine="0"/>
        <w:rPr>
          <w:lang w:eastAsia="zh-CN"/>
        </w:rPr>
      </w:pPr>
    </w:p>
    <w:p>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pPr>
        <w:ind w:left="0" w:firstLine="0"/>
        <w:rPr>
          <w:lang w:eastAsia="zh-CN"/>
        </w:rPr>
      </w:pPr>
    </w:p>
    <w:p>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pPr>
        <w:ind w:left="0" w:firstLine="0"/>
        <w:rPr>
          <w:lang w:eastAsia="zh-CN"/>
        </w:rPr>
      </w:pPr>
    </w:p>
    <w:p>
      <w:pPr>
        <w:ind w:left="0" w:firstLine="0"/>
        <w:rPr>
          <w:b/>
          <w:u w:val="single"/>
          <w:lang w:eastAsia="zh-CN"/>
        </w:rPr>
      </w:pPr>
      <w:r>
        <w:rPr>
          <w:b/>
          <w:u w:val="single"/>
          <w:lang w:eastAsia="zh-CN"/>
        </w:rPr>
        <w:t>Proposal from [3]: to avoid ambiguity when DCI 2_3 is used to trigger SRS resource set(s)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80"/>
              <w:ind w:left="0" w:firstLine="0"/>
              <w:rPr>
                <w:rFonts w:ascii="Times New Roman" w:hAnsi="Times New Roman" w:eastAsia="宋体"/>
                <w:szCs w:val="20"/>
              </w:rPr>
            </w:pPr>
            <w:r>
              <w:rPr>
                <w:rFonts w:ascii="Times New Roman" w:hAnsi="Times New Roman" w:eastAsia="宋体"/>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hAnsi="Times New Roman" w:eastAsia="宋体"/>
                <w:color w:val="FF0000"/>
                <w:szCs w:val="20"/>
                <w:u w:val="single"/>
              </w:rPr>
              <w:t xml:space="preserve">and defined by the entries of the higher layer parameter </w:t>
            </w:r>
            <w:r>
              <w:rPr>
                <w:rFonts w:ascii="Times New Roman" w:hAnsi="Times New Roman" w:eastAsia="宋体"/>
                <w:i/>
                <w:iCs/>
                <w:color w:val="FF0000"/>
                <w:szCs w:val="20"/>
                <w:u w:val="single"/>
              </w:rPr>
              <w:t>srs-ResourceSetToAddModList</w:t>
            </w:r>
            <w:r>
              <w:rPr>
                <w:rFonts w:ascii="Times New Roman" w:hAnsi="Times New Roman" w:eastAsia="宋体"/>
                <w:color w:val="FF0000"/>
                <w:szCs w:val="20"/>
              </w:rPr>
              <w:t xml:space="preserve"> </w:t>
            </w:r>
            <w:r>
              <w:rPr>
                <w:rFonts w:ascii="Times New Roman" w:hAnsi="Times New Roman" w:eastAsia="宋体"/>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pPr>
        <w:ind w:left="0" w:firstLine="0"/>
        <w:rPr>
          <w:lang w:eastAsia="zh-CN"/>
        </w:rPr>
      </w:pPr>
    </w:p>
    <w:p>
      <w:pPr>
        <w:ind w:left="0" w:firstLine="0"/>
        <w:rPr>
          <w:lang w:eastAsia="zh-CN"/>
        </w:rPr>
      </w:pPr>
      <w:r>
        <w:rPr>
          <w:lang w:eastAsia="zh-CN"/>
        </w:rPr>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pPr>
        <w:ind w:left="0" w:firstLine="0"/>
        <w:rPr>
          <w:lang w:eastAsia="zh-CN"/>
        </w:rPr>
      </w:pPr>
    </w:p>
    <w:p>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14:textFill>
            <w14:solidFill>
              <w14:schemeClr w14:val="tx1"/>
            </w14:solidFill>
          </w14:textFill>
        </w:rPr>
        <w:t xml:space="preserve">only one SRS resource set can be configured in </w:t>
      </w:r>
      <w:r>
        <w:rPr>
          <w:i/>
          <w:color w:val="000000" w:themeColor="text1"/>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or 'non-codebook'. For SRS antenna switching, </w:t>
      </w:r>
      <w:r>
        <w:rPr>
          <w:rFonts w:eastAsia="ＭＳ 明朝"/>
          <w:iCs/>
          <w:color w:val="000000" w:themeColor="text1"/>
          <w:lang w:eastAsia="ja-JP"/>
          <w14:textFill>
            <w14:solidFill>
              <w14:schemeClr w14:val="tx1"/>
            </w14:solidFill>
          </w14:textFill>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14:textFill>
            <w14:solidFill>
              <w14:schemeClr w14:val="tx1"/>
            </w14:solidFill>
          </w14:textFill>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14:textFill>
            <w14:solidFill>
              <w14:schemeClr w14:val="tx1"/>
            </w14:solidFill>
          </w14:textFill>
        </w:rPr>
        <w:t xml:space="preserve">srs-ResourceSetToAddModListDCI-0-2 </w:t>
      </w:r>
      <w:r>
        <w:rPr>
          <w:lang w:eastAsia="zh-CN"/>
        </w:rPr>
        <w:t xml:space="preserve">are configured. </w:t>
      </w:r>
    </w:p>
    <w:p>
      <w:pPr>
        <w:ind w:left="0" w:firstLine="0"/>
        <w:rPr>
          <w:lang w:eastAsia="zh-CN"/>
        </w:rPr>
      </w:pPr>
    </w:p>
    <w:p>
      <w:pPr>
        <w:ind w:left="0" w:firstLine="0"/>
        <w:rPr>
          <w:lang w:eastAsia="zh-CN"/>
        </w:rPr>
      </w:pPr>
    </w:p>
    <w:p>
      <w:pPr>
        <w:ind w:left="0" w:firstLine="0"/>
        <w:rPr>
          <w:lang w:eastAsia="zh-CN"/>
        </w:rPr>
      </w:pPr>
    </w:p>
    <w:p>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pPr>
        <w:ind w:left="0" w:firstLine="0"/>
        <w:rPr>
          <w:rFonts w:ascii="Times New Roman" w:hAnsi="Times New Roman" w:eastAsia="宋体"/>
          <w:i/>
          <w:sz w:val="22"/>
          <w:szCs w:val="22"/>
          <w:lang w:val="en-US" w:eastAsia="zh-CN"/>
        </w:rPr>
      </w:pPr>
    </w:p>
    <w:p>
      <w:pPr>
        <w:ind w:left="0" w:firstLine="0"/>
        <w:rPr>
          <w:lang w:eastAsia="zh-CN"/>
        </w:rPr>
      </w:pPr>
      <w:r>
        <w:rPr>
          <w:lang w:eastAsia="zh-CN"/>
        </w:rPr>
        <w:t>Proposal from [2]: to avoid ambiguity when DCI 2_3 is used to trigger SRS resource set(s)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autoSpaceDE w:val="0"/>
              <w:autoSpaceDN w:val="0"/>
              <w:adjustRightInd w:val="0"/>
              <w:snapToGrid w:val="0"/>
              <w:spacing w:after="120"/>
              <w:ind w:left="0" w:firstLine="0"/>
              <w:jc w:val="both"/>
              <w:rPr>
                <w:rFonts w:ascii="Times New Roman" w:hAnsi="Times New Roman" w:eastAsia="宋体"/>
                <w:b/>
                <w:i/>
                <w:sz w:val="22"/>
                <w:szCs w:val="22"/>
                <w:lang w:val="en-US" w:eastAsia="zh-CN"/>
              </w:rPr>
            </w:pPr>
            <w:r>
              <w:rPr>
                <w:rFonts w:ascii="Times New Roman" w:hAnsi="Times New Roman" w:eastAsia="宋体"/>
                <w:b/>
                <w:i/>
                <w:sz w:val="22"/>
                <w:szCs w:val="22"/>
                <w:u w:val="single"/>
                <w:lang w:val="en-US" w:eastAsia="zh-CN"/>
              </w:rPr>
              <w:t>Proposal:</w:t>
            </w:r>
            <w:r>
              <w:rPr>
                <w:rFonts w:ascii="Times New Roman" w:hAnsi="Times New Roman" w:eastAsia="宋体"/>
                <w:b/>
                <w:i/>
                <w:sz w:val="22"/>
                <w:szCs w:val="22"/>
                <w:lang w:val="en-US" w:eastAsia="zh-CN"/>
              </w:rPr>
              <w:t xml:space="preserve"> The SRS resource set(s) with 'usage' set to 'antennaSwitching' </w:t>
            </w:r>
          </w:p>
          <w:p>
            <w:pPr>
              <w:numPr>
                <w:ilvl w:val="0"/>
                <w:numId w:val="4"/>
              </w:numPr>
              <w:overflowPunct w:val="0"/>
              <w:autoSpaceDE w:val="0"/>
              <w:autoSpaceDN w:val="0"/>
              <w:adjustRightInd w:val="0"/>
              <w:snapToGrid w:val="0"/>
              <w:spacing w:after="180"/>
              <w:contextualSpacing/>
              <w:jc w:val="both"/>
              <w:textAlignment w:val="baseline"/>
              <w:rPr>
                <w:rFonts w:ascii="Times New Roman" w:hAnsi="Times New Roman" w:eastAsia="宋体"/>
                <w:b/>
                <w:i/>
                <w:sz w:val="22"/>
                <w:szCs w:val="22"/>
                <w:lang w:eastAsia="zh-CN"/>
              </w:rPr>
            </w:pPr>
            <w:r>
              <w:rPr>
                <w:rFonts w:ascii="Times New Roman" w:hAnsi="Times New Roman" w:eastAsia="宋体"/>
                <w:b/>
                <w:i/>
                <w:sz w:val="22"/>
                <w:szCs w:val="22"/>
                <w:lang w:val="en-US" w:eastAsia="zh-CN"/>
              </w:rPr>
              <w:t>C</w:t>
            </w:r>
            <w:r>
              <w:rPr>
                <w:rFonts w:ascii="Times New Roman" w:hAnsi="Times New Roman" w:eastAsia="宋体"/>
                <w:b/>
                <w:i/>
                <w:sz w:val="22"/>
                <w:szCs w:val="22"/>
                <w:lang w:eastAsia="zh-CN"/>
              </w:rPr>
              <w:t>an only be configured for SRS resource set(s) in srs-ResourceSetToAddModList when both srs-ResourceSetToAddModList and srs-ResourceSetToAddModListDCI-0-2 are provided.</w:t>
            </w:r>
          </w:p>
          <w:p>
            <w:pPr>
              <w:overflowPunct w:val="0"/>
              <w:autoSpaceDE w:val="0"/>
              <w:autoSpaceDN w:val="0"/>
              <w:adjustRightInd w:val="0"/>
              <w:spacing w:after="180"/>
              <w:ind w:left="720" w:firstLine="0"/>
              <w:contextualSpacing/>
              <w:textAlignment w:val="baseline"/>
              <w:rPr>
                <w:rFonts w:ascii="Times New Roman" w:hAnsi="Times New Roman" w:eastAsia="宋体"/>
                <w:b/>
                <w:i/>
                <w:sz w:val="22"/>
                <w:szCs w:val="22"/>
                <w:lang w:eastAsia="zh-CN"/>
              </w:rPr>
            </w:pPr>
          </w:p>
          <w:p>
            <w:pPr>
              <w:numPr>
                <w:ilvl w:val="0"/>
                <w:numId w:val="4"/>
              </w:numPr>
              <w:overflowPunct w:val="0"/>
              <w:autoSpaceDE w:val="0"/>
              <w:autoSpaceDN w:val="0"/>
              <w:adjustRightInd w:val="0"/>
              <w:snapToGrid w:val="0"/>
              <w:spacing w:after="180"/>
              <w:contextualSpacing/>
              <w:jc w:val="both"/>
              <w:textAlignment w:val="baseline"/>
              <w:rPr>
                <w:rFonts w:ascii="Times New Roman" w:hAnsi="Times New Roman" w:eastAsia="宋体"/>
                <w:b/>
                <w:i/>
                <w:sz w:val="22"/>
                <w:szCs w:val="22"/>
                <w:lang w:eastAsia="zh-CN"/>
              </w:rPr>
            </w:pPr>
            <w:r>
              <w:rPr>
                <w:rFonts w:ascii="Times New Roman" w:hAnsi="Times New Roman" w:eastAsia="宋体"/>
                <w:b/>
                <w:i/>
                <w:sz w:val="22"/>
                <w:szCs w:val="22"/>
                <w:lang w:eastAsia="zh-CN"/>
              </w:rPr>
              <w:t>Can be configured in srs-ResourceSetToAddModList if only srs-ResourceSetToAddModList is provided and can be configured in srs-ResourceSetToAddModListDCI-0-2 if only srs-ResourceSetToAddModListDCI-0-2 is provided</w:t>
            </w:r>
          </w:p>
          <w:p>
            <w:pPr>
              <w:ind w:left="0" w:firstLine="0"/>
              <w:rPr>
                <w:rFonts w:ascii="Times New Roman" w:hAnsi="Times New Roman" w:eastAsia="宋体"/>
                <w:sz w:val="22"/>
                <w:szCs w:val="22"/>
                <w:lang w:eastAsia="zh-CN"/>
              </w:rPr>
            </w:pPr>
          </w:p>
        </w:tc>
      </w:tr>
    </w:tbl>
    <w:p>
      <w:pPr>
        <w:ind w:left="0" w:firstLine="0"/>
        <w:rPr>
          <w:lang w:eastAsia="zh-CN"/>
        </w:rPr>
      </w:pPr>
    </w:p>
    <w:p>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pPr>
        <w:overflowPunct w:val="0"/>
        <w:autoSpaceDE w:val="0"/>
        <w:autoSpaceDN w:val="0"/>
        <w:adjustRightInd w:val="0"/>
        <w:snapToGrid w:val="0"/>
        <w:spacing w:after="180"/>
        <w:ind w:left="0" w:firstLine="0"/>
        <w:contextualSpacing/>
        <w:jc w:val="both"/>
        <w:textAlignment w:val="baseline"/>
        <w:rPr>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pPr>
              <w:spacing w:after="240"/>
              <w:ind w:left="172" w:firstLine="0"/>
              <w:jc w:val="both"/>
              <w:rPr>
                <w:rFonts w:eastAsia="ＭＳ 明朝"/>
                <w:b/>
                <w:bCs/>
                <w:lang w:eastAsia="ja-JP"/>
              </w:rPr>
            </w:pPr>
            <w:r>
              <w:rPr>
                <w:rFonts w:eastAsia="ＭＳ 明朝"/>
                <w:b/>
                <w:bCs/>
                <w:lang w:eastAsia="ja-JP"/>
              </w:rPr>
              <w:t>Option 1.</w:t>
            </w:r>
          </w:p>
          <w:p>
            <w:pPr>
              <w:spacing w:after="240"/>
              <w:ind w:left="172" w:firstLine="0"/>
              <w:jc w:val="both"/>
              <w:rPr>
                <w:iCs/>
                <w:lang w:eastAsia="zh-CN"/>
              </w:rPr>
            </w:pPr>
            <w:r>
              <w:rPr>
                <w:rFonts w:eastAsia="ＭＳ 明朝"/>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explicitly mention the RRC parameter for SRS resource sets associated with DCI format 2_3). </w:t>
            </w:r>
          </w:p>
          <w:p>
            <w:pPr>
              <w:spacing w:after="240"/>
              <w:jc w:val="both"/>
              <w:rPr>
                <w:rFonts w:eastAsia="ＭＳ 明朝"/>
                <w:iCs/>
                <w:lang w:eastAsia="ja-JP"/>
              </w:rPr>
            </w:pP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 NSB</w:t>
            </w:r>
          </w:p>
        </w:tc>
        <w:tc>
          <w:tcPr>
            <w:tcW w:w="6474" w:type="dxa"/>
            <w:shd w:val="clear" w:color="auto" w:fill="auto"/>
          </w:tcPr>
          <w:p>
            <w:pPr>
              <w:spacing w:after="240"/>
              <w:ind w:left="172" w:firstLine="0"/>
              <w:jc w:val="both"/>
              <w:rPr>
                <w:lang w:eastAsia="ko-KR"/>
              </w:rPr>
            </w:pPr>
            <w:r>
              <w:rPr>
                <w:lang w:eastAsia="ko-KR"/>
              </w:rPr>
              <w:t>Option 1</w:t>
            </w:r>
          </w:p>
          <w:p>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ＭＳ 明朝"/>
                <w:lang w:eastAsia="ja-JP"/>
              </w:rPr>
            </w:pPr>
            <w:r>
              <w:rPr>
                <w:rFonts w:hint="eastAsia" w:eastAsia="ＭＳ 明朝"/>
                <w:lang w:eastAsia="ja-JP"/>
              </w:rPr>
              <w:t>D</w:t>
            </w:r>
            <w:r>
              <w:rPr>
                <w:rFonts w:eastAsia="ＭＳ 明朝"/>
                <w:lang w:eastAsia="ja-JP"/>
              </w:rPr>
              <w:t>OCOMO</w:t>
            </w:r>
          </w:p>
        </w:tc>
        <w:tc>
          <w:tcPr>
            <w:tcW w:w="6474" w:type="dxa"/>
            <w:shd w:val="clear" w:color="auto" w:fill="auto"/>
          </w:tcPr>
          <w:p>
            <w:pPr>
              <w:spacing w:after="240"/>
              <w:ind w:left="172" w:firstLine="0"/>
              <w:jc w:val="both"/>
              <w:rPr>
                <w:rFonts w:eastAsia="ＭＳ 明朝"/>
                <w:lang w:eastAsia="ja-JP"/>
              </w:rPr>
            </w:pPr>
            <w:r>
              <w:rPr>
                <w:rFonts w:hint="eastAsia" w:eastAsia="ＭＳ 明朝"/>
                <w:lang w:eastAsia="ja-JP"/>
              </w:rPr>
              <w:t>O</w:t>
            </w:r>
            <w:r>
              <w:rPr>
                <w:rFonts w:eastAsia="ＭＳ 明朝"/>
                <w:lang w:eastAsia="ja-JP"/>
              </w:rPr>
              <w:t>ption 1.</w:t>
            </w:r>
          </w:p>
          <w:p>
            <w:pPr>
              <w:spacing w:after="240"/>
              <w:ind w:left="172" w:firstLine="0"/>
              <w:jc w:val="both"/>
              <w:rPr>
                <w:rFonts w:eastAsia="ＭＳ 明朝"/>
                <w:lang w:eastAsia="ja-JP"/>
              </w:rPr>
            </w:pPr>
            <w:r>
              <w:rPr>
                <w:rFonts w:hint="eastAsia" w:eastAsia="ＭＳ 明朝"/>
                <w:lang w:eastAsia="ja-JP"/>
              </w:rPr>
              <w:t>S</w:t>
            </w:r>
            <w:r>
              <w:rPr>
                <w:rFonts w:eastAsia="ＭＳ 明朝"/>
                <w:lang w:eastAsia="ja-JP"/>
              </w:rPr>
              <w:t>hare the same view as Qualcomm and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ＭＳ 明朝"/>
                <w:lang w:eastAsia="ja-JP"/>
              </w:rPr>
            </w:pPr>
            <w:r>
              <w:rPr>
                <w:rFonts w:hint="eastAsia" w:eastAsia="Malgun Gothic"/>
                <w:lang w:eastAsia="ko-KR"/>
              </w:rPr>
              <w:t>Samsung</w:t>
            </w:r>
          </w:p>
        </w:tc>
        <w:tc>
          <w:tcPr>
            <w:tcW w:w="6474" w:type="dxa"/>
            <w:shd w:val="clear" w:color="auto" w:fill="auto"/>
          </w:tcPr>
          <w:p>
            <w:pPr>
              <w:spacing w:after="240"/>
              <w:ind w:left="172" w:firstLine="0"/>
              <w:jc w:val="both"/>
              <w:rPr>
                <w:rFonts w:eastAsia="ＭＳ 明朝"/>
                <w:lang w:eastAsia="ja-JP"/>
              </w:rPr>
            </w:pPr>
            <w:r>
              <w:rPr>
                <w:rFonts w:eastAsia="Malgun Gothic"/>
                <w:lang w:eastAsia="ko-KR"/>
              </w:rPr>
              <w:t>O</w:t>
            </w:r>
            <w:r>
              <w:rPr>
                <w:rFonts w:hint="eastAsia" w:eastAsia="Malgun Gothic"/>
                <w:lang w:eastAsia="ko-KR"/>
              </w:rPr>
              <w:t xml:space="preserve">ption </w:t>
            </w:r>
            <w:r>
              <w:rPr>
                <w:rFonts w:eastAsia="Malgun Gothic"/>
                <w:lang w:eastAsia="ko-KR"/>
              </w:rPr>
              <w:t xml:space="preserve">1 because it is simple. No further optimization is needed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172" w:firstLine="0"/>
              <w:jc w:val="both"/>
              <w:rPr>
                <w:rFonts w:eastAsiaTheme="minorEastAsia"/>
                <w:lang w:eastAsia="zh-CN"/>
              </w:rPr>
            </w:pPr>
            <w:r>
              <w:rPr>
                <w:rFonts w:hint="eastAsia" w:eastAsiaTheme="minorEastAsia"/>
                <w:lang w:eastAsia="zh-CN"/>
              </w:rPr>
              <w:t>O</w:t>
            </w:r>
            <w:r>
              <w:rPr>
                <w:rFonts w:eastAsiaTheme="minorEastAsia"/>
                <w:lang w:eastAsia="zh-CN"/>
              </w:rPr>
              <w:t>ption 1.</w:t>
            </w:r>
          </w:p>
          <w:p>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hint="eastAsia" w:eastAsiaTheme="minorEastAsia"/>
                <w:lang w:eastAsia="zh-CN"/>
              </w:rPr>
              <w:t>_</w:t>
            </w:r>
            <w:r>
              <w:rPr>
                <w:rFonts w:eastAsiaTheme="minorEastAsia"/>
                <w:lang w:eastAsia="zh-CN"/>
              </w:rPr>
              <w:t>3. DCI format 2</w:t>
            </w:r>
            <w:r>
              <w:rPr>
                <w:rFonts w:hint="eastAsia" w:eastAsiaTheme="minor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20"/>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8" w:type="dxa"/>
                </w:tcPr>
                <w:p>
                  <w:pPr>
                    <w:pStyle w:val="49"/>
                    <w:rPr>
                      <w:b/>
                      <w:bCs/>
                      <w:i/>
                      <w:iCs/>
                      <w:lang w:eastAsia="zh-CN"/>
                    </w:rPr>
                  </w:pPr>
                  <w:r>
                    <w:rPr>
                      <w:b/>
                      <w:bCs/>
                      <w:i/>
                      <w:iCs/>
                      <w:lang w:eastAsia="zh-CN"/>
                    </w:rPr>
                    <w:t>srs-ResourceSetToAddModListDCI-0-2</w:t>
                  </w:r>
                </w:p>
                <w:p>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pPr>
              <w:spacing w:after="240"/>
              <w:ind w:left="172" w:firstLine="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pPr>
              <w:spacing w:after="240"/>
              <w:ind w:left="172" w:firstLine="0"/>
              <w:jc w:val="both"/>
              <w:rPr>
                <w:rFonts w:eastAsia="Malgun Gothic"/>
                <w:lang w:val="en-US" w:eastAsia="ko-KR"/>
              </w:rPr>
            </w:pPr>
            <w:r>
              <w:rPr>
                <w:rFonts w:eastAsia="Malgun Gothic"/>
                <w:lang w:val="en-US" w:eastAsia="ko-KR"/>
              </w:rPr>
              <w:t xml:space="preserve">Option 1. </w:t>
            </w:r>
          </w:p>
          <w:p>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pPr>
              <w:spacing w:after="240"/>
              <w:ind w:left="172" w:firstLine="0"/>
              <w:jc w:val="both"/>
              <w:rPr>
                <w:rFonts w:eastAsia="Malgun Gothic"/>
                <w:lang w:val="en-US" w:eastAsia="ko-KR"/>
              </w:rPr>
            </w:pPr>
            <w:r>
              <w:rPr>
                <w:rFonts w:eastAsia="Malgun Gothic"/>
                <w:lang w:val="en-US" w:eastAsia="ko-KR"/>
              </w:rPr>
              <w:t>Option 1.</w:t>
            </w:r>
          </w:p>
          <w:p>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Pr>
                <w:rFonts w:eastAsia="Malgun Gothic"/>
                <w:i/>
                <w:iCs/>
                <w:lang w:val="en-US" w:eastAsia="ko-KR"/>
              </w:rPr>
              <w:t>srs-ResourceSetToAddModList</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6474" w:type="dxa"/>
            <w:shd w:val="clear" w:color="auto" w:fill="auto"/>
          </w:tcPr>
          <w:p>
            <w:pPr>
              <w:spacing w:after="240"/>
              <w:ind w:left="172" w:firstLine="0"/>
              <w:jc w:val="both"/>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pPr>
              <w:spacing w:after="240"/>
              <w:ind w:left="172" w:firstLine="0"/>
              <w:jc w:val="both"/>
              <w:rPr>
                <w:rFonts w:eastAsiaTheme="minorEastAsia"/>
                <w:lang w:val="en-US" w:eastAsia="zh-CN"/>
              </w:rPr>
            </w:pPr>
            <w:r>
              <w:rPr>
                <w:rFonts w:eastAsiaTheme="minorEastAsia"/>
                <w:lang w:val="en-US" w:eastAsia="zh-CN"/>
              </w:rPr>
              <w:t>Option 2.</w:t>
            </w: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r>
        <w:rPr>
          <w:rFonts w:ascii="Times New Roman" w:hAnsi="Times New Roman" w:eastAsia="宋体"/>
          <w:sz w:val="22"/>
          <w:szCs w:val="22"/>
          <w:lang w:eastAsia="zh-CN"/>
        </w:rPr>
        <w:t>If you any have further aspect that should be taken into account for the continued discussion, you can bring them up here:</w:t>
      </w: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ＭＳ 明朝"/>
                <w:lang w:eastAsia="ja-JP"/>
              </w:rPr>
            </w:pPr>
          </w:p>
        </w:tc>
        <w:tc>
          <w:tcPr>
            <w:tcW w:w="6474" w:type="dxa"/>
            <w:shd w:val="clear" w:color="auto" w:fill="auto"/>
          </w:tcPr>
          <w:p>
            <w:pPr>
              <w:spacing w:after="240"/>
              <w:ind w:left="172" w:firstLine="0"/>
              <w:jc w:val="both"/>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p>
        </w:tc>
        <w:tc>
          <w:tcPr>
            <w:tcW w:w="6474" w:type="dxa"/>
            <w:shd w:val="clear" w:color="auto" w:fill="auto"/>
          </w:tcPr>
          <w:p>
            <w:pPr>
              <w:spacing w:after="240"/>
              <w:ind w:left="172" w:firstLine="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p>
        </w:tc>
        <w:tc>
          <w:tcPr>
            <w:tcW w:w="6474" w:type="dxa"/>
            <w:shd w:val="clear" w:color="auto" w:fill="auto"/>
          </w:tcPr>
          <w:p>
            <w:pPr>
              <w:spacing w:after="240"/>
              <w:ind w:left="172" w:firstLine="0"/>
              <w:jc w:val="both"/>
              <w:rPr>
                <w:rFonts w:eastAsiaTheme="minorEastAsia"/>
                <w:lang w:eastAsia="zh-CN"/>
              </w:rPr>
            </w:pP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p>
    <w:p>
      <w:pPr>
        <w:ind w:left="0" w:firstLine="0"/>
        <w:rPr>
          <w:lang w:eastAsia="zh-CN"/>
        </w:rPr>
      </w:pPr>
    </w:p>
    <w:p>
      <w:pPr>
        <w:ind w:left="0" w:firstLine="0"/>
        <w:jc w:val="center"/>
        <w:rPr>
          <w:b/>
          <w:sz w:val="28"/>
          <w:szCs w:val="28"/>
          <w:u w:val="single"/>
          <w:lang w:eastAsia="zh-CN"/>
        </w:rPr>
      </w:pPr>
      <w:r>
        <w:rPr>
          <w:b/>
          <w:sz w:val="28"/>
          <w:szCs w:val="28"/>
          <w:highlight w:val="yellow"/>
          <w:u w:val="single"/>
          <w:lang w:eastAsia="zh-CN"/>
        </w:rPr>
        <w:t>Summary of Round 1:</w:t>
      </w:r>
    </w:p>
    <w:p>
      <w:pPr>
        <w:ind w:left="0" w:firstLine="0"/>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Question 1_1:</w:t>
            </w:r>
          </w:p>
        </w:tc>
        <w:tc>
          <w:tcPr>
            <w:tcW w:w="6762" w:type="dxa"/>
          </w:tcPr>
          <w:p>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allowed</w:t>
            </w:r>
          </w:p>
        </w:tc>
        <w:tc>
          <w:tcPr>
            <w:tcW w:w="6762" w:type="dxa"/>
          </w:tcPr>
          <w:p>
            <w:pPr>
              <w:ind w:left="0" w:firstLine="0"/>
              <w:rPr>
                <w:lang w:eastAsia="zh-CN"/>
              </w:rPr>
            </w:pPr>
            <w:r>
              <w:rPr>
                <w:lang w:eastAsia="zh-CN"/>
              </w:rPr>
              <w:t xml:space="preserve">(9): QC, Nokia/NSB, DOCOMO, Samsung, vivo, ZTE, Apple, Intel,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Not allowed</w:t>
            </w:r>
          </w:p>
        </w:tc>
        <w:tc>
          <w:tcPr>
            <w:tcW w:w="6762" w:type="dxa"/>
          </w:tcPr>
          <w:p>
            <w:pPr>
              <w:ind w:left="0" w:firstLine="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Not clear if it is allowed</w:t>
            </w:r>
          </w:p>
        </w:tc>
        <w:tc>
          <w:tcPr>
            <w:tcW w:w="6762" w:type="dxa"/>
          </w:tcPr>
          <w:p>
            <w:pPr>
              <w:ind w:left="0" w:firstLine="0"/>
              <w:rPr>
                <w:lang w:eastAsia="zh-CN"/>
              </w:rPr>
            </w:pPr>
            <w:r>
              <w:rPr>
                <w:lang w:eastAsia="zh-CN"/>
              </w:rPr>
              <w:t>(1): HW/HiSi</w:t>
            </w:r>
          </w:p>
        </w:tc>
      </w:tr>
    </w:tbl>
    <w:p>
      <w:pPr>
        <w:ind w:left="0" w:firstLine="0"/>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Question 1_2:</w:t>
            </w:r>
          </w:p>
        </w:tc>
        <w:tc>
          <w:tcPr>
            <w:tcW w:w="6762" w:type="dxa"/>
          </w:tcPr>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Option 1</w:t>
            </w:r>
          </w:p>
        </w:tc>
        <w:tc>
          <w:tcPr>
            <w:tcW w:w="6762" w:type="dxa"/>
          </w:tcPr>
          <w:p>
            <w:pPr>
              <w:ind w:left="0" w:firstLine="0"/>
              <w:rPr>
                <w:lang w:eastAsia="zh-CN"/>
              </w:rPr>
            </w:pPr>
            <w:r>
              <w:rPr>
                <w:lang w:eastAsia="zh-CN"/>
              </w:rPr>
              <w:t xml:space="preserve">(8): QC, Nokia/NSB, DOCOMO, Samsung, vivo, ZTE, Apple, Intel,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Option 2</w:t>
            </w:r>
          </w:p>
        </w:tc>
        <w:tc>
          <w:tcPr>
            <w:tcW w:w="6762" w:type="dxa"/>
          </w:tcPr>
          <w:p>
            <w:pPr>
              <w:ind w:left="0" w:firstLine="0"/>
              <w:rPr>
                <w:lang w:eastAsia="zh-CN"/>
              </w:rPr>
            </w:pPr>
            <w:r>
              <w:rPr>
                <w:lang w:eastAsia="zh-CN"/>
              </w:rPr>
              <w:t>(1): HW/HiSi</w:t>
            </w:r>
          </w:p>
        </w:tc>
      </w:tr>
    </w:tbl>
    <w:p>
      <w:pPr>
        <w:ind w:left="0" w:firstLine="0"/>
        <w:rPr>
          <w:lang w:eastAsia="zh-CN"/>
        </w:rPr>
      </w:pPr>
    </w:p>
    <w:p>
      <w:pPr>
        <w:pStyle w:val="3"/>
      </w:pPr>
      <w:r>
        <w:t>Round 2</w:t>
      </w:r>
    </w:p>
    <w:p>
      <w:pPr>
        <w:ind w:left="0" w:firstLine="0"/>
        <w:jc w:val="center"/>
        <w:rPr>
          <w:b/>
          <w:color w:val="FF0000"/>
          <w:sz w:val="24"/>
          <w:highlight w:val="yellow"/>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pPr>
        <w:rPr>
          <w:lang w:eastAsia="zh-CN"/>
        </w:rPr>
      </w:pPr>
    </w:p>
    <w:p>
      <w:pPr>
        <w:ind w:left="0" w:firstLine="0"/>
        <w:rPr>
          <w:sz w:val="22"/>
          <w:szCs w:val="22"/>
          <w:lang w:eastAsia="zh-CN"/>
        </w:rPr>
      </w:pPr>
      <w:r>
        <w:rPr>
          <w:sz w:val="22"/>
          <w:szCs w:val="22"/>
          <w:lang w:eastAsia="zh-CN"/>
        </w:rPr>
        <w:t xml:space="preserve">The outcome of Round 1shows </w:t>
      </w:r>
    </w:p>
    <w:p>
      <w:pPr>
        <w:pStyle w:val="36"/>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pPr>
        <w:pStyle w:val="36"/>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pPr>
        <w:pStyle w:val="36"/>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pPr>
        <w:pStyle w:val="36"/>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2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rPr>
                <w:rFonts w:ascii="Times New Roman" w:hAnsi="Times New Roman" w:eastAsia="宋体"/>
                <w:szCs w:val="20"/>
                <w:lang w:eastAsia="zh-CN"/>
              </w:rPr>
            </w:pPr>
            <w:r>
              <w:rPr>
                <w:rFonts w:ascii="Times New Roman" w:hAnsi="Times New Roman" w:eastAsia="宋体"/>
                <w:szCs w:val="20"/>
                <w:lang w:eastAsia="zh-CN"/>
              </w:rPr>
              <w:t>38.214 , section 6.2.1</w:t>
            </w:r>
          </w:p>
          <w:p>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pPr>
              <w:pStyle w:val="36"/>
              <w:ind w:left="0" w:firstLine="0"/>
              <w:rPr>
                <w:rFonts w:ascii="Times New Roman" w:hAnsi="Times New Roman" w:eastAsia="宋体"/>
                <w:szCs w:val="20"/>
                <w:lang w:eastAsia="zh-CN"/>
              </w:rPr>
            </w:pPr>
          </w:p>
          <w:p>
            <w:pPr>
              <w:spacing w:after="180"/>
              <w:ind w:left="0" w:firstLine="0"/>
              <w:rPr>
                <w:rFonts w:ascii="Times New Roman" w:hAnsi="Times New Roman" w:eastAsia="宋体"/>
                <w:szCs w:val="20"/>
              </w:rPr>
            </w:pPr>
            <w:r>
              <w:rPr>
                <w:rFonts w:ascii="Times New Roman" w:hAnsi="Times New Roman" w:eastAsia="宋体"/>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hAnsi="Times New Roman" w:eastAsia="宋体"/>
                <w:color w:val="FF0000"/>
                <w:szCs w:val="20"/>
                <w:u w:val="single"/>
              </w:rPr>
              <w:t xml:space="preserve">and defined by the entries of the higher layer parameter </w:t>
            </w:r>
            <w:r>
              <w:rPr>
                <w:rFonts w:ascii="Times New Roman" w:hAnsi="Times New Roman" w:eastAsia="宋体"/>
                <w:i/>
                <w:iCs/>
                <w:color w:val="FF0000"/>
                <w:szCs w:val="20"/>
                <w:u w:val="single"/>
              </w:rPr>
              <w:t>srs-ResourceSetToAddModList</w:t>
            </w:r>
            <w:r>
              <w:rPr>
                <w:rFonts w:ascii="Times New Roman" w:hAnsi="Times New Roman" w:eastAsia="宋体"/>
                <w:color w:val="FF0000"/>
                <w:szCs w:val="20"/>
              </w:rPr>
              <w:t xml:space="preserve"> </w:t>
            </w:r>
            <w:r>
              <w:rPr>
                <w:rFonts w:ascii="Times New Roman" w:hAnsi="Times New Roman" w:eastAsia="宋体"/>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pPr>
        <w:pStyle w:val="36"/>
        <w:ind w:firstLine="0"/>
        <w:rPr>
          <w:sz w:val="22"/>
          <w:szCs w:val="22"/>
          <w:lang w:eastAsia="zh-CN"/>
        </w:rPr>
      </w:pPr>
    </w:p>
    <w:p>
      <w:pPr>
        <w:ind w:left="0" w:firstLine="0"/>
        <w:rPr>
          <w:lang w:eastAsia="zh-CN"/>
        </w:rPr>
      </w:pPr>
    </w:p>
    <w:p>
      <w:pPr>
        <w:ind w:left="0" w:firstLine="0"/>
        <w:rPr>
          <w:sz w:val="22"/>
          <w:szCs w:val="22"/>
          <w:lang w:eastAsia="zh-CN"/>
        </w:rPr>
      </w:pPr>
      <w:r>
        <w:rPr>
          <w:sz w:val="22"/>
          <w:szCs w:val="22"/>
          <w:lang w:eastAsia="zh-CN"/>
        </w:rPr>
        <w:t>Before going further and concluding on the outcome and finalizing the TP accordingly, additional clarifications in the maximum number of configurable SRS resource sets seem to be needed and it would be great to hear more views:</w:t>
      </w:r>
    </w:p>
    <w:p>
      <w:pPr>
        <w:ind w:left="0" w:firstLine="0"/>
        <w:rPr>
          <w:sz w:val="22"/>
          <w:szCs w:val="22"/>
          <w:lang w:eastAsia="zh-CN"/>
        </w:rPr>
      </w:pPr>
    </w:p>
    <w:p>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pPr>
        <w:ind w:left="0" w:firstLine="0"/>
        <w:rPr>
          <w:lang w:eastAsia="zh-CN"/>
        </w:rPr>
      </w:pPr>
    </w:p>
    <w:p>
      <w:pPr>
        <w:ind w:left="0" w:firstLine="0"/>
        <w:rPr>
          <w:sz w:val="22"/>
          <w:szCs w:val="22"/>
          <w:u w:val="single"/>
          <w:lang w:eastAsia="zh-CN"/>
        </w:rPr>
      </w:pPr>
      <w:r>
        <w:rPr>
          <w:sz w:val="22"/>
          <w:szCs w:val="22"/>
          <w:u w:val="single"/>
          <w:lang w:eastAsia="zh-CN"/>
        </w:rPr>
        <w:t>Usage ‘codebook’:</w:t>
      </w:r>
    </w:p>
    <w:p>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pPr>
        <w:ind w:left="0" w:firstLine="0"/>
        <w:rPr>
          <w:lang w:eastAsia="zh-CN"/>
        </w:rPr>
      </w:pPr>
    </w:p>
    <w:p>
      <w:pPr>
        <w:ind w:left="0" w:firstLine="0"/>
        <w:rPr>
          <w:sz w:val="22"/>
          <w:szCs w:val="22"/>
          <w:lang w:eastAsia="zh-CN"/>
        </w:rPr>
      </w:pPr>
      <w:r>
        <w:rPr>
          <w:sz w:val="22"/>
          <w:szCs w:val="22"/>
          <w:lang w:eastAsia="zh-CN"/>
        </w:rPr>
        <w:t>From 38.214, section 6.1.1.1 Codebook based UL transmission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14:textFill>
                  <w14:solidFill>
                    <w14:schemeClr w14:val="tx1"/>
                  </w14:solidFill>
                </w14:textFill>
              </w:rPr>
              <w:t>Only one SRS resource set</w:t>
            </w:r>
            <w:r>
              <w:rPr>
                <w:color w:val="000000" w:themeColor="text1"/>
                <w14:textFill>
                  <w14:solidFill>
                    <w14:schemeClr w14:val="tx1"/>
                  </w14:solidFill>
                </w14:textFill>
              </w:rPr>
              <w:t xml:space="preserve"> can be configured </w:t>
            </w:r>
            <w:r>
              <w:rPr>
                <w:color w:val="000000" w:themeColor="text1"/>
                <w:highlight w:val="cyan"/>
                <w14:textFill>
                  <w14:solidFill>
                    <w14:schemeClr w14:val="tx1"/>
                  </w14:solidFill>
                </w14:textFill>
              </w:rPr>
              <w:t xml:space="preserve">in </w:t>
            </w:r>
            <w:r>
              <w:rPr>
                <w:i/>
                <w:color w:val="000000" w:themeColor="text1"/>
                <w:highlight w:val="cyan"/>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and </w:t>
            </w:r>
            <w:r>
              <w:rPr>
                <w:color w:val="000000" w:themeColor="text1"/>
                <w:highlight w:val="cyan"/>
                <w14:textFill>
                  <w14:solidFill>
                    <w14:schemeClr w14:val="tx1"/>
                  </w14:solidFill>
                </w14:textFill>
              </w:rPr>
              <w:t>only one SRS resource set</w:t>
            </w:r>
            <w:r>
              <w:rPr>
                <w:color w:val="000000" w:themeColor="text1"/>
                <w14:textFill>
                  <w14:solidFill>
                    <w14:schemeClr w14:val="tx1"/>
                  </w14:solidFill>
                </w14:textFill>
              </w:rPr>
              <w:t xml:space="preserve"> can be configured in </w:t>
            </w:r>
            <w:r>
              <w:rPr>
                <w:i/>
                <w:color w:val="000000" w:themeColor="text1"/>
                <w14:textFill>
                  <w14:solidFill>
                    <w14:schemeClr w14:val="tx1"/>
                  </w14:solidFill>
                </w14:textFill>
              </w:rPr>
              <w:t xml:space="preserve">srs-ResourceSetToAddModListDCI-0-2 </w:t>
            </w:r>
            <w:r>
              <w:rPr>
                <w:color w:val="000000" w:themeColor="text1"/>
                <w14:textFill>
                  <w14:solidFill>
                    <w14:schemeClr w14:val="tx1"/>
                  </w14:solidFill>
                </w14:textFill>
              </w:rPr>
              <w:t xml:space="preserve">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w:t>
            </w:r>
          </w:p>
        </w:tc>
      </w:tr>
    </w:tbl>
    <w:p>
      <w:pPr>
        <w:ind w:left="0" w:firstLine="0"/>
        <w:rPr>
          <w:lang w:eastAsia="zh-CN"/>
        </w:rPr>
      </w:pPr>
      <w:r>
        <w:rPr>
          <w:lang w:eastAsia="zh-CN"/>
        </w:rPr>
        <w:t xml:space="preserve"> </w:t>
      </w:r>
    </w:p>
    <w:p>
      <w:pPr>
        <w:ind w:left="0" w:firstLine="0"/>
        <w:rPr>
          <w:sz w:val="22"/>
          <w:szCs w:val="22"/>
          <w:u w:val="single"/>
          <w:lang w:eastAsia="zh-CN"/>
        </w:rPr>
      </w:pPr>
      <w:r>
        <w:rPr>
          <w:sz w:val="22"/>
          <w:szCs w:val="22"/>
          <w:u w:val="single"/>
          <w:lang w:eastAsia="zh-CN"/>
        </w:rPr>
        <w:t>Usage ‘antennaSwitching’:</w:t>
      </w:r>
    </w:p>
    <w:p>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pPr>
        <w:ind w:left="0" w:firstLine="0"/>
        <w:rPr>
          <w:color w:val="000000"/>
        </w:rPr>
      </w:pPr>
    </w:p>
    <w:p>
      <w:pPr>
        <w:ind w:left="0" w:firstLine="0"/>
        <w:rPr>
          <w:lang w:eastAsia="zh-CN"/>
        </w:rPr>
      </w:pPr>
      <w:r>
        <w:rPr>
          <w:color w:val="000000"/>
        </w:rPr>
        <w:t>From 38.214, Section 6.2.1.3 UE sounding procedure between component carriers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pPr>
        <w:ind w:left="0" w:firstLine="0"/>
        <w:rPr>
          <w:lang w:eastAsia="zh-CN"/>
        </w:rPr>
      </w:pPr>
    </w:p>
    <w:p>
      <w:pPr>
        <w:ind w:left="0" w:firstLine="0"/>
        <w:rPr>
          <w:sz w:val="22"/>
          <w:szCs w:val="22"/>
          <w:lang w:eastAsia="zh-CN"/>
        </w:rPr>
      </w:pPr>
      <w:r>
        <w:rPr>
          <w:sz w:val="22"/>
          <w:szCs w:val="22"/>
          <w:lang w:eastAsia="zh-CN"/>
        </w:rPr>
        <w:t>Therefore, before going further with the final TP, I would like to ask the group the following two questions:</w:t>
      </w:r>
    </w:p>
    <w:p>
      <w:pPr>
        <w:ind w:left="0" w:firstLine="0"/>
        <w:rPr>
          <w:b/>
          <w:highlight w:val="lightGray"/>
          <w:lang w:eastAsia="zh-CN"/>
        </w:rPr>
      </w:pPr>
    </w:p>
    <w:p>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pPr>
        <w:pStyle w:val="36"/>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pPr>
        <w:pStyle w:val="36"/>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pPr>
        <w:pStyle w:val="36"/>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pPr>
        <w:ind w:left="0" w:firstLine="0"/>
        <w:rPr>
          <w:i/>
          <w:sz w:val="22"/>
          <w:szCs w:val="22"/>
          <w:highlight w:val="yellow"/>
          <w:lang w:eastAsia="zh-CN"/>
        </w:rPr>
      </w:pPr>
    </w:p>
    <w:p>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pPr>
        <w:pStyle w:val="36"/>
        <w:numPr>
          <w:ilvl w:val="0"/>
          <w:numId w:val="7"/>
        </w:numPr>
        <w:rPr>
          <w:i/>
          <w:sz w:val="22"/>
          <w:szCs w:val="22"/>
          <w:lang w:eastAsia="zh-CN"/>
        </w:rPr>
      </w:pPr>
      <w:r>
        <w:rPr>
          <w:i/>
          <w:sz w:val="22"/>
          <w:szCs w:val="22"/>
          <w:lang w:eastAsia="zh-CN"/>
        </w:rPr>
        <w:t xml:space="preserve">For example for Opt1: </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i/>
                <w:sz w:val="22"/>
                <w:szCs w:val="22"/>
                <w:lang w:eastAsia="zh-CN"/>
              </w:rPr>
            </w:pPr>
            <w:r>
              <w:rPr>
                <w:i/>
                <w:sz w:val="22"/>
                <w:szCs w:val="22"/>
                <w:lang w:eastAsia="zh-CN"/>
              </w:rPr>
              <w:t>38.214. section 6.2.1.3</w:t>
            </w:r>
          </w:p>
          <w:p>
            <w:pPr>
              <w:ind w:left="0" w:firstLine="0"/>
              <w:rPr>
                <w:i/>
                <w:sz w:val="22"/>
                <w:szCs w:val="22"/>
                <w:lang w:eastAsia="zh-CN"/>
              </w:rPr>
            </w:pPr>
          </w:p>
          <w:p>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pPr>
        <w:ind w:left="468" w:firstLine="0"/>
        <w:rPr>
          <w:i/>
          <w:sz w:val="22"/>
          <w:szCs w:val="22"/>
          <w:lang w:eastAsia="zh-CN"/>
        </w:rPr>
      </w:pPr>
    </w:p>
    <w:p>
      <w:pPr>
        <w:ind w:left="0" w:firstLine="0"/>
        <w:rPr>
          <w:b/>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ＭＳ 明朝"/>
                <w:lang w:eastAsia="ja-JP"/>
              </w:rPr>
            </w:pPr>
            <w:r>
              <w:rPr>
                <w:rFonts w:eastAsia="ＭＳ 明朝"/>
                <w:lang w:eastAsia="ja-JP"/>
              </w:rPr>
              <w:t>vivo</w:t>
            </w:r>
          </w:p>
        </w:tc>
        <w:tc>
          <w:tcPr>
            <w:tcW w:w="6474" w:type="dxa"/>
            <w:shd w:val="clear" w:color="auto" w:fill="auto"/>
          </w:tcPr>
          <w:p>
            <w:pPr>
              <w:spacing w:after="240"/>
              <w:ind w:left="36" w:firstLine="0"/>
              <w:jc w:val="both"/>
              <w:rPr>
                <w:rFonts w:eastAsiaTheme="minorEastAsia"/>
                <w:iCs/>
                <w:lang w:eastAsia="zh-CN"/>
              </w:rPr>
            </w:pPr>
            <w:r>
              <w:rPr>
                <w:sz w:val="22"/>
                <w:szCs w:val="22"/>
                <w:lang w:eastAsia="zh-CN"/>
              </w:rPr>
              <w:t>For Q2_1a:</w:t>
            </w:r>
          </w:p>
          <w:p>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172" w:firstLine="0"/>
              <w:jc w:val="both"/>
              <w:rPr>
                <w:lang w:eastAsia="ko-KR"/>
              </w:rPr>
            </w:pPr>
            <w:r>
              <w:rPr>
                <w:lang w:eastAsia="ko-KR"/>
              </w:rPr>
              <w:t>Q2_1a: Agree with vivo</w:t>
            </w:r>
          </w:p>
          <w:p>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DOCOMO</w:t>
            </w:r>
          </w:p>
        </w:tc>
        <w:tc>
          <w:tcPr>
            <w:tcW w:w="6474" w:type="dxa"/>
            <w:shd w:val="clear" w:color="auto" w:fill="auto"/>
          </w:tcPr>
          <w:p>
            <w:pPr>
              <w:spacing w:after="240"/>
              <w:ind w:left="172" w:firstLine="0"/>
              <w:jc w:val="both"/>
              <w:rPr>
                <w:rFonts w:eastAsia="ＭＳ 明朝"/>
                <w:lang w:eastAsia="ja-JP"/>
              </w:rPr>
            </w:pPr>
            <w:r>
              <w:rPr>
                <w:rFonts w:hint="eastAsia" w:eastAsia="ＭＳ 明朝"/>
                <w:lang w:eastAsia="ja-JP"/>
              </w:rPr>
              <w:t>Q</w:t>
            </w:r>
            <w:r>
              <w:rPr>
                <w:rFonts w:eastAsia="ＭＳ 明朝"/>
                <w:lang w:eastAsia="ja-JP"/>
              </w:rPr>
              <w:t>2_1a: agree with vivo and Nokia/NSB</w:t>
            </w:r>
          </w:p>
          <w:p>
            <w:pPr>
              <w:spacing w:after="240"/>
              <w:ind w:left="172" w:firstLine="0"/>
              <w:jc w:val="both"/>
              <w:rPr>
                <w:rFonts w:hint="eastAsia" w:eastAsia="ＭＳ 明朝"/>
                <w:lang w:eastAsia="ja-JP"/>
              </w:rPr>
            </w:pPr>
            <w:r>
              <w:rPr>
                <w:rFonts w:hint="eastAsia" w:eastAsia="ＭＳ 明朝"/>
                <w:lang w:eastAsia="ja-JP"/>
              </w:rPr>
              <w:t>Q</w:t>
            </w:r>
            <w:r>
              <w:rPr>
                <w:rFonts w:eastAsia="ＭＳ 明朝"/>
                <w:lang w:eastAsia="ja-JP"/>
              </w:rPr>
              <w:t>2_1b: we are open for the clarification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lang w:val="en-US" w:eastAsia="ko-KR"/>
              </w:rPr>
            </w:pPr>
            <w:r>
              <w:rPr>
                <w:rFonts w:hint="default"/>
                <w:lang w:val="en-US" w:eastAsia="ko-KR"/>
              </w:rPr>
              <w:t>ZTE</w:t>
            </w:r>
          </w:p>
        </w:tc>
        <w:tc>
          <w:tcPr>
            <w:tcW w:w="6474" w:type="dxa"/>
            <w:shd w:val="clear" w:color="auto" w:fill="auto"/>
          </w:tcPr>
          <w:p>
            <w:pPr>
              <w:spacing w:after="240"/>
              <w:ind w:left="172" w:firstLine="0"/>
              <w:jc w:val="both"/>
              <w:rPr>
                <w:rFonts w:hint="default" w:eastAsia="ＭＳ 明朝"/>
                <w:lang w:val="en-US" w:eastAsia="ja-JP"/>
              </w:rPr>
            </w:pPr>
            <w:r>
              <w:rPr>
                <w:rFonts w:hint="default" w:eastAsia="ＭＳ 明朝"/>
                <w:lang w:val="en-US" w:eastAsia="ja-JP"/>
              </w:rPr>
              <w:t>Q2_1a:</w:t>
            </w:r>
          </w:p>
          <w:p>
            <w:pPr>
              <w:spacing w:after="240"/>
              <w:ind w:left="172" w:firstLine="0"/>
              <w:jc w:val="both"/>
              <w:rPr>
                <w:rFonts w:hint="default" w:eastAsia="ＭＳ 明朝"/>
                <w:lang w:val="en-US" w:eastAsia="ja-JP"/>
              </w:rPr>
            </w:pPr>
            <w:r>
              <w:rPr>
                <w:rFonts w:hint="default" w:eastAsia="ＭＳ 明朝"/>
                <w:lang w:val="en-US" w:eastAsia="ja-JP"/>
              </w:rPr>
              <w:t>We share the same view with vivo, Nokia and DOCOMO. In Rel-16, this issue was not discussed. Therefore, it should be the same with Rel-15.</w:t>
            </w:r>
          </w:p>
          <w:p>
            <w:pPr>
              <w:spacing w:after="240"/>
              <w:ind w:left="172" w:firstLine="0"/>
              <w:jc w:val="both"/>
              <w:rPr>
                <w:rFonts w:hint="default" w:eastAsia="ＭＳ 明朝"/>
                <w:lang w:val="en-US" w:eastAsia="ja-JP"/>
              </w:rPr>
            </w:pPr>
            <w:r>
              <w:rPr>
                <w:rFonts w:hint="default" w:eastAsia="ＭＳ 明朝"/>
                <w:lang w:val="en-US" w:eastAsia="ja-JP"/>
              </w:rPr>
              <w:t>Q2_1b:</w:t>
            </w:r>
          </w:p>
          <w:p>
            <w:pPr>
              <w:spacing w:after="240"/>
              <w:ind w:left="172" w:firstLine="0"/>
              <w:jc w:val="both"/>
              <w:rPr>
                <w:rFonts w:hint="default" w:eastAsia="ＭＳ 明朝"/>
                <w:lang w:val="en-US" w:eastAsia="ja-JP"/>
              </w:rPr>
            </w:pPr>
            <w:r>
              <w:rPr>
                <w:rFonts w:hint="default" w:eastAsia="ＭＳ 明朝"/>
                <w:lang w:val="en-US" w:eastAsia="ja-JP"/>
              </w:rPr>
              <w:t>We share the same view with vivo. The spec is clear.</w:t>
            </w:r>
            <w:bookmarkStart w:id="2" w:name="_GoBack"/>
            <w:bookmarkEnd w:id="2"/>
          </w:p>
        </w:tc>
      </w:tr>
    </w:tbl>
    <w:p>
      <w:pPr>
        <w:ind w:left="0" w:firstLine="0"/>
        <w:rPr>
          <w:b/>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6"/>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14:textFill>
            <w14:solidFill>
              <w14:schemeClr w14:val="tx1"/>
            </w14:solidFill>
          </w14:textFill>
        </w:rPr>
        <w:t>RAN1 (Huawei), RAN1#107-e, e-Meeting, Nov. 11 – 19, 2021.</w:t>
      </w:r>
      <w:bookmarkEnd w:id="1"/>
      <w:r>
        <w:rPr>
          <w:bCs/>
        </w:rPr>
        <w:t xml:space="preserve"> </w:t>
      </w:r>
    </w:p>
    <w:p>
      <w:pPr>
        <w:pStyle w:val="46"/>
        <w:rPr>
          <w:bCs/>
        </w:rPr>
      </w:pPr>
      <w:r>
        <w:rPr>
          <w:bCs/>
        </w:rPr>
        <w:t>R1-2201624 Corrections on SRS, RAN1#108-e, e-Meeting, February 21 – March 3, 2022, Huawei, HiSilicon</w:t>
      </w:r>
    </w:p>
    <w:p>
      <w:pPr>
        <w:pStyle w:val="46"/>
        <w:rPr>
          <w:bCs/>
        </w:rPr>
      </w:pPr>
      <w:r>
        <w:rPr>
          <w:bCs/>
        </w:rPr>
        <w:t>R1-2202120 Draft 38.214 CR on SRS resource set trigger for DCI format 2_3, RAN1#108-e, e-Meeting, February 21 – March 3, 2022, Qualcomm</w:t>
      </w:r>
    </w:p>
    <w:p>
      <w:pPr>
        <w:ind w:left="0" w:firstLine="0"/>
        <w:rPr>
          <w:lang w:val="en-US" w:eastAsia="zh-CN"/>
        </w:rPr>
      </w:pPr>
    </w:p>
    <w:p>
      <w:pPr>
        <w:rPr>
          <w:lang w:val="en-US" w:eastAsia="zh-CN"/>
        </w:rPr>
      </w:pPr>
    </w:p>
    <w:p>
      <w:pPr>
        <w:rPr>
          <w:lang w:eastAsia="zh-CN"/>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0FAA0E83"/>
    <w:multiLevelType w:val="multilevel"/>
    <w:tmpl w:val="0FAA0E83"/>
    <w:lvl w:ilvl="0" w:tentative="0">
      <w:start w:val="1"/>
      <w:numFmt w:val="bullet"/>
      <w:lvlText w:val=""/>
      <w:lvlJc w:val="left"/>
      <w:pPr>
        <w:ind w:left="828" w:hanging="360"/>
      </w:pPr>
      <w:rPr>
        <w:rFonts w:hint="default" w:ascii="Symbol" w:hAnsi="Symbol"/>
      </w:rPr>
    </w:lvl>
    <w:lvl w:ilvl="1" w:tentative="0">
      <w:start w:val="1"/>
      <w:numFmt w:val="bullet"/>
      <w:lvlText w:val="o"/>
      <w:lvlJc w:val="left"/>
      <w:pPr>
        <w:ind w:left="1548" w:hanging="360"/>
      </w:pPr>
      <w:rPr>
        <w:rFonts w:hint="default" w:ascii="Courier New" w:hAnsi="Courier New" w:cs="Courier New"/>
      </w:rPr>
    </w:lvl>
    <w:lvl w:ilvl="2" w:tentative="0">
      <w:start w:val="1"/>
      <w:numFmt w:val="bullet"/>
      <w:lvlText w:val=""/>
      <w:lvlJc w:val="left"/>
      <w:pPr>
        <w:ind w:left="2268" w:hanging="360"/>
      </w:pPr>
      <w:rPr>
        <w:rFonts w:hint="default" w:ascii="Wingdings" w:hAnsi="Wingdings"/>
      </w:rPr>
    </w:lvl>
    <w:lvl w:ilvl="3" w:tentative="0">
      <w:start w:val="1"/>
      <w:numFmt w:val="bullet"/>
      <w:lvlText w:val=""/>
      <w:lvlJc w:val="left"/>
      <w:pPr>
        <w:ind w:left="2988" w:hanging="360"/>
      </w:pPr>
      <w:rPr>
        <w:rFonts w:hint="default" w:ascii="Symbol" w:hAnsi="Symbol"/>
      </w:rPr>
    </w:lvl>
    <w:lvl w:ilvl="4" w:tentative="0">
      <w:start w:val="1"/>
      <w:numFmt w:val="bullet"/>
      <w:lvlText w:val="o"/>
      <w:lvlJc w:val="left"/>
      <w:pPr>
        <w:ind w:left="3708" w:hanging="360"/>
      </w:pPr>
      <w:rPr>
        <w:rFonts w:hint="default" w:ascii="Courier New" w:hAnsi="Courier New" w:cs="Courier New"/>
      </w:rPr>
    </w:lvl>
    <w:lvl w:ilvl="5" w:tentative="0">
      <w:start w:val="1"/>
      <w:numFmt w:val="bullet"/>
      <w:lvlText w:val=""/>
      <w:lvlJc w:val="left"/>
      <w:pPr>
        <w:ind w:left="4428" w:hanging="360"/>
      </w:pPr>
      <w:rPr>
        <w:rFonts w:hint="default" w:ascii="Wingdings" w:hAnsi="Wingdings"/>
      </w:rPr>
    </w:lvl>
    <w:lvl w:ilvl="6" w:tentative="0">
      <w:start w:val="1"/>
      <w:numFmt w:val="bullet"/>
      <w:lvlText w:val=""/>
      <w:lvlJc w:val="left"/>
      <w:pPr>
        <w:ind w:left="5148" w:hanging="360"/>
      </w:pPr>
      <w:rPr>
        <w:rFonts w:hint="default" w:ascii="Symbol" w:hAnsi="Symbol"/>
      </w:rPr>
    </w:lvl>
    <w:lvl w:ilvl="7" w:tentative="0">
      <w:start w:val="1"/>
      <w:numFmt w:val="bullet"/>
      <w:lvlText w:val="o"/>
      <w:lvlJc w:val="left"/>
      <w:pPr>
        <w:ind w:left="5868" w:hanging="360"/>
      </w:pPr>
      <w:rPr>
        <w:rFonts w:hint="default" w:ascii="Courier New" w:hAnsi="Courier New" w:cs="Courier New"/>
      </w:rPr>
    </w:lvl>
    <w:lvl w:ilvl="8" w:tentative="0">
      <w:start w:val="1"/>
      <w:numFmt w:val="bullet"/>
      <w:lvlText w:val=""/>
      <w:lvlJc w:val="left"/>
      <w:pPr>
        <w:ind w:left="6588" w:hanging="360"/>
      </w:pPr>
      <w:rPr>
        <w:rFonts w:hint="default" w:ascii="Wingdings" w:hAnsi="Wingdings"/>
      </w:rPr>
    </w:lvl>
  </w:abstractNum>
  <w:abstractNum w:abstractNumId="2">
    <w:nsid w:val="1E9E52F4"/>
    <w:multiLevelType w:val="multilevel"/>
    <w:tmpl w:val="1E9E52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877D64"/>
    <w:multiLevelType w:val="singleLevel"/>
    <w:tmpl w:val="3A877D64"/>
    <w:lvl w:ilvl="0" w:tentative="0">
      <w:start w:val="1"/>
      <w:numFmt w:val="decimal"/>
      <w:pStyle w:val="46"/>
      <w:lvlText w:val="[%1]"/>
      <w:lvlJc w:val="left"/>
      <w:pPr>
        <w:tabs>
          <w:tab w:val="left" w:pos="360"/>
        </w:tabs>
        <w:ind w:left="360" w:hanging="360"/>
      </w:pPr>
      <w:rPr>
        <w:lang w:val="en-GB"/>
      </w:rPr>
    </w:lvl>
  </w:abstractNum>
  <w:abstractNum w:abstractNumId="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565136CC"/>
    <w:multiLevelType w:val="multilevel"/>
    <w:tmpl w:val="56513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584DC9"/>
    <w:multiLevelType w:val="multilevel"/>
    <w:tmpl w:val="68584D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lvlOverride w:ilvl="0">
      <w:startOverride w:val="1"/>
    </w:lvlOverride>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440" w:hanging="1440"/>
    </w:pPr>
    <w:rPr>
      <w:rFonts w:ascii="Times" w:hAnsi="Times" w:eastAsia="Batang" w:cs="Times New Roman"/>
      <w:szCs w:val="24"/>
      <w:lang w:val="en-GB" w:eastAsia="en-US" w:bidi="ar-SA"/>
    </w:rPr>
  </w:style>
  <w:style w:type="paragraph" w:styleId="2">
    <w:name w:val="heading 1"/>
    <w:basedOn w:val="1"/>
    <w:next w:val="1"/>
    <w:link w:val="3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6"/>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7"/>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outlineLvl w:val="4"/>
    </w:pPr>
    <w:rPr>
      <w:bCs w:val="0"/>
      <w:i w:val="0"/>
      <w:iCs/>
      <w:sz w:val="18"/>
    </w:rPr>
  </w:style>
  <w:style w:type="paragraph" w:styleId="7">
    <w:name w:val="heading 6"/>
    <w:basedOn w:val="1"/>
    <w:next w:val="1"/>
    <w:link w:val="30"/>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2"/>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semiHidden/>
    <w:unhideWhenUsed/>
    <w:qFormat/>
    <w:uiPriority w:val="99"/>
    <w:rPr>
      <w:szCs w:val="20"/>
    </w:rPr>
  </w:style>
  <w:style w:type="paragraph" w:styleId="12">
    <w:name w:val="Body Text"/>
    <w:basedOn w:val="1"/>
    <w:link w:val="35"/>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24"/>
    <w:semiHidden/>
    <w:unhideWhenUsed/>
    <w:qFormat/>
    <w:uiPriority w:val="99"/>
    <w:rPr>
      <w:rFonts w:ascii="Segoe UI" w:hAnsi="Segoe UI" w:cs="Segoe UI"/>
      <w:sz w:val="18"/>
      <w:szCs w:val="18"/>
    </w:rPr>
  </w:style>
  <w:style w:type="paragraph" w:styleId="15">
    <w:name w:val="footer"/>
    <w:basedOn w:val="1"/>
    <w:link w:val="45"/>
    <w:unhideWhenUsed/>
    <w:qFormat/>
    <w:uiPriority w:val="99"/>
    <w:pPr>
      <w:tabs>
        <w:tab w:val="center" w:pos="4513"/>
        <w:tab w:val="right" w:pos="9026"/>
      </w:tabs>
      <w:snapToGrid w:val="0"/>
    </w:pPr>
  </w:style>
  <w:style w:type="paragraph" w:styleId="16">
    <w:name w:val="header"/>
    <w:basedOn w:val="1"/>
    <w:link w:val="44"/>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8"/>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吹き出し (文字)"/>
    <w:basedOn w:val="21"/>
    <w:link w:val="14"/>
    <w:semiHidden/>
    <w:qFormat/>
    <w:uiPriority w:val="99"/>
    <w:rPr>
      <w:rFonts w:ascii="Segoe UI" w:hAnsi="Segoe UI" w:eastAsia="Batang" w:cs="Segoe UI"/>
      <w:sz w:val="18"/>
      <w:szCs w:val="18"/>
      <w:lang w:eastAsia="en-US"/>
    </w:rPr>
  </w:style>
  <w:style w:type="character" w:customStyle="1" w:styleId="25">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6">
    <w:name w:val="見出し 2 (文字)"/>
    <w:basedOn w:val="21"/>
    <w:link w:val="3"/>
    <w:qFormat/>
    <w:uiPriority w:val="9"/>
    <w:rPr>
      <w:rFonts w:ascii="Arial" w:hAnsi="Arial" w:eastAsia="Batang" w:cs="Times New Roman"/>
      <w:b/>
      <w:bCs/>
      <w:i/>
      <w:iCs/>
      <w:sz w:val="24"/>
      <w:szCs w:val="28"/>
      <w:lang w:eastAsia="zh-CN"/>
    </w:rPr>
  </w:style>
  <w:style w:type="character" w:customStyle="1" w:styleId="27">
    <w:name w:val="見出し 3 (文字)"/>
    <w:basedOn w:val="21"/>
    <w:link w:val="4"/>
    <w:qFormat/>
    <w:uiPriority w:val="0"/>
    <w:rPr>
      <w:rFonts w:ascii="Arial" w:hAnsi="Arial" w:eastAsia="Batang" w:cs="Times New Roman"/>
      <w:b/>
      <w:bCs/>
      <w:sz w:val="20"/>
      <w:szCs w:val="26"/>
      <w:lang w:eastAsia="zh-CN"/>
    </w:rPr>
  </w:style>
  <w:style w:type="character" w:customStyle="1" w:styleId="28">
    <w:name w:val="見出し 4 (文字)"/>
    <w:basedOn w:val="21"/>
    <w:link w:val="5"/>
    <w:qFormat/>
    <w:uiPriority w:val="9"/>
    <w:rPr>
      <w:rFonts w:ascii="Arial" w:hAnsi="Arial" w:eastAsia="Batang" w:cs="Times New Roman"/>
      <w:b/>
      <w:bCs/>
      <w:i/>
      <w:sz w:val="20"/>
      <w:szCs w:val="26"/>
      <w:lang w:eastAsia="zh-CN"/>
    </w:rPr>
  </w:style>
  <w:style w:type="character" w:customStyle="1" w:styleId="29">
    <w:name w:val="見出し 5 (文字)"/>
    <w:basedOn w:val="21"/>
    <w:link w:val="6"/>
    <w:qFormat/>
    <w:uiPriority w:val="9"/>
    <w:rPr>
      <w:rFonts w:ascii="Arial" w:hAnsi="Arial" w:eastAsia="Batang" w:cs="Times New Roman"/>
      <w:b/>
      <w:iCs/>
      <w:sz w:val="18"/>
      <w:szCs w:val="26"/>
      <w:lang w:eastAsia="zh-CN"/>
    </w:rPr>
  </w:style>
  <w:style w:type="character" w:customStyle="1" w:styleId="30">
    <w:name w:val="見出し 6 (文字)"/>
    <w:basedOn w:val="21"/>
    <w:link w:val="7"/>
    <w:qFormat/>
    <w:uiPriority w:val="9"/>
    <w:rPr>
      <w:rFonts w:ascii="Times New Roman" w:hAnsi="Times New Roman" w:eastAsia="Batang" w:cs="Times New Roman"/>
      <w:b/>
      <w:bCs/>
      <w:i/>
      <w:sz w:val="20"/>
      <w:lang w:eastAsia="zh-CN"/>
    </w:rPr>
  </w:style>
  <w:style w:type="character" w:customStyle="1" w:styleId="31">
    <w:name w:val="見出し 7 (文字)"/>
    <w:basedOn w:val="21"/>
    <w:link w:val="8"/>
    <w:qFormat/>
    <w:uiPriority w:val="9"/>
    <w:rPr>
      <w:rFonts w:ascii="Times New Roman" w:hAnsi="Times New Roman" w:eastAsia="Batang" w:cs="Times New Roman"/>
      <w:sz w:val="24"/>
      <w:szCs w:val="24"/>
      <w:lang w:eastAsia="zh-CN"/>
    </w:rPr>
  </w:style>
  <w:style w:type="character" w:customStyle="1" w:styleId="32">
    <w:name w:val="見出し 8 (文字)"/>
    <w:basedOn w:val="21"/>
    <w:link w:val="9"/>
    <w:qFormat/>
    <w:uiPriority w:val="9"/>
    <w:rPr>
      <w:rFonts w:ascii="Times New Roman" w:hAnsi="Times New Roman" w:eastAsia="Batang" w:cs="Times New Roman"/>
      <w:i/>
      <w:iCs/>
      <w:sz w:val="24"/>
      <w:szCs w:val="24"/>
      <w:lang w:eastAsia="zh-CN"/>
    </w:rPr>
  </w:style>
  <w:style w:type="character" w:customStyle="1" w:styleId="33">
    <w:name w:val="見出し 9 (文字)"/>
    <w:basedOn w:val="21"/>
    <w:link w:val="10"/>
    <w:qFormat/>
    <w:uiPriority w:val="9"/>
    <w:rPr>
      <w:rFonts w:ascii="Arial" w:hAnsi="Arial" w:eastAsia="Batang" w:cs="Times New Roman"/>
      <w:lang w:eastAsia="zh-CN"/>
    </w:rPr>
  </w:style>
  <w:style w:type="character" w:customStyle="1" w:styleId="34">
    <w:name w:val="見出し 1 (文字)"/>
    <w:link w:val="2"/>
    <w:qFormat/>
    <w:uiPriority w:val="9"/>
    <w:rPr>
      <w:rFonts w:ascii="Arial" w:hAnsi="Arial" w:eastAsia="Batang" w:cs="Times New Roman"/>
      <w:b/>
      <w:bCs/>
      <w:kern w:val="32"/>
      <w:sz w:val="32"/>
      <w:szCs w:val="32"/>
      <w:lang w:eastAsia="zh-CN"/>
    </w:rPr>
  </w:style>
  <w:style w:type="character" w:customStyle="1" w:styleId="35">
    <w:name w:val="本文 (文字)"/>
    <w:basedOn w:val="21"/>
    <w:link w:val="12"/>
    <w:qFormat/>
    <w:uiPriority w:val="0"/>
    <w:rPr>
      <w:rFonts w:ascii="Arial" w:hAnsi="Arial" w:eastAsia="Times New Roman" w:cs="Times New Roman"/>
      <w:sz w:val="20"/>
      <w:szCs w:val="20"/>
    </w:rPr>
  </w:style>
  <w:style w:type="paragraph" w:styleId="36">
    <w:name w:val="List Paragraph"/>
    <w:basedOn w:val="1"/>
    <w:link w:val="40"/>
    <w:qFormat/>
    <w:uiPriority w:val="34"/>
    <w:pPr>
      <w:ind w:left="720"/>
      <w:contextualSpacing/>
    </w:pPr>
  </w:style>
  <w:style w:type="paragraph" w:customStyle="1" w:styleId="37">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8">
    <w:name w:val="PL Char"/>
    <w:link w:val="37"/>
    <w:qFormat/>
    <w:uiPriority w:val="0"/>
    <w:rPr>
      <w:rFonts w:ascii="Courier New" w:hAnsi="Courier New" w:eastAsia="Times New Roman" w:cs="Times New Roman"/>
      <w:sz w:val="16"/>
      <w:szCs w:val="20"/>
      <w:shd w:val="clear" w:color="auto" w:fill="E6E6E6"/>
      <w:lang w:eastAsia="en-GB"/>
    </w:rPr>
  </w:style>
  <w:style w:type="paragraph" w:customStyle="1" w:styleId="39">
    <w:name w:val="CR Cover Page"/>
    <w:link w:val="41"/>
    <w:qFormat/>
    <w:uiPriority w:val="0"/>
    <w:pPr>
      <w:spacing w:after="120"/>
    </w:pPr>
    <w:rPr>
      <w:rFonts w:ascii="Arial" w:hAnsi="Arial" w:cs="Times New Roman" w:eastAsiaTheme="minorEastAsia"/>
      <w:lang w:val="en-GB" w:eastAsia="en-US" w:bidi="ar-SA"/>
    </w:rPr>
  </w:style>
  <w:style w:type="character" w:customStyle="1" w:styleId="40">
    <w:name w:val="リスト段落 (文字)"/>
    <w:link w:val="36"/>
    <w:qFormat/>
    <w:locked/>
    <w:uiPriority w:val="34"/>
    <w:rPr>
      <w:rFonts w:ascii="Times" w:hAnsi="Times" w:eastAsia="Batang" w:cs="Times New Roman"/>
      <w:sz w:val="20"/>
      <w:szCs w:val="24"/>
      <w:lang w:eastAsia="en-US"/>
    </w:rPr>
  </w:style>
  <w:style w:type="character" w:customStyle="1" w:styleId="41">
    <w:name w:val="CR Cover Page Zchn"/>
    <w:link w:val="39"/>
    <w:qFormat/>
    <w:uiPriority w:val="0"/>
    <w:rPr>
      <w:rFonts w:ascii="Arial" w:hAnsi="Arial" w:cs="Times New Roman"/>
      <w:sz w:val="20"/>
      <w:szCs w:val="20"/>
      <w:lang w:eastAsia="en-US"/>
    </w:rPr>
  </w:style>
  <w:style w:type="paragraph" w:customStyle="1" w:styleId="42">
    <w:name w:val="B1"/>
    <w:basedOn w:val="17"/>
    <w:link w:val="43"/>
    <w:qFormat/>
    <w:uiPriority w:val="0"/>
    <w:pPr>
      <w:spacing w:after="180"/>
      <w:ind w:left="568" w:hanging="284"/>
      <w:contextualSpacing w:val="0"/>
    </w:pPr>
    <w:rPr>
      <w:rFonts w:ascii="Times New Roman" w:hAnsi="Times New Roman" w:eastAsiaTheme="minorEastAsia"/>
      <w:szCs w:val="20"/>
    </w:rPr>
  </w:style>
  <w:style w:type="character" w:customStyle="1" w:styleId="43">
    <w:name w:val="B1 Char1"/>
    <w:link w:val="42"/>
    <w:qFormat/>
    <w:locked/>
    <w:uiPriority w:val="0"/>
    <w:rPr>
      <w:rFonts w:ascii="Times New Roman" w:hAnsi="Times New Roman" w:cs="Times New Roman"/>
      <w:sz w:val="20"/>
      <w:szCs w:val="20"/>
      <w:lang w:eastAsia="en-US"/>
    </w:rPr>
  </w:style>
  <w:style w:type="character" w:customStyle="1" w:styleId="44">
    <w:name w:val="ヘッダー (文字)"/>
    <w:basedOn w:val="21"/>
    <w:link w:val="16"/>
    <w:qFormat/>
    <w:uiPriority w:val="99"/>
    <w:rPr>
      <w:rFonts w:ascii="Times" w:hAnsi="Times" w:eastAsia="Batang" w:cs="Times New Roman"/>
      <w:sz w:val="20"/>
      <w:szCs w:val="24"/>
      <w:lang w:eastAsia="en-US"/>
    </w:rPr>
  </w:style>
  <w:style w:type="character" w:customStyle="1" w:styleId="45">
    <w:name w:val="フッター (文字)"/>
    <w:basedOn w:val="21"/>
    <w:link w:val="15"/>
    <w:qFormat/>
    <w:uiPriority w:val="99"/>
    <w:rPr>
      <w:rFonts w:ascii="Times" w:hAnsi="Times" w:eastAsia="Batang" w:cs="Times New Roman"/>
      <w:sz w:val="20"/>
      <w:szCs w:val="24"/>
      <w:lang w:eastAsia="en-US"/>
    </w:rPr>
  </w:style>
  <w:style w:type="paragraph" w:customStyle="1" w:styleId="46">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7">
    <w:name w:val="コメント文字列 (文字)"/>
    <w:basedOn w:val="21"/>
    <w:link w:val="11"/>
    <w:semiHidden/>
    <w:qFormat/>
    <w:uiPriority w:val="99"/>
    <w:rPr>
      <w:rFonts w:ascii="Times" w:hAnsi="Times" w:eastAsia="Batang" w:cs="Times New Roman"/>
      <w:sz w:val="20"/>
      <w:szCs w:val="20"/>
      <w:lang w:eastAsia="en-US"/>
    </w:rPr>
  </w:style>
  <w:style w:type="character" w:customStyle="1" w:styleId="48">
    <w:name w:val="コメント内容 (文字)"/>
    <w:basedOn w:val="47"/>
    <w:link w:val="18"/>
    <w:semiHidden/>
    <w:qFormat/>
    <w:uiPriority w:val="99"/>
    <w:rPr>
      <w:rFonts w:ascii="Times" w:hAnsi="Times" w:eastAsia="Batang" w:cs="Times New Roman"/>
      <w:b/>
      <w:bCs/>
      <w:sz w:val="20"/>
      <w:szCs w:val="20"/>
      <w:lang w:eastAsia="en-US"/>
    </w:rPr>
  </w:style>
  <w:style w:type="paragraph" w:customStyle="1" w:styleId="49">
    <w:name w:val="TAL"/>
    <w:basedOn w:val="1"/>
    <w:link w:val="50"/>
    <w:qFormat/>
    <w:uiPriority w:val="0"/>
    <w:pPr>
      <w:keepNext/>
      <w:keepLines/>
      <w:overflowPunct w:val="0"/>
      <w:autoSpaceDE w:val="0"/>
      <w:autoSpaceDN w:val="0"/>
      <w:adjustRightInd w:val="0"/>
      <w:ind w:left="0" w:firstLine="0"/>
      <w:textAlignment w:val="baseline"/>
    </w:pPr>
    <w:rPr>
      <w:rFonts w:ascii="Arial" w:hAnsi="Arial" w:eastAsia="Times New Roman"/>
      <w:sz w:val="18"/>
      <w:szCs w:val="20"/>
      <w:lang w:eastAsia="ja-JP"/>
    </w:rPr>
  </w:style>
  <w:style w:type="character" w:customStyle="1" w:styleId="50">
    <w:name w:val="TAL Car"/>
    <w:link w:val="49"/>
    <w:qFormat/>
    <w:uiPriority w:val="0"/>
    <w:rPr>
      <w:rFonts w:ascii="Arial" w:hAnsi="Arial" w:eastAsia="Times New Roman" w:cs="Times New Roman"/>
      <w:sz w:val="18"/>
      <w:szCs w:val="20"/>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8</Pages>
  <Words>3425</Words>
  <Characters>19527</Characters>
  <Lines>162</Lines>
  <Paragraphs>45</Paragraphs>
  <TotalTime>4</TotalTime>
  <ScaleCrop>false</ScaleCrop>
  <LinksUpToDate>false</LinksUpToDate>
  <CharactersWithSpaces>22907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2022-02-23T12:36:00Z</dcterms:created>
  <dc:creator>Min</dc:creator>
  <cp:lastModifiedBy>10186871-1</cp:lastModifiedBy>
  <dcterms:modified xsi:type="dcterms:W3CDTF">2022-02-23T13:13:26Z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