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ja-JP"/>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A560"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r>
        <w:rPr>
          <w:b/>
          <w:kern w:val="2"/>
          <w:lang w:eastAsia="zh-CN"/>
        </w:rPr>
        <w:t>e-Meeting</w:t>
      </w:r>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HiSilicon</w:t>
      </w:r>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ＭＳ 明朝"/>
          <w:lang w:eastAsia="ja-JP"/>
        </w:rPr>
      </w:pPr>
      <w:r>
        <w:rPr>
          <w:rFonts w:eastAsia="ＭＳ 明朝"/>
          <w:lang w:eastAsia="ja-JP"/>
        </w:rPr>
        <w:t>In [1], it is observed, perhaps also well-understood as explicitly captured in specifications that, a</w:t>
      </w:r>
      <w:r w:rsidRPr="000259B4">
        <w:rPr>
          <w:rFonts w:eastAsia="ＭＳ 明朝"/>
          <w:lang w:eastAsia="ja-JP"/>
        </w:rPr>
        <w:t xml:space="preserve"> UE on BWP#0 </w:t>
      </w:r>
      <w:r>
        <w:rPr>
          <w:rFonts w:eastAsia="ＭＳ 明朝"/>
          <w:lang w:eastAsia="ja-JP"/>
        </w:rPr>
        <w:t xml:space="preserve">with option 1 </w:t>
      </w:r>
      <w:r w:rsidRPr="000259B4">
        <w:rPr>
          <w:rFonts w:eastAsia="ＭＳ 明朝"/>
          <w:lang w:eastAsia="ja-JP"/>
        </w:rPr>
        <w:t>can only be used for limited manner with common configurations, e.g. random access, and can only be switched from that by RRC reconfiguration</w:t>
      </w:r>
      <w:r>
        <w:rPr>
          <w:rFonts w:eastAsia="ＭＳ 明朝"/>
          <w:lang w:eastAsia="ja-JP"/>
        </w:rPr>
        <w:t>, once it is switched onto this BWP#0</w:t>
      </w:r>
      <w:r w:rsidRPr="000259B4">
        <w:rPr>
          <w:rFonts w:eastAsia="ＭＳ 明朝"/>
          <w:lang w:eastAsia="ja-JP"/>
        </w:rPr>
        <w:t>.</w:t>
      </w:r>
      <w:r w:rsidR="00EF7E04">
        <w:rPr>
          <w:rFonts w:eastAsia="ＭＳ 明朝"/>
          <w:lang w:eastAsia="ja-JP"/>
        </w:rPr>
        <w:t xml:space="preserve"> </w:t>
      </w:r>
    </w:p>
    <w:p w14:paraId="013803A0" w14:textId="77777777" w:rsidR="00EF7E04" w:rsidRDefault="00EF7E04" w:rsidP="00C12BC1">
      <w:pPr>
        <w:rPr>
          <w:rFonts w:eastAsia="ＭＳ 明朝"/>
          <w:lang w:eastAsia="ja-JP"/>
        </w:rPr>
      </w:pPr>
      <w:r>
        <w:rPr>
          <w:rFonts w:eastAsia="ＭＳ 明朝"/>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ＭＳ 明朝"/>
          <w:lang w:eastAsia="ja-JP"/>
        </w:rPr>
      </w:pPr>
      <w:r>
        <w:rPr>
          <w:rFonts w:eastAsia="ＭＳ 明朝"/>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[108-e-NR-CRs-16] Issue#21 Clarification on the initial BWP switching – ???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tdoc: </w:t>
      </w:r>
      <w:hyperlink r:id="rId8" w:history="1">
        <w:r>
          <w:rPr>
            <w:rStyle w:val="a5"/>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ＭＳ 明朝"/>
          <w:lang w:eastAsia="ja-JP"/>
        </w:rPr>
      </w:pPr>
    </w:p>
    <w:p w14:paraId="013803A6" w14:textId="77777777" w:rsidR="000259B4" w:rsidRPr="00CF195E" w:rsidRDefault="000259B4" w:rsidP="00C12BC1">
      <w:pPr>
        <w:rPr>
          <w:rFonts w:eastAsia="ＭＳ 明朝"/>
          <w:lang w:eastAsia="ja-JP"/>
        </w:rPr>
      </w:pPr>
      <w:r>
        <w:rPr>
          <w:rFonts w:eastAsia="ＭＳ 明朝"/>
          <w:lang w:eastAsia="ja-JP"/>
        </w:rPr>
        <w:t>Some technical understanding of the issue would be helpful. Therefore, the discussion is comprised of two aspects</w:t>
      </w:r>
      <w:r w:rsidR="00AA0E69">
        <w:rPr>
          <w:rFonts w:eastAsia="ＭＳ 明朝"/>
          <w:lang w:eastAsia="ja-JP"/>
        </w:rPr>
        <w:t xml:space="preserve"> also considering companies input from preparation phase</w:t>
      </w:r>
      <w:r>
        <w:rPr>
          <w:rFonts w:eastAsia="ＭＳ 明朝"/>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ＭＳ 明朝"/>
          <w:lang w:eastAsia="ja-JP"/>
        </w:rPr>
        <w:t xml:space="preserve"> on the real site implementations</w:t>
      </w:r>
      <w:r>
        <w:rPr>
          <w:rFonts w:eastAsia="ＭＳ 明朝"/>
          <w:lang w:eastAsia="ja-JP"/>
        </w:rPr>
        <w:t>.</w:t>
      </w:r>
    </w:p>
    <w:p w14:paraId="013803A7" w14:textId="77777777" w:rsidR="009A3A86" w:rsidRPr="00CF195E" w:rsidRDefault="00956E05" w:rsidP="00CF195E">
      <w:pPr>
        <w:pStyle w:val="1"/>
      </w:pPr>
      <w:bookmarkStart w:id="2" w:name="_Ref129681832"/>
      <w:r>
        <w:t>Discussion</w:t>
      </w:r>
      <w:r w:rsidR="00EF7E04">
        <w:t xml:space="preserve"> Point 1</w:t>
      </w:r>
      <w:r>
        <w:t xml:space="preserve"> </w:t>
      </w:r>
    </w:p>
    <w:p w14:paraId="013803A8" w14:textId="77777777" w:rsidR="00AD11CD" w:rsidRPr="00FD5300" w:rsidRDefault="004806C4" w:rsidP="00FD5300">
      <w:pPr>
        <w:pStyle w:val="af4"/>
        <w:numPr>
          <w:ilvl w:val="0"/>
          <w:numId w:val="33"/>
        </w:numPr>
        <w:rPr>
          <w:rFonts w:eastAsia="ＭＳ 明朝"/>
          <w:b/>
          <w:lang w:eastAsia="ja-JP"/>
        </w:rPr>
      </w:pPr>
      <w:r>
        <w:rPr>
          <w:rFonts w:eastAsia="ＭＳ 明朝"/>
          <w:b/>
          <w:lang w:eastAsia="ja-JP"/>
        </w:rPr>
        <w:t xml:space="preserve">Is there any </w:t>
      </w:r>
      <w:r w:rsidR="00EF7E04" w:rsidRPr="00FD5300">
        <w:rPr>
          <w:rFonts w:eastAsia="ＭＳ 明朝"/>
          <w:b/>
          <w:lang w:eastAsia="ja-JP"/>
        </w:rPr>
        <w:t>potential use case or motivation for gNB to use DCI indic</w:t>
      </w:r>
      <w:r w:rsidR="00AA0E69" w:rsidRPr="00FD5300">
        <w:rPr>
          <w:rFonts w:eastAsia="ＭＳ 明朝"/>
          <w:b/>
          <w:lang w:eastAsia="ja-JP"/>
        </w:rPr>
        <w:t>ating</w:t>
      </w:r>
      <w:r w:rsidR="00EF7E04" w:rsidRPr="00FD5300">
        <w:rPr>
          <w:rFonts w:eastAsia="ＭＳ 明朝"/>
          <w:b/>
          <w:lang w:eastAsia="ja-JP"/>
        </w:rPr>
        <w:t xml:space="preserve"> a UE </w:t>
      </w:r>
      <w:r w:rsidR="00AA0E69" w:rsidRPr="00FD5300">
        <w:rPr>
          <w:rFonts w:eastAsia="ＭＳ 明朝"/>
          <w:b/>
          <w:lang w:eastAsia="ja-JP"/>
        </w:rPr>
        <w:t xml:space="preserve">to </w:t>
      </w:r>
      <w:r w:rsidR="00EF7E04" w:rsidRPr="00FD5300">
        <w:rPr>
          <w:rFonts w:eastAsia="ＭＳ 明朝"/>
          <w:b/>
          <w:lang w:eastAsia="ja-JP"/>
        </w:rPr>
        <w:t xml:space="preserve">perform BWP switching onto BWP#0 configuration option 1? </w:t>
      </w:r>
      <w:r w:rsidR="00BE6DFE" w:rsidRPr="00FD5300">
        <w:rPr>
          <w:rFonts w:eastAsia="ＭＳ 明朝"/>
          <w:b/>
          <w:lang w:eastAsia="ja-JP"/>
        </w:rPr>
        <w:t xml:space="preserve"> </w:t>
      </w:r>
    </w:p>
    <w:p w14:paraId="013803A9" w14:textId="77777777" w:rsidR="00A84E27" w:rsidRDefault="00AA0E69" w:rsidP="0037552D">
      <w:pPr>
        <w:rPr>
          <w:rFonts w:eastAsiaTheme="minorEastAsia"/>
          <w:lang w:eastAsia="zh-CN"/>
        </w:rPr>
      </w:pPr>
      <w:r>
        <w:rPr>
          <w:rFonts w:eastAsia="ＭＳ 明朝"/>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purpose to introduce DCI-based BWP switching is changing the BWP quickly </w:t>
            </w:r>
            <w:r>
              <w:rPr>
                <w:rFonts w:eastAsiaTheme="minorEastAsia"/>
                <w:lang w:eastAsia="zh-CN"/>
              </w:rPr>
              <w:lastRenderedPageBreak/>
              <w:t xml:space="preserve">and have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gNB’s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gNB’s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gNB implementation. </w:t>
            </w:r>
            <w:r w:rsidR="005A14C8">
              <w:rPr>
                <w:rFonts w:eastAsia="Malgun Gothic"/>
                <w:lang w:eastAsia="ko-KR"/>
              </w:rPr>
              <w:t>Typical use-case for DCI-based BWP switching is the obvious one – UE power savings in adaptation to traffic conditions</w:t>
            </w:r>
            <w:r w:rsidR="009F6AD0">
              <w:rPr>
                <w:rFonts w:eastAsia="Malgun Gothic"/>
                <w:lang w:eastAsia="ko-KR"/>
              </w:rPr>
              <w:t>, and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lang w:eastAsia="zh-CN"/>
              </w:rPr>
            </w:pPr>
            <w:r>
              <w:rPr>
                <w:rFonts w:eastAsiaTheme="minorEastAsia" w:hint="eastAsia"/>
                <w:lang w:eastAsia="zh-CN"/>
              </w:rPr>
              <w:t>We agree with the comments above that it is not precluded and can be up to gNB implementation.</w:t>
            </w:r>
          </w:p>
        </w:tc>
      </w:tr>
      <w:tr w:rsidR="00292723" w14:paraId="2D654AC9" w14:textId="77777777" w:rsidTr="004806C4">
        <w:tc>
          <w:tcPr>
            <w:tcW w:w="1696" w:type="dxa"/>
          </w:tcPr>
          <w:p w14:paraId="147CAD33" w14:textId="72B84F15" w:rsidR="00292723" w:rsidRDefault="00292723" w:rsidP="00292723">
            <w:pPr>
              <w:rPr>
                <w:rFonts w:eastAsiaTheme="minorEastAsia" w:hint="eastAsia"/>
                <w:lang w:eastAsia="zh-CN"/>
              </w:rPr>
            </w:pPr>
            <w:r>
              <w:rPr>
                <w:rFonts w:eastAsia="Malgun Gothic"/>
                <w:lang w:eastAsia="ko-KR"/>
              </w:rPr>
              <w:t>NTT DOCOMO</w:t>
            </w:r>
          </w:p>
        </w:tc>
        <w:tc>
          <w:tcPr>
            <w:tcW w:w="7611" w:type="dxa"/>
          </w:tcPr>
          <w:p w14:paraId="0E0D4038" w14:textId="23BED097" w:rsidR="00292723" w:rsidRDefault="00292723" w:rsidP="00292723">
            <w:pPr>
              <w:rPr>
                <w:rFonts w:eastAsiaTheme="minorEastAsia" w:hint="eastAsia"/>
                <w:lang w:eastAsia="zh-CN"/>
              </w:rPr>
            </w:pPr>
            <w:r w:rsidRPr="007148C6">
              <w:rPr>
                <w:rFonts w:eastAsia="Malgun Gothic"/>
                <w:lang w:eastAsia="ko-KR"/>
              </w:rPr>
              <w:t>We don't see the specific use case, although the case is supported by current UEs.</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ＭＳ 明朝"/>
          <w:lang w:eastAsia="ja-JP"/>
        </w:rPr>
      </w:pPr>
    </w:p>
    <w:p w14:paraId="013803B8" w14:textId="77777777" w:rsidR="00EF7E04" w:rsidRPr="00CF195E" w:rsidRDefault="00EF7E04" w:rsidP="00EF7E04">
      <w:pPr>
        <w:pStyle w:val="1"/>
      </w:pPr>
      <w:r>
        <w:t xml:space="preserve">Discussion Point 2 </w:t>
      </w:r>
    </w:p>
    <w:p w14:paraId="013803B9" w14:textId="77777777" w:rsidR="00EF7E04" w:rsidRPr="00FD5300" w:rsidRDefault="00EF7E04" w:rsidP="00FD5300">
      <w:pPr>
        <w:pStyle w:val="af4"/>
        <w:numPr>
          <w:ilvl w:val="0"/>
          <w:numId w:val="33"/>
        </w:numPr>
        <w:rPr>
          <w:rFonts w:eastAsia="ＭＳ 明朝"/>
          <w:b/>
          <w:lang w:eastAsia="ja-JP"/>
        </w:rPr>
      </w:pPr>
      <w:r w:rsidRPr="00FD5300">
        <w:rPr>
          <w:rFonts w:eastAsia="ＭＳ 明朝"/>
          <w:b/>
          <w:lang w:eastAsia="ja-JP"/>
        </w:rPr>
        <w:t>Is it possible to have minimized</w:t>
      </w:r>
      <w:r w:rsidR="00AA0E69" w:rsidRPr="00FD5300">
        <w:rPr>
          <w:rFonts w:eastAsia="ＭＳ 明朝"/>
          <w:b/>
          <w:lang w:eastAsia="ja-JP"/>
        </w:rPr>
        <w:t>/no</w:t>
      </w:r>
      <w:r w:rsidRPr="00FD5300">
        <w:rPr>
          <w:rFonts w:eastAsia="ＭＳ 明朝"/>
          <w:b/>
          <w:lang w:eastAsia="ja-JP"/>
        </w:rPr>
        <w:t xml:space="preserve"> specification/implementation impact to avoid the issue </w:t>
      </w:r>
      <w:r w:rsidR="00AA0E69" w:rsidRPr="00FD5300">
        <w:rPr>
          <w:rFonts w:eastAsia="ＭＳ 明朝"/>
          <w:b/>
          <w:lang w:eastAsia="ja-JP"/>
        </w:rPr>
        <w:t>as identified in [1]</w:t>
      </w:r>
      <w:r w:rsidRPr="00FD5300">
        <w:rPr>
          <w:rFonts w:eastAsia="ＭＳ 明朝"/>
          <w:b/>
          <w:lang w:eastAsia="ja-JP"/>
        </w:rPr>
        <w:t xml:space="preserve">?  </w:t>
      </w:r>
    </w:p>
    <w:p w14:paraId="013803BA" w14:textId="77777777" w:rsidR="005E22AC" w:rsidRDefault="00AA0E69" w:rsidP="00EF7E04">
      <w:pPr>
        <w:rPr>
          <w:rFonts w:eastAsia="ＭＳ 明朝"/>
          <w:lang w:eastAsia="ja-JP"/>
        </w:rPr>
      </w:pPr>
      <w:r>
        <w:rPr>
          <w:rFonts w:eastAsia="ＭＳ 明朝"/>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ＭＳ 明朝"/>
          <w:lang w:eastAsia="ja-JP"/>
        </w:rPr>
        <w:t xml:space="preserve">mentioned counter-configurations </w:t>
      </w:r>
      <w:r>
        <w:rPr>
          <w:rFonts w:eastAsia="ＭＳ 明朝"/>
          <w:lang w:eastAsia="ja-JP"/>
        </w:rPr>
        <w:t xml:space="preserve">will actually impose an even restricted configuration to gNB, compared with the proposal </w:t>
      </w:r>
      <w:r w:rsidRPr="00AA0E69">
        <w:rPr>
          <w:rFonts w:eastAsia="ＭＳ 明朝"/>
          <w:lang w:eastAsia="ja-JP"/>
        </w:rPr>
        <w:t>in [1]</w:t>
      </w:r>
      <w:r>
        <w:rPr>
          <w:rFonts w:eastAsia="ＭＳ 明朝"/>
          <w:lang w:eastAsia="ja-JP"/>
        </w:rPr>
        <w:t xml:space="preserve"> (i.e.,</w:t>
      </w:r>
      <w:r w:rsidRPr="00AA0E69">
        <w:rPr>
          <w:rFonts w:eastAsia="ＭＳ 明朝"/>
          <w:lang w:eastAsia="ja-JP"/>
        </w:rPr>
        <w:t xml:space="preserve"> to conclude that when </w:t>
      </w:r>
      <w:r w:rsidRPr="00AA0E69">
        <w:rPr>
          <w:rFonts w:eastAsia="ＭＳ 明朝"/>
          <w:i/>
          <w:lang w:eastAsia="ja-JP"/>
        </w:rPr>
        <w:t>bwp-InactivityTimer</w:t>
      </w:r>
      <w:r w:rsidRPr="00AA0E69">
        <w:rPr>
          <w:rFonts w:eastAsia="ＭＳ 明朝"/>
          <w:lang w:eastAsia="ja-JP"/>
        </w:rPr>
        <w:t xml:space="preserve"> is not configured by gNB, a UE does not expect to receive a DCI format to switch from a BWP to BWP#0 with option 1</w:t>
      </w:r>
      <w:r>
        <w:rPr>
          <w:rFonts w:eastAsia="ＭＳ 明朝"/>
          <w:lang w:eastAsia="ja-JP"/>
        </w:rPr>
        <w:t>)</w:t>
      </w:r>
      <w:r w:rsidRPr="00AA0E69">
        <w:rPr>
          <w:rFonts w:eastAsia="ＭＳ 明朝"/>
          <w:lang w:eastAsia="ja-JP"/>
        </w:rPr>
        <w:t>.</w:t>
      </w:r>
      <w:r>
        <w:rPr>
          <w:rFonts w:eastAsia="ＭＳ 明朝"/>
          <w:lang w:eastAsia="ja-JP"/>
        </w:rPr>
        <w:t xml:space="preserve"> </w:t>
      </w:r>
      <w:r w:rsidR="004806C4">
        <w:rPr>
          <w:rFonts w:eastAsia="ＭＳ 明朝"/>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ＭＳ 明朝"/>
          <w:lang w:eastAsia="ja-JP"/>
        </w:rPr>
      </w:pPr>
      <w:r>
        <w:rPr>
          <w:rFonts w:eastAsia="ＭＳ 明朝"/>
          <w:lang w:eastAsia="ja-JP"/>
        </w:rPr>
        <w:t xml:space="preserve">It is also moderator understanding that if there is no clear motivation/use case based on the discussion point 1, </w:t>
      </w:r>
      <w:r w:rsidR="004806C4">
        <w:rPr>
          <w:rFonts w:eastAsia="ＭＳ 明朝"/>
          <w:lang w:eastAsia="ja-JP"/>
        </w:rPr>
        <w:t>the proposal in [1]</w:t>
      </w:r>
      <w:r>
        <w:rPr>
          <w:rFonts w:eastAsia="ＭＳ 明朝"/>
          <w:lang w:eastAsia="ja-JP"/>
        </w:rPr>
        <w:t xml:space="preserve"> </w:t>
      </w:r>
      <w:r w:rsidR="004806C4">
        <w:rPr>
          <w:rFonts w:eastAsia="ＭＳ 明朝"/>
          <w:lang w:eastAsia="ja-JP"/>
        </w:rPr>
        <w:t>could</w:t>
      </w:r>
      <w:r>
        <w:rPr>
          <w:rFonts w:eastAsia="ＭＳ 明朝"/>
          <w:lang w:eastAsia="ja-JP"/>
        </w:rPr>
        <w:t xml:space="preserve"> be </w:t>
      </w:r>
      <w:r w:rsidR="004806C4">
        <w:rPr>
          <w:rFonts w:eastAsia="ＭＳ 明朝"/>
          <w:lang w:eastAsia="ja-JP"/>
        </w:rPr>
        <w:t>the</w:t>
      </w:r>
      <w:r>
        <w:rPr>
          <w:rFonts w:eastAsia="ＭＳ 明朝"/>
          <w:lang w:eastAsia="ja-JP"/>
        </w:rPr>
        <w:t xml:space="preserve"> simplest outcome without specification changes and real sites implementation impact.</w:t>
      </w:r>
      <w:r w:rsidR="004806C4">
        <w:rPr>
          <w:rFonts w:eastAsia="ＭＳ 明朝"/>
          <w:lang w:eastAsia="ja-JP"/>
        </w:rPr>
        <w:t xml:space="preserve"> However, with more discussion based on the above, there </w:t>
      </w:r>
      <w:r w:rsidR="005E22AC">
        <w:rPr>
          <w:rFonts w:eastAsia="ＭＳ 明朝"/>
          <w:lang w:eastAsia="ja-JP"/>
        </w:rPr>
        <w:t>could</w:t>
      </w:r>
      <w:r w:rsidR="004806C4">
        <w:rPr>
          <w:rFonts w:eastAsia="ＭＳ 明朝"/>
          <w:lang w:eastAsia="ja-JP"/>
        </w:rPr>
        <w:t xml:space="preserve"> be other potential conclusion</w:t>
      </w:r>
      <w:r w:rsidR="005E22AC">
        <w:rPr>
          <w:rFonts w:eastAsia="ＭＳ 明朝"/>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ae"/>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lastRenderedPageBreak/>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Huawei, HiSilicon</w:t>
            </w:r>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r w:rsidR="00EF1D96" w:rsidRPr="00AA0E69">
              <w:rPr>
                <w:rFonts w:eastAsia="ＭＳ 明朝"/>
                <w:i/>
                <w:lang w:eastAsia="ja-JP"/>
              </w:rPr>
              <w:t>bwp-InactivityTimer</w:t>
            </w:r>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r w:rsidRPr="00BE4FFB">
              <w:rPr>
                <w:b/>
                <w:bCs/>
                <w:i/>
                <w:iCs/>
                <w:lang w:val="en-GB" w:eastAsia="ja-JP"/>
              </w:rPr>
              <w:t>bwp-InactivityTimer</w:t>
            </w:r>
            <w:r w:rsidRPr="00BE4FFB">
              <w:rPr>
                <w:b/>
                <w:bCs/>
                <w:lang w:val="en-GB"/>
              </w:rPr>
              <w:t>” with a short value</w:t>
            </w:r>
            <w:r>
              <w:rPr>
                <w:lang w:val="en-GB"/>
              </w:rPr>
              <w:t xml:space="preserve"> and set the “</w:t>
            </w:r>
            <w:r w:rsidRPr="00BE4FFB">
              <w:rPr>
                <w:b/>
                <w:bCs/>
                <w:i/>
                <w:iCs/>
                <w:lang w:val="en-GB" w:eastAsia="ja-JP"/>
              </w:rPr>
              <w:t>defaultDownlinkBWP-Id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r>
              <w:rPr>
                <w:rFonts w:eastAsia="Malgun Gothic"/>
                <w:lang w:eastAsia="ko-KR"/>
              </w:rPr>
              <w:t>case</w:t>
            </w:r>
            <w:r w:rsidRPr="006A2F08">
              <w:rPr>
                <w:rFonts w:eastAsia="Malgun Gothic"/>
                <w:lang w:eastAsia="ko-KR"/>
              </w:rPr>
              <w:t xml:space="preserve">, for example, configure </w:t>
            </w:r>
            <w:r w:rsidRPr="006A2F08">
              <w:rPr>
                <w:rFonts w:eastAsia="Malgun Gothic"/>
                <w:i/>
                <w:lang w:eastAsia="ko-KR"/>
              </w:rPr>
              <w:t>bwp-InactivityTimer</w:t>
            </w:r>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ＭＳ 明朝"/>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gNB can use </w:t>
            </w:r>
            <w:r w:rsidRPr="006A2F08">
              <w:rPr>
                <w:rFonts w:eastAsia="Malgun Gothic"/>
                <w:i/>
                <w:lang w:eastAsia="ko-KR"/>
              </w:rPr>
              <w:t>RRC</w:t>
            </w:r>
            <w:r>
              <w:rPr>
                <w:rFonts w:eastAsia="Malgun Gothic"/>
                <w:i/>
                <w:lang w:eastAsia="ko-KR"/>
              </w:rPr>
              <w:t>R</w:t>
            </w:r>
            <w:r w:rsidRPr="006A2F08">
              <w:rPr>
                <w:rFonts w:eastAsia="Malgun Gothic"/>
                <w:i/>
                <w:lang w:eastAsia="ko-KR"/>
              </w:rPr>
              <w:t xml:space="preserve">econfiguration,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false alarm rate is quite small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importantly, as mentioned by ZTE and others, it’d be the gNB’s responsibility to configure the features and any associated fallback mechanisms appropriately for a given UE</w:t>
            </w:r>
            <w:r w:rsidR="00C55226">
              <w:rPr>
                <w:rFonts w:eastAsia="Malgun Gothic"/>
                <w:lang w:eastAsia="ko-KR"/>
              </w:rPr>
              <w:t xml:space="preserve">’s link condition, traffic load, and QoS requirements. There are already multiple tools available to ensure </w:t>
            </w:r>
            <w:r w:rsidR="00636A88">
              <w:rPr>
                <w:rFonts w:eastAsia="Malgun Gothic"/>
                <w:lang w:eastAsia="ko-KR"/>
              </w:rPr>
              <w:t>fallback, and there is no need to c</w:t>
            </w:r>
            <w:r w:rsidR="002B2858">
              <w:rPr>
                <w:rFonts w:eastAsia="Malgun Gothic"/>
                <w:lang w:eastAsia="ko-KR"/>
              </w:rPr>
              <w:t>onclude on some additional restriction on something that should be left up to gNB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lang w:eastAsia="zh-CN"/>
              </w:rPr>
            </w:pPr>
            <w:r>
              <w:rPr>
                <w:rFonts w:eastAsiaTheme="minorEastAsia" w:hint="eastAsia"/>
                <w:lang w:eastAsia="zh-CN"/>
              </w:rPr>
              <w:t xml:space="preserve">Agree with the comments above that no additional spec change/clarification is </w:t>
            </w:r>
            <w:r>
              <w:rPr>
                <w:rFonts w:eastAsiaTheme="minorEastAsia" w:hint="eastAsia"/>
                <w:lang w:eastAsia="zh-CN"/>
              </w:rPr>
              <w:lastRenderedPageBreak/>
              <w:t>needed.</w:t>
            </w:r>
          </w:p>
        </w:tc>
      </w:tr>
      <w:tr w:rsidR="00292723" w14:paraId="7CBD35DA" w14:textId="77777777" w:rsidTr="00466752">
        <w:tc>
          <w:tcPr>
            <w:tcW w:w="1696" w:type="dxa"/>
          </w:tcPr>
          <w:p w14:paraId="5958D358" w14:textId="28E4FBA7" w:rsidR="00292723" w:rsidRDefault="00292723" w:rsidP="00292723">
            <w:pPr>
              <w:rPr>
                <w:rFonts w:eastAsiaTheme="minorEastAsia" w:hint="eastAsia"/>
                <w:lang w:eastAsia="zh-CN"/>
              </w:rPr>
            </w:pPr>
            <w:r>
              <w:rPr>
                <w:rFonts w:eastAsia="ＭＳ 明朝" w:hint="eastAsia"/>
                <w:lang w:eastAsia="ja-JP"/>
              </w:rPr>
              <w:lastRenderedPageBreak/>
              <w:t>N</w:t>
            </w:r>
            <w:r>
              <w:rPr>
                <w:rFonts w:eastAsia="ＭＳ 明朝"/>
                <w:lang w:eastAsia="ja-JP"/>
              </w:rPr>
              <w:t>TT DOCOMO</w:t>
            </w:r>
          </w:p>
        </w:tc>
        <w:tc>
          <w:tcPr>
            <w:tcW w:w="7611" w:type="dxa"/>
          </w:tcPr>
          <w:p w14:paraId="3FB0CD35" w14:textId="73970D1B" w:rsidR="00292723" w:rsidRDefault="00292723" w:rsidP="00292723">
            <w:pPr>
              <w:rPr>
                <w:rFonts w:eastAsiaTheme="minorEastAsia" w:hint="eastAsia"/>
                <w:lang w:eastAsia="zh-CN"/>
              </w:rPr>
            </w:pPr>
            <w:r w:rsidRPr="007148C6">
              <w:rPr>
                <w:rFonts w:eastAsia="Malgun Gothic"/>
                <w:lang w:eastAsia="ko-KR"/>
              </w:rPr>
              <w:t>We see tha</w:t>
            </w:r>
            <w:bookmarkStart w:id="3" w:name="_GoBack"/>
            <w:bookmarkEnd w:id="3"/>
            <w:r w:rsidRPr="007148C6">
              <w:rPr>
                <w:rFonts w:eastAsia="Malgun Gothic"/>
                <w:lang w:eastAsia="ko-KR"/>
              </w:rPr>
              <w:t>t configuring “bwp-InactivityTimer” and setting the “defaultDownlinkBWP-Id” to BWP#1” can be a potential solution with using current specification. On the other hands, we may also consider the case if these parameters are not supported by current implementation. In this case, we agree with [1] that there may be the potential issue. And if the proposed solution in [1] is specified, we think it can be generalized e.g., "When bwp-InactivityTimer is not configured by gNB, a UE does not expect to receive a DCI format to switch from a BWP to BWP without dedicated config" so that in any case with BWP without dedicated configuration the potential issue on switching can be avoided.</w:t>
            </w:r>
          </w:p>
        </w:tc>
      </w:tr>
    </w:tbl>
    <w:p w14:paraId="013803C8" w14:textId="77777777" w:rsidR="00313D39" w:rsidRPr="0097222C" w:rsidRDefault="00313D39" w:rsidP="0037552D">
      <w:pPr>
        <w:rPr>
          <w:rFonts w:eastAsia="ＭＳ 明朝"/>
          <w:b/>
          <w:i/>
          <w:lang w:eastAsia="ja-JP"/>
        </w:rPr>
      </w:pPr>
    </w:p>
    <w:p w14:paraId="013803C9" w14:textId="77777777" w:rsidR="00157FC3" w:rsidRPr="00CF195E" w:rsidRDefault="00747F48" w:rsidP="00CF195E">
      <w:pPr>
        <w:pStyle w:val="1"/>
      </w:pPr>
      <w:r w:rsidRPr="00CF195E">
        <w:t>Conclusion</w:t>
      </w:r>
      <w:r w:rsidR="006B1FD5" w:rsidRPr="00CF195E">
        <w:t>s</w:t>
      </w:r>
    </w:p>
    <w:p w14:paraId="013803CA" w14:textId="77777777" w:rsidR="00F5562C" w:rsidRDefault="004806C4" w:rsidP="00F5562C">
      <w:pPr>
        <w:rPr>
          <w:kern w:val="2"/>
          <w:lang w:val="en-GB" w:eastAsia="zh-CN"/>
        </w:rPr>
      </w:pPr>
      <w:r>
        <w:rPr>
          <w:kern w:val="2"/>
          <w:lang w:val="en-GB" w:eastAsia="zh-CN"/>
        </w:rPr>
        <w:t>TBD.</w:t>
      </w:r>
    </w:p>
    <w:p w14:paraId="013803CB" w14:textId="77777777" w:rsidR="004806C4" w:rsidRPr="0097222C" w:rsidRDefault="004806C4" w:rsidP="00F5562C">
      <w:pPr>
        <w:rPr>
          <w:rFonts w:eastAsia="ＭＳ 明朝"/>
          <w:b/>
          <w:i/>
          <w:lang w:eastAsia="ja-JP"/>
        </w:rPr>
      </w:pPr>
    </w:p>
    <w:p w14:paraId="013803CC" w14:textId="77777777"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5FC9" w14:textId="77777777" w:rsidR="00CA5FEC" w:rsidRDefault="00CA5FEC">
      <w:r>
        <w:separator/>
      </w:r>
    </w:p>
  </w:endnote>
  <w:endnote w:type="continuationSeparator" w:id="0">
    <w:p w14:paraId="01168927" w14:textId="77777777" w:rsidR="00CA5FEC" w:rsidRDefault="00CA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19C0" w14:textId="77777777" w:rsidR="00CA5FEC" w:rsidRDefault="00CA5FEC">
      <w:r>
        <w:separator/>
      </w:r>
    </w:p>
  </w:footnote>
  <w:footnote w:type="continuationSeparator" w:id="0">
    <w:p w14:paraId="399E6799" w14:textId="77777777" w:rsidR="00CA5FEC" w:rsidRDefault="00CA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C5F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E2E2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49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9AA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9C1E48"/>
    <w:lvl w:ilvl="0">
      <w:start w:val="1"/>
      <w:numFmt w:val="decimal"/>
      <w:lvlText w:val="%1."/>
      <w:lvlJc w:val="left"/>
      <w:pPr>
        <w:tabs>
          <w:tab w:val="num" w:pos="360"/>
        </w:tabs>
        <w:ind w:left="360" w:hanging="360"/>
      </w:pPr>
    </w:lvl>
  </w:abstractNum>
  <w:abstractNum w:abstractNumId="9" w15:restartNumberingAfterBreak="0">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1601C"/>
    <w:multiLevelType w:val="hybridMultilevel"/>
    <w:tmpl w:val="450C6492"/>
    <w:lvl w:ilvl="0" w:tplc="A9B28E84">
      <w:start w:val="3"/>
      <w:numFmt w:val="decimal"/>
      <w:lvlText w:val="%1."/>
      <w:lvlJc w:val="left"/>
      <w:pPr>
        <w:tabs>
          <w:tab w:val="num" w:pos="1200"/>
        </w:tabs>
        <w:ind w:left="1200" w:hanging="1200"/>
      </w:pPr>
      <w:rPr>
        <w:rFonts w:eastAsia="ＭＳ 明朝"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15:restartNumberingAfterBreak="0">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15:restartNumberingAfterBreak="0">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15:restartNumberingAfterBreak="0">
    <w:nsid w:val="3D022D1A"/>
    <w:multiLevelType w:val="hybridMultilevel"/>
    <w:tmpl w:val="EDBE29C4"/>
    <w:lvl w:ilvl="0" w:tplc="8DFA5358">
      <w:numFmt w:val="bullet"/>
      <w:lvlText w:val="-"/>
      <w:lvlJc w:val="left"/>
      <w:pPr>
        <w:tabs>
          <w:tab w:val="num" w:pos="810"/>
        </w:tabs>
        <w:ind w:left="810" w:hanging="360"/>
      </w:pPr>
      <w:rPr>
        <w:rFonts w:ascii="Times New Roman" w:eastAsia="ＭＳ 明朝"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801E2F"/>
    <w:multiLevelType w:val="hybridMultilevel"/>
    <w:tmpl w:val="6EE24626"/>
    <w:lvl w:ilvl="0" w:tplc="B70E26D8">
      <w:numFmt w:val="bullet"/>
      <w:lvlText w:val="-"/>
      <w:lvlJc w:val="left"/>
      <w:pPr>
        <w:tabs>
          <w:tab w:val="num" w:pos="810"/>
        </w:tabs>
        <w:ind w:left="810" w:hanging="360"/>
      </w:pPr>
      <w:rPr>
        <w:rFonts w:ascii="Times New Roman" w:eastAsia="ＭＳ 明朝"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5435424C"/>
    <w:multiLevelType w:val="hybridMultilevel"/>
    <w:tmpl w:val="D562AA44"/>
    <w:lvl w:ilvl="0" w:tplc="C2FCEFB0">
      <w:numFmt w:val="bullet"/>
      <w:lvlText w:val="-"/>
      <w:lvlJc w:val="left"/>
      <w:pPr>
        <w:tabs>
          <w:tab w:val="num" w:pos="845"/>
        </w:tabs>
        <w:ind w:left="845" w:hanging="360"/>
      </w:pPr>
      <w:rPr>
        <w:rFonts w:ascii="Times New Roman" w:eastAsia="ＭＳ 明朝"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15:restartNumberingAfterBreak="0">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ＭＳ 明朝"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2723"/>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A5FEC"/>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80396"/>
  <w15:docId w15:val="{233C39E1-6223-4CB2-9B3C-3645F515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本文 (文字)"/>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ヘッダー (文字)"/>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フッター (文字)"/>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basedOn w:val="a"/>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s\R1-220245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FBB9A-FCE2-40A6-867F-0E99A2AD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kurita</cp:lastModifiedBy>
  <cp:revision>4</cp:revision>
  <cp:lastPrinted>2007-06-18T22:08:00Z</cp:lastPrinted>
  <dcterms:created xsi:type="dcterms:W3CDTF">2022-02-22T07:40:00Z</dcterms:created>
  <dcterms:modified xsi:type="dcterms:W3CDTF">2022-02-22T09:00:00Z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