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bookmarkStart w:id="18" w:name="_GoBack"/>
            <w:bookmarkEnd w:id="18"/>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 xml:space="preserve">-slot based PUCCH repetition have been introduced in URLLC, and PUCCH repetitions can be transmitted within a slot. If joint channel </w:t>
            </w:r>
            <w:r>
              <w:lastRenderedPageBreak/>
              <w:t>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D51E53">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D51E53">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D51E53">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D51E53">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D51E53">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D51E53">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D51E53">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D51E53">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D51E53">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D51E53">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D51E53">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D51E53">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D51E53">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D51E53">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D51E53">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D51E53">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D51E53">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D51E53">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D51E53">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D51E53">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D51E53">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D51E53">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D51E53">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D51E53">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7A8D" w14:textId="77777777" w:rsidR="00D51E53" w:rsidRDefault="00D51E53">
      <w:r>
        <w:separator/>
      </w:r>
    </w:p>
  </w:endnote>
  <w:endnote w:type="continuationSeparator" w:id="0">
    <w:p w14:paraId="3E53CBF5" w14:textId="77777777" w:rsidR="00D51E53" w:rsidRDefault="00D5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28580F" w:rsidRDefault="0028580F">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28580F" w:rsidRDefault="0028580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5FCADC87" w:rsidR="0028580F" w:rsidRDefault="0028580F">
    <w:pPr>
      <w:pStyle w:val="ad"/>
      <w:ind w:right="360"/>
    </w:pPr>
    <w:r>
      <w:rPr>
        <w:rStyle w:val="af6"/>
      </w:rPr>
      <w:fldChar w:fldCharType="begin"/>
    </w:r>
    <w:r>
      <w:rPr>
        <w:rStyle w:val="af6"/>
      </w:rPr>
      <w:instrText xml:space="preserve"> PAGE </w:instrText>
    </w:r>
    <w:r>
      <w:rPr>
        <w:rStyle w:val="af6"/>
      </w:rPr>
      <w:fldChar w:fldCharType="separate"/>
    </w:r>
    <w:r w:rsidR="00B71B56">
      <w:rPr>
        <w:rStyle w:val="af6"/>
        <w:noProof/>
      </w:rPr>
      <w:t>42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71B56">
      <w:rPr>
        <w:rStyle w:val="af6"/>
        <w:noProof/>
      </w:rPr>
      <w:t>43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CB9E" w14:textId="77777777" w:rsidR="00D51E53" w:rsidRDefault="00D51E53">
      <w:r>
        <w:separator/>
      </w:r>
    </w:p>
  </w:footnote>
  <w:footnote w:type="continuationSeparator" w:id="0">
    <w:p w14:paraId="4DE7D086" w14:textId="77777777" w:rsidR="00D51E53" w:rsidRDefault="00D5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4">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2">
    <w:name w:val="index 1"/>
    <w:basedOn w:val="a"/>
    <w:next w:val="a"/>
    <w:semiHidden/>
    <w:qFormat/>
    <w:pPr>
      <w:keepLines/>
      <w:spacing w:after="160" w:line="280" w:lineRule="atLeast"/>
      <w:jc w:val="both"/>
    </w:pPr>
    <w:rPr>
      <w:rFonts w:eastAsia="宋体"/>
      <w:sz w:val="20"/>
      <w:szCs w:val="20"/>
    </w:r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6BC1834-C84A-4374-A841-DD1F5550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14097</Words>
  <Characters>80356</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2</cp:revision>
  <cp:lastPrinted>2014-11-07T05:38:00Z</cp:lastPrinted>
  <dcterms:created xsi:type="dcterms:W3CDTF">2021-11-17T11:37:00Z</dcterms:created>
  <dcterms:modified xsi:type="dcterms:W3CDTF">2021-11-17T11:37:00Z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