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r>
        <w:rPr>
          <w:lang w:val="en-GB"/>
        </w:rPr>
        <w:t>repropose</w:t>
      </w:r>
      <w:proofErr w:type="spell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spacing w:after="0"/>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spacing w:after="0" w:line="240" w:lineRule="auto"/>
        <w:jc w:val="left"/>
        <w:rPr>
          <w:b/>
          <w:bCs/>
          <w:color w:val="FF00FF"/>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HARQ-ACK for the first SPS PDSCH associated with the activation DCI is configured in SPS-</w:t>
      </w:r>
      <w:proofErr w:type="spellStart"/>
      <w:r>
        <w:rPr>
          <w:color w:val="000000" w:themeColor="text1"/>
        </w:rPr>
        <w:t>Config</w:t>
      </w:r>
      <w:proofErr w:type="spellEnd"/>
      <w:r>
        <w:rPr>
          <w:color w:val="000000" w:themeColor="text1"/>
        </w:rPr>
        <w:t xml:space="preserve">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spellStart"/>
            <w:r>
              <w:t>mis</w:t>
            </w:r>
            <w:proofErr w:type="spellEnd"/>
            <w:r>
              <w:t>-alignment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after="0"/>
              <w:rPr>
                <w:b/>
                <w:bCs/>
              </w:rPr>
            </w:pPr>
            <w:r>
              <w:rPr>
                <w:b/>
                <w:bCs/>
              </w:rPr>
              <w:t>Company name</w:t>
            </w:r>
          </w:p>
        </w:tc>
        <w:tc>
          <w:tcPr>
            <w:tcW w:w="7627" w:type="dxa"/>
          </w:tcPr>
          <w:p w14:paraId="27560EB4" w14:textId="77777777" w:rsidR="00524959" w:rsidRDefault="00524959" w:rsidP="00E97C42">
            <w:pPr>
              <w:spacing w:before="0" w:after="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E97C42">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 xml:space="preserve">be possible. Hopping patterns 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E97C42">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spacing w:after="0"/>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spacing w:after="0"/>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spacing w:after="0"/>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spacing w:after="0"/>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spacing w:after="0"/>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spacing w:after="0"/>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spacing w:after="0"/>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spacing w:after="0"/>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spacing w:after="0"/>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spacing w:after="0"/>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spacing w:after="0"/>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spacing w:after="0"/>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spacing w:after="0"/>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spacing w:after="0"/>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lastRenderedPageBreak/>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after="0"/>
              <w:jc w:val="center"/>
              <w:rPr>
                <w:b/>
                <w:bCs/>
              </w:rPr>
            </w:pPr>
            <w:r>
              <w:rPr>
                <w:b/>
                <w:bCs/>
              </w:rPr>
              <w:t>Company name</w:t>
            </w:r>
          </w:p>
        </w:tc>
        <w:tc>
          <w:tcPr>
            <w:tcW w:w="3870" w:type="dxa"/>
          </w:tcPr>
          <w:p w14:paraId="2B8E3FC2" w14:textId="1A2305A6" w:rsidR="008B19FA" w:rsidRDefault="008B19FA" w:rsidP="00E97C42">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 xml:space="preserve">Separated configuration could provide flexibilities to both frequency hopping and TDW. The frequency hopping interval could be same as the length of the configured TDW. And then FH interval could also be </w:t>
            </w:r>
            <w:r>
              <w:rPr>
                <w:rFonts w:eastAsiaTheme="minorEastAsia"/>
                <w:lang w:eastAsia="zh-CN"/>
              </w:rPr>
              <w:lastRenderedPageBreak/>
              <w:t>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bCs/>
                <w:lang w:eastAsia="zh-CN"/>
              </w:rPr>
            </w:pPr>
            <w:r>
              <w:rPr>
                <w:rFonts w:eastAsia="MS Mincho"/>
                <w:bCs/>
                <w:lang w:eastAsia="ja-JP"/>
              </w:rPr>
              <w:lastRenderedPageBreak/>
              <w:t>Intel</w:t>
            </w:r>
          </w:p>
        </w:tc>
        <w:tc>
          <w:tcPr>
            <w:tcW w:w="3870" w:type="dxa"/>
            <w:shd w:val="clear" w:color="auto" w:fill="auto"/>
          </w:tcPr>
          <w:p w14:paraId="5F4057DF" w14:textId="3721803D" w:rsidR="0004630F" w:rsidRDefault="0004630F" w:rsidP="0004630F">
            <w:pPr>
              <w:spacing w:after="0"/>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spacing w:after="0"/>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spacing w:after="0"/>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spacing w:after="0"/>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spacing w:after="0"/>
              <w:rPr>
                <w:lang w:eastAsia="zh-CN"/>
              </w:rPr>
            </w:pPr>
            <w:r>
              <w:rPr>
                <w:lang w:eastAsia="zh-CN"/>
              </w:rPr>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spacing w:after="0"/>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spacing w:after="0"/>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after="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after="0"/>
              <w:rPr>
                <w:rFonts w:eastAsia="Malgun Gothic"/>
                <w:lang w:eastAsia="ko-KR"/>
              </w:rPr>
            </w:pPr>
            <w:r>
              <w:rPr>
                <w:rFonts w:eastAsia="Malgun Gothic"/>
                <w:lang w:eastAsia="ko-KR"/>
              </w:rPr>
              <w:tab/>
            </w:r>
          </w:p>
          <w:p w14:paraId="57C9A852" w14:textId="77777777" w:rsidR="00383FDE" w:rsidRDefault="00383FDE" w:rsidP="00383FDE">
            <w:pPr>
              <w:spacing w:before="0" w:after="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after="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spacing w:after="0"/>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spacing w:after="0"/>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spacing w:after="0"/>
              <w:rPr>
                <w:rFonts w:eastAsiaTheme="minorEastAsia"/>
                <w:lang w:eastAsia="zh-CN"/>
              </w:rPr>
            </w:pPr>
            <w:r>
              <w:rPr>
                <w:rFonts w:eastAsiaTheme="minorEastAsia"/>
                <w:lang w:eastAsia="zh-CN"/>
              </w:rPr>
              <w:lastRenderedPageBreak/>
              <w:t>We prefer separate parameters.</w:t>
            </w:r>
          </w:p>
        </w:tc>
        <w:tc>
          <w:tcPr>
            <w:tcW w:w="4584" w:type="dxa"/>
          </w:tcPr>
          <w:p w14:paraId="0182D97B" w14:textId="77777777" w:rsidR="00AA3AB9" w:rsidRDefault="00AA3AB9" w:rsidP="00324F0A">
            <w:pPr>
              <w:spacing w:after="0"/>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spacing w:after="0"/>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spacing w:after="0"/>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spacing w:after="0"/>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spacing w:after="0"/>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spacing w:after="0"/>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spacing w:after="0"/>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spacing w:after="0"/>
              <w:rPr>
                <w:rFonts w:eastAsiaTheme="minorEastAsia"/>
                <w:bCs/>
                <w:lang w:eastAsia="zh-CN"/>
              </w:rPr>
            </w:pPr>
            <w:r w:rsidRPr="00F95AD8">
              <w:rPr>
                <w:rFonts w:eastAsiaTheme="minorEastAsia"/>
                <w:bCs/>
                <w:lang w:eastAsia="zh-CN"/>
              </w:rPr>
              <w:t>InterDigital</w:t>
            </w:r>
          </w:p>
        </w:tc>
        <w:tc>
          <w:tcPr>
            <w:tcW w:w="3870" w:type="dxa"/>
          </w:tcPr>
          <w:p w14:paraId="1C49BD7B" w14:textId="0172AEAD" w:rsidR="00F95AD8" w:rsidRDefault="00F95AD8" w:rsidP="00324F0A">
            <w:pPr>
              <w:spacing w:after="0"/>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spacing w:after="0"/>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spacing w:after="0"/>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spacing w:after="0"/>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spacing w:after="0"/>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bookmarkStart w:id="18" w:name="_GoBack"/>
            <w:bookmarkEnd w:id="18"/>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after="0"/>
              <w:jc w:val="center"/>
              <w:rPr>
                <w:b/>
                <w:bCs/>
              </w:rPr>
            </w:pPr>
            <w:r>
              <w:rPr>
                <w:b/>
                <w:bCs/>
              </w:rPr>
              <w:lastRenderedPageBreak/>
              <w:t>Company name</w:t>
            </w:r>
          </w:p>
        </w:tc>
        <w:tc>
          <w:tcPr>
            <w:tcW w:w="8454" w:type="dxa"/>
          </w:tcPr>
          <w:p w14:paraId="66409402" w14:textId="7085FE20" w:rsidR="008B19FA" w:rsidRDefault="008B19FA" w:rsidP="00E97C42">
            <w:pPr>
              <w:spacing w:before="0" w:after="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spacing w:after="0"/>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spacing w:after="0"/>
              <w:rPr>
                <w:rFonts w:eastAsia="MS Mincho"/>
                <w:lang w:eastAsia="ja-JP"/>
              </w:rPr>
            </w:pPr>
            <w:r>
              <w:rPr>
                <w:rFonts w:eastAsia="MS Mincho"/>
                <w:lang w:eastAsia="ja-JP"/>
              </w:rPr>
              <w:t>Disagree with CMCC. In Option 2, DM-RS would always restart after FH event since a new nominal TDW would start.</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E97C42">
        <w:trPr>
          <w:trHeight w:val="206"/>
        </w:trPr>
        <w:tc>
          <w:tcPr>
            <w:tcW w:w="1435" w:type="dxa"/>
          </w:tcPr>
          <w:p w14:paraId="3E9C75AF" w14:textId="77777777" w:rsidR="008B19FA" w:rsidRDefault="008B19FA" w:rsidP="00E97C42">
            <w:pPr>
              <w:spacing w:before="0" w:after="0"/>
              <w:jc w:val="center"/>
              <w:rPr>
                <w:b/>
                <w:bCs/>
              </w:rPr>
            </w:pPr>
            <w:r>
              <w:rPr>
                <w:b/>
                <w:bCs/>
              </w:rPr>
              <w:t>Company name</w:t>
            </w:r>
          </w:p>
        </w:tc>
        <w:tc>
          <w:tcPr>
            <w:tcW w:w="3870" w:type="dxa"/>
          </w:tcPr>
          <w:p w14:paraId="135B93AB" w14:textId="360B4723" w:rsidR="008B19FA" w:rsidRDefault="008B19FA" w:rsidP="00E97C42">
            <w:pPr>
              <w:spacing w:before="0" w:after="0"/>
              <w:jc w:val="center"/>
              <w:rPr>
                <w:b/>
                <w:bCs/>
              </w:rPr>
            </w:pPr>
            <w:r>
              <w:rPr>
                <w:b/>
                <w:bCs/>
              </w:rPr>
              <w:t>Support option 1 or option 2?</w:t>
            </w:r>
          </w:p>
        </w:tc>
        <w:tc>
          <w:tcPr>
            <w:tcW w:w="4320" w:type="dxa"/>
          </w:tcPr>
          <w:p w14:paraId="3B3CB979" w14:textId="77777777" w:rsidR="008B19FA" w:rsidRDefault="008B19FA" w:rsidP="00E97C42">
            <w:pPr>
              <w:spacing w:before="0" w:after="0"/>
              <w:jc w:val="center"/>
              <w:rPr>
                <w:b/>
                <w:bCs/>
              </w:rPr>
            </w:pPr>
            <w:r>
              <w:rPr>
                <w:b/>
                <w:bCs/>
              </w:rPr>
              <w:t>Justifications</w:t>
            </w:r>
          </w:p>
        </w:tc>
      </w:tr>
      <w:tr w:rsidR="008B19FA" w14:paraId="3CA004EC" w14:textId="77777777" w:rsidTr="00E97C42">
        <w:tc>
          <w:tcPr>
            <w:tcW w:w="1435" w:type="dxa"/>
            <w:shd w:val="clear" w:color="auto" w:fill="auto"/>
          </w:tcPr>
          <w:p w14:paraId="6D4CCFA4" w14:textId="60453683" w:rsidR="008B19FA" w:rsidRDefault="00DA4A07" w:rsidP="00E97C42">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spacing w:after="0"/>
              <w:rPr>
                <w:rFonts w:eastAsia="MS Mincho"/>
                <w:lang w:eastAsia="ja-JP"/>
              </w:rPr>
            </w:pPr>
          </w:p>
        </w:tc>
      </w:tr>
      <w:tr w:rsidR="003F6CD0" w14:paraId="681D3AE3" w14:textId="77777777" w:rsidTr="00E97C42">
        <w:tc>
          <w:tcPr>
            <w:tcW w:w="1435" w:type="dxa"/>
            <w:shd w:val="clear" w:color="auto" w:fill="auto"/>
          </w:tcPr>
          <w:p w14:paraId="7BC6918A" w14:textId="20E80D3F" w:rsidR="003F6CD0" w:rsidRDefault="003F6CD0" w:rsidP="00E97C42">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spacing w:after="0"/>
              <w:rPr>
                <w:rFonts w:eastAsia="MS Mincho"/>
                <w:lang w:eastAsia="ja-JP"/>
              </w:rPr>
            </w:pPr>
          </w:p>
        </w:tc>
      </w:tr>
      <w:tr w:rsidR="007475EE" w14:paraId="6B9A5C82" w14:textId="77777777" w:rsidTr="00E97C42">
        <w:tc>
          <w:tcPr>
            <w:tcW w:w="1435" w:type="dxa"/>
            <w:shd w:val="clear" w:color="auto" w:fill="auto"/>
          </w:tcPr>
          <w:p w14:paraId="44474E5C" w14:textId="276781E5" w:rsidR="007475EE" w:rsidRDefault="007475EE" w:rsidP="00E97C42">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E97C42">
        <w:tc>
          <w:tcPr>
            <w:tcW w:w="1435" w:type="dxa"/>
            <w:shd w:val="clear" w:color="auto" w:fill="auto"/>
          </w:tcPr>
          <w:p w14:paraId="07404071" w14:textId="3E78CDF1" w:rsidR="009273D2" w:rsidRDefault="009273D2" w:rsidP="00E97C42">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E97C42">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E97C42">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E97C42">
        <w:tc>
          <w:tcPr>
            <w:tcW w:w="1435" w:type="dxa"/>
            <w:shd w:val="clear" w:color="auto" w:fill="auto"/>
          </w:tcPr>
          <w:p w14:paraId="416192C3" w14:textId="2EFF5F4C" w:rsidR="00372BCA" w:rsidRDefault="00F95AD8" w:rsidP="00372BCA">
            <w:pPr>
              <w:spacing w:after="0"/>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lastRenderedPageBreak/>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E97C42">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E97C42">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E97C42">
            <w:pPr>
              <w:spacing w:after="0"/>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3870" w:type="dxa"/>
          </w:tcPr>
          <w:p w14:paraId="2B800B6E" w14:textId="77777777" w:rsidR="00DD63AB" w:rsidRDefault="00DD63AB" w:rsidP="00E97C42">
            <w:pPr>
              <w:spacing w:after="0"/>
              <w:jc w:val="left"/>
              <w:rPr>
                <w:rFonts w:eastAsiaTheme="minorEastAsia"/>
                <w:lang w:eastAsia="zh-CN"/>
              </w:rPr>
            </w:pPr>
            <w:r>
              <w:rPr>
                <w:rFonts w:eastAsiaTheme="minorEastAsia"/>
                <w:lang w:eastAsia="zh-CN"/>
              </w:rPr>
              <w:t>Option 2.</w:t>
            </w:r>
          </w:p>
          <w:p w14:paraId="6A434703" w14:textId="77777777" w:rsidR="00DD63AB" w:rsidRDefault="00DD63AB" w:rsidP="00E97C42">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spacing w:after="0"/>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spacing w:after="0"/>
              <w:rPr>
                <w:rFonts w:eastAsiaTheme="minorEastAsia"/>
                <w:lang w:eastAsia="zh-CN"/>
              </w:rPr>
            </w:pPr>
          </w:p>
          <w:p w14:paraId="34E3C3FF" w14:textId="77777777" w:rsidR="00DD63AB" w:rsidRDefault="00DD63AB" w:rsidP="00E97C42">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DD63AB">
        <w:tc>
          <w:tcPr>
            <w:tcW w:w="1435" w:type="dxa"/>
          </w:tcPr>
          <w:p w14:paraId="64A56299" w14:textId="20AE5A63" w:rsidR="00002569" w:rsidRDefault="00002569" w:rsidP="00815F04">
            <w:pPr>
              <w:spacing w:after="0"/>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spacing w:after="0"/>
              <w:jc w:val="left"/>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spacing w:after="0"/>
              <w:jc w:val="left"/>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spacing w:after="0"/>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spacing w:after="0"/>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spacing w:after="0"/>
              <w:rPr>
                <w:rFonts w:eastAsia="MS Mincho"/>
                <w:color w:val="FF0000"/>
                <w:sz w:val="20"/>
                <w:szCs w:val="20"/>
                <w:lang w:eastAsia="ja-JP"/>
              </w:rPr>
            </w:pPr>
            <w:r w:rsidRPr="00002569">
              <w:rPr>
                <w:rFonts w:eastAsia="MS Mincho"/>
                <w:color w:val="FF0000"/>
                <w:sz w:val="20"/>
                <w:szCs w:val="20"/>
                <w:lang w:eastAsia="ja-JP"/>
              </w:rPr>
              <w:lastRenderedPageBreak/>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spacing w:after="0"/>
              <w:jc w:val="left"/>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spacing w:after="0"/>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DD63AB">
        <w:tc>
          <w:tcPr>
            <w:tcW w:w="1435" w:type="dxa"/>
          </w:tcPr>
          <w:p w14:paraId="493B12E2" w14:textId="1A6DF220" w:rsidR="00383FDE" w:rsidRPr="00383FDE" w:rsidRDefault="00383FDE" w:rsidP="00815F0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spacing w:after="0"/>
              <w:jc w:val="left"/>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spacing w:after="0"/>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AA3AB9">
        <w:tc>
          <w:tcPr>
            <w:tcW w:w="1435" w:type="dxa"/>
          </w:tcPr>
          <w:p w14:paraId="49056632" w14:textId="77777777" w:rsidR="00AA3AB9" w:rsidRDefault="00AA3AB9" w:rsidP="00324F0A">
            <w:pPr>
              <w:spacing w:after="0"/>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spacing w:after="0"/>
              <w:jc w:val="left"/>
              <w:rPr>
                <w:rFonts w:eastAsiaTheme="minorEastAsia"/>
                <w:lang w:eastAsia="zh-CN"/>
              </w:rPr>
            </w:pPr>
            <w:r>
              <w:rPr>
                <w:rFonts w:eastAsiaTheme="minorEastAsia"/>
                <w:lang w:eastAsia="zh-CN"/>
              </w:rPr>
              <w:t>Option 1.</w:t>
            </w:r>
          </w:p>
          <w:p w14:paraId="6279411E" w14:textId="77777777" w:rsidR="00AA3AB9" w:rsidRDefault="00AA3AB9" w:rsidP="00324F0A">
            <w:pPr>
              <w:spacing w:after="0"/>
              <w:jc w:val="left"/>
              <w:rPr>
                <w:rFonts w:eastAsiaTheme="minorEastAsia"/>
                <w:lang w:eastAsia="zh-CN"/>
              </w:rPr>
            </w:pPr>
          </w:p>
        </w:tc>
        <w:tc>
          <w:tcPr>
            <w:tcW w:w="4320" w:type="dxa"/>
          </w:tcPr>
          <w:p w14:paraId="60C41881" w14:textId="77777777" w:rsidR="00AA3AB9" w:rsidRDefault="00AA3AB9" w:rsidP="00324F0A">
            <w:pPr>
              <w:spacing w:after="0"/>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spacing w:after="0"/>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2C739D">
        <w:tc>
          <w:tcPr>
            <w:tcW w:w="1435" w:type="dxa"/>
          </w:tcPr>
          <w:p w14:paraId="45236DEE" w14:textId="77777777" w:rsidR="002C739D" w:rsidRDefault="002C739D" w:rsidP="00324F0A">
            <w:pPr>
              <w:spacing w:after="0"/>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spacing w:after="0"/>
              <w:jc w:val="left"/>
              <w:rPr>
                <w:rFonts w:eastAsia="MS Mincho"/>
                <w:lang w:eastAsia="ja-JP"/>
              </w:rPr>
            </w:pPr>
            <w:r>
              <w:rPr>
                <w:rFonts w:eastAsia="MS Mincho"/>
                <w:lang w:eastAsia="ja-JP"/>
              </w:rPr>
              <w:t>Option 1.</w:t>
            </w:r>
          </w:p>
          <w:p w14:paraId="732C7E0C" w14:textId="77777777" w:rsidR="002C739D" w:rsidRDefault="002C739D" w:rsidP="00324F0A">
            <w:pPr>
              <w:spacing w:after="0"/>
              <w:jc w:val="left"/>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spacing w:after="0"/>
              <w:jc w:val="left"/>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spacing w:after="0"/>
              <w:jc w:val="left"/>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spacing w:after="0"/>
              <w:ind w:left="288"/>
              <w:jc w:val="left"/>
              <w:rPr>
                <w:rFonts w:eastAsia="MS Mincho"/>
                <w:lang w:eastAsia="ja-JP"/>
              </w:rPr>
            </w:pPr>
            <w:r>
              <w:rPr>
                <w:rFonts w:eastAsia="MS Mincho"/>
                <w:lang w:eastAsia="ja-JP"/>
              </w:rPr>
              <w:lastRenderedPageBreak/>
              <w:t>X</w:t>
            </w:r>
            <w:r w:rsidR="002C739D">
              <w:rPr>
                <w:rFonts w:eastAsia="MS Mincho"/>
                <w:lang w:eastAsia="ja-JP"/>
              </w:rPr>
              <w:t>xxx0xxx11xxxx0xxx11</w:t>
            </w:r>
          </w:p>
          <w:p w14:paraId="2BBCAF9D" w14:textId="77777777" w:rsidR="002C739D" w:rsidRDefault="002C739D" w:rsidP="00324F0A">
            <w:pPr>
              <w:spacing w:after="0"/>
              <w:jc w:val="left"/>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spacing w:after="0"/>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spacing w:after="0"/>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spacing w:after="0"/>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spacing w:after="0"/>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2C739D">
        <w:tc>
          <w:tcPr>
            <w:tcW w:w="1435" w:type="dxa"/>
          </w:tcPr>
          <w:p w14:paraId="0D1BFE78" w14:textId="3BB0E2D5" w:rsidR="00F95AD8" w:rsidRDefault="00F95AD8" w:rsidP="00324F0A">
            <w:pPr>
              <w:spacing w:after="0"/>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spacing w:after="0"/>
              <w:jc w:val="left"/>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spacing w:after="0"/>
              <w:rPr>
                <w:rFonts w:eastAsia="MS Mincho"/>
                <w:lang w:eastAsia="ja-JP"/>
              </w:rPr>
            </w:pPr>
            <w:r>
              <w:rPr>
                <w:rFonts w:eastAsia="MS Mincho"/>
                <w:lang w:eastAsia="ja-JP"/>
              </w:rPr>
              <w:t>Allows independent configuration of frequency hopping and DMRS bundling.</w:t>
            </w:r>
          </w:p>
        </w:tc>
      </w:tr>
      <w:tr w:rsidR="00584D8E" w14:paraId="2DD7E568" w14:textId="77777777" w:rsidTr="002C739D">
        <w:tc>
          <w:tcPr>
            <w:tcW w:w="1435" w:type="dxa"/>
          </w:tcPr>
          <w:p w14:paraId="6399960E" w14:textId="57272A15" w:rsidR="00584D8E" w:rsidRDefault="00584D8E" w:rsidP="00324F0A">
            <w:pPr>
              <w:spacing w:after="0"/>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spacing w:after="0"/>
              <w:jc w:val="left"/>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spacing w:after="0"/>
              <w:rPr>
                <w:rFonts w:eastAsia="MS Mincho"/>
                <w:lang w:eastAsia="ja-JP"/>
              </w:rPr>
            </w:pP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r w:rsidR="002954B1">
        <w:fldChar w:fldCharType="begin"/>
      </w:r>
      <w:r w:rsidR="002954B1">
        <w:instrText xml:space="preserve"> SEQ Proposal \* ARABIC </w:instrText>
      </w:r>
      <w:r w:rsidR="002954B1">
        <w:fldChar w:fldCharType="separate"/>
      </w:r>
      <w:r>
        <w:t>3</w:t>
      </w:r>
      <w:r w:rsidR="002954B1">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954B1">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2954B1">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954B1">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954B1">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954B1">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2954B1">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954B1">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954B1">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954B1">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954B1">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954B1">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954B1">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954B1">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954B1">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954B1">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2954B1">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954B1">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954B1">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954B1">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954B1">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954B1">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954B1">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954B1">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954B1">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CA85" w14:textId="77777777" w:rsidR="002954B1" w:rsidRDefault="002954B1">
      <w:pPr>
        <w:spacing w:line="240" w:lineRule="auto"/>
      </w:pPr>
      <w:r>
        <w:separator/>
      </w:r>
    </w:p>
  </w:endnote>
  <w:endnote w:type="continuationSeparator" w:id="0">
    <w:p w14:paraId="20561053" w14:textId="77777777" w:rsidR="002954B1" w:rsidRDefault="00295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324F0A" w:rsidRDefault="00324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24F0A" w:rsidRDefault="00324F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6068F512" w:rsidR="00324F0A" w:rsidRDefault="00324F0A">
    <w:pPr>
      <w:pStyle w:val="Footer"/>
      <w:ind w:right="360"/>
    </w:pPr>
    <w:r>
      <w:rPr>
        <w:rStyle w:val="PageNumber"/>
      </w:rPr>
      <w:fldChar w:fldCharType="begin"/>
    </w:r>
    <w:r>
      <w:rPr>
        <w:rStyle w:val="PageNumber"/>
      </w:rPr>
      <w:instrText xml:space="preserve"> PAGE </w:instrText>
    </w:r>
    <w:r>
      <w:rPr>
        <w:rStyle w:val="PageNumber"/>
      </w:rPr>
      <w:fldChar w:fldCharType="separate"/>
    </w:r>
    <w:r w:rsidR="001A3C56">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3C5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A43F" w14:textId="77777777" w:rsidR="002954B1" w:rsidRDefault="002954B1">
      <w:pPr>
        <w:spacing w:after="0" w:line="240" w:lineRule="auto"/>
      </w:pPr>
      <w:r>
        <w:separator/>
      </w:r>
    </w:p>
  </w:footnote>
  <w:footnote w:type="continuationSeparator" w:id="0">
    <w:p w14:paraId="43E629AA" w14:textId="77777777" w:rsidR="002954B1" w:rsidRDefault="0029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324F0A" w:rsidRDefault="00324F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9"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16"/>
  </w:num>
  <w:num w:numId="4">
    <w:abstractNumId w:val="4"/>
  </w:num>
  <w:num w:numId="5">
    <w:abstractNumId w:val="9"/>
  </w:num>
  <w:num w:numId="6">
    <w:abstractNumId w:val="26"/>
  </w:num>
  <w:num w:numId="7">
    <w:abstractNumId w:val="24"/>
  </w:num>
  <w:num w:numId="8">
    <w:abstractNumId w:val="17"/>
  </w:num>
  <w:num w:numId="9">
    <w:abstractNumId w:val="21"/>
  </w:num>
  <w:num w:numId="10">
    <w:abstractNumId w:val="1"/>
  </w:num>
  <w:num w:numId="11">
    <w:abstractNumId w:val="12"/>
  </w:num>
  <w:num w:numId="12">
    <w:abstractNumId w:val="23"/>
  </w:num>
  <w:num w:numId="13">
    <w:abstractNumId w:val="32"/>
  </w:num>
  <w:num w:numId="14">
    <w:abstractNumId w:val="25"/>
  </w:num>
  <w:num w:numId="15">
    <w:abstractNumId w:val="14"/>
  </w:num>
  <w:num w:numId="16">
    <w:abstractNumId w:val="27"/>
  </w:num>
  <w:num w:numId="17">
    <w:abstractNumId w:val="3"/>
  </w:num>
  <w:num w:numId="18">
    <w:abstractNumId w:val="18"/>
  </w:num>
  <w:num w:numId="19">
    <w:abstractNumId w:val="0"/>
  </w:num>
  <w:num w:numId="20">
    <w:abstractNumId w:val="29"/>
  </w:num>
  <w:num w:numId="21">
    <w:abstractNumId w:val="20"/>
  </w:num>
  <w:num w:numId="22">
    <w:abstractNumId w:val="8"/>
  </w:num>
  <w:num w:numId="23">
    <w:abstractNumId w:val="15"/>
  </w:num>
  <w:num w:numId="24">
    <w:abstractNumId w:val="10"/>
  </w:num>
  <w:num w:numId="25">
    <w:abstractNumId w:val="31"/>
  </w:num>
  <w:num w:numId="26">
    <w:abstractNumId w:val="28"/>
  </w:num>
  <w:num w:numId="27">
    <w:abstractNumId w:val="33"/>
  </w:num>
  <w:num w:numId="28">
    <w:abstractNumId w:val="7"/>
  </w:num>
  <w:num w:numId="29">
    <w:abstractNumId w:val="13"/>
  </w:num>
  <w:num w:numId="30">
    <w:abstractNumId w:val="30"/>
  </w:num>
  <w:num w:numId="31">
    <w:abstractNumId w:val="19"/>
  </w:num>
  <w:num w:numId="32">
    <w:abstractNumId w:val="6"/>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FCD7EA-7B66-4CEC-B9E7-38395BBE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12505</Words>
  <Characters>71283</Characters>
  <Application>Microsoft Office Word</Application>
  <DocSecurity>0</DocSecurity>
  <Lines>594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2021-11-16T21:22:00Z</dcterms:created>
  <dcterms:modified xsi:type="dcterms:W3CDTF">2021-11-16T21:26:00Z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