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spacing w:after="0"/>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9F3CBD">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spacing w:after="0"/>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spacing w:after="0"/>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spacing w:after="0"/>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spacing w:after="0"/>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spacing w:after="0"/>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spacing w:after="0"/>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spacing w:after="0"/>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spacing w:after="0"/>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spacing w:after="0"/>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spacing w:after="0"/>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spacing w:after="0"/>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spacing w:after="0"/>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spacing w:after="0" w:line="240" w:lineRule="auto"/>
        <w:jc w:val="left"/>
        <w:rPr>
          <w:b/>
          <w:bCs/>
          <w:color w:val="FF00FF"/>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lastRenderedPageBreak/>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spacing w:after="0"/>
              <w:rPr>
                <w:bCs/>
                <w:lang w:eastAsia="zh-CN"/>
              </w:rPr>
            </w:pPr>
            <w:r>
              <w:rPr>
                <w:bCs/>
                <w:lang w:eastAsia="zh-CN"/>
              </w:rPr>
              <w:t>Ericsson</w:t>
            </w:r>
          </w:p>
        </w:tc>
        <w:tc>
          <w:tcPr>
            <w:tcW w:w="7627" w:type="dxa"/>
          </w:tcPr>
          <w:p w14:paraId="3BC417F6" w14:textId="77777777" w:rsidR="00A24A8F" w:rsidRDefault="00A24A8F" w:rsidP="009F3CBD">
            <w:pPr>
              <w:spacing w:after="0"/>
              <w:rPr>
                <w:lang w:eastAsia="zh-CN"/>
              </w:rPr>
            </w:pPr>
            <w:r>
              <w:rPr>
                <w:lang w:eastAsia="zh-CN"/>
              </w:rPr>
              <w:t>We are OK with the main bullet.</w:t>
            </w:r>
          </w:p>
          <w:p w14:paraId="6CD8094A" w14:textId="77777777" w:rsidR="00A24A8F" w:rsidRDefault="00A24A8F" w:rsidP="009F3CBD">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spacing w:after="0" w:line="240" w:lineRule="auto"/>
              <w:jc w:val="left"/>
              <w:rPr>
                <w:b/>
                <w:bCs/>
                <w:color w:val="000000" w:themeColor="text1"/>
                <w:lang w:val="en-GB"/>
              </w:rPr>
            </w:pPr>
            <w:r>
              <w:rPr>
                <w:b/>
                <w:bCs/>
                <w:highlight w:val="magenta"/>
              </w:rPr>
              <w:lastRenderedPageBreak/>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lastRenderedPageBreak/>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r w:rsidR="009F3CBD" w14:paraId="48F4195D" w14:textId="77777777" w:rsidTr="00A24A8F">
        <w:tc>
          <w:tcPr>
            <w:tcW w:w="2335" w:type="dxa"/>
          </w:tcPr>
          <w:p w14:paraId="131ED9D5" w14:textId="1912F338" w:rsidR="009F3CBD" w:rsidRDefault="009F3CBD" w:rsidP="00FD40F0">
            <w:pPr>
              <w:spacing w:after="0"/>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spacing w:after="0"/>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spacing w:after="0"/>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spacing w:after="0"/>
              <w:rPr>
                <w:lang w:eastAsia="zh-CN"/>
              </w:rPr>
            </w:pPr>
            <w:r>
              <w:rPr>
                <w:rFonts w:hint="eastAsia"/>
                <w:lang w:eastAsia="zh-CN"/>
              </w:rPr>
              <w:t>S</w:t>
            </w:r>
            <w:r>
              <w:rPr>
                <w:lang w:eastAsia="zh-CN"/>
              </w:rPr>
              <w:t>upport the proposal.</w:t>
            </w:r>
          </w:p>
          <w:p w14:paraId="7CAD3A05" w14:textId="2F1BEB5B" w:rsidR="00D96CE4" w:rsidRDefault="00D96CE4" w:rsidP="00D96CE4">
            <w:pPr>
              <w:spacing w:after="0"/>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spacing w:after="0"/>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spacing w:after="0"/>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spacing w:after="0"/>
              <w:rPr>
                <w:rFonts w:eastAsia="Malgun Gothic"/>
                <w:lang w:eastAsia="ko-KR"/>
              </w:rPr>
            </w:pPr>
            <w:r>
              <w:rPr>
                <w:rFonts w:eastAsia="Malgun Gothic"/>
                <w:lang w:eastAsia="ko-KR"/>
              </w:rPr>
              <w:t>Similar view with Nokia.</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Heading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lastRenderedPageBreak/>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spacing w:after="0"/>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lastRenderedPageBreak/>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spacing w:after="0"/>
              <w:rPr>
                <w:bCs/>
                <w:lang w:eastAsia="zh-CN"/>
              </w:rPr>
            </w:pPr>
            <w:r>
              <w:rPr>
                <w:bCs/>
                <w:lang w:eastAsia="zh-CN"/>
              </w:rPr>
              <w:t>Ericsson</w:t>
            </w:r>
          </w:p>
        </w:tc>
        <w:tc>
          <w:tcPr>
            <w:tcW w:w="7627" w:type="dxa"/>
          </w:tcPr>
          <w:p w14:paraId="0FC152F5" w14:textId="77777777" w:rsidR="00A24A8F" w:rsidRDefault="00A24A8F" w:rsidP="009F3CBD">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t>Samsung</w:t>
            </w:r>
          </w:p>
        </w:tc>
        <w:tc>
          <w:tcPr>
            <w:tcW w:w="7627" w:type="dxa"/>
          </w:tcPr>
          <w:p w14:paraId="5FC33A0F" w14:textId="0F67AB3F" w:rsidR="00FD40F0" w:rsidRDefault="00FD40F0" w:rsidP="00FD40F0">
            <w:pPr>
              <w:spacing w:after="0"/>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spacing w:after="0"/>
              <w:jc w:val="left"/>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spacing w:after="0"/>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spacing w:after="0"/>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627" w:type="dxa"/>
          </w:tcPr>
          <w:p w14:paraId="4E4270D3" w14:textId="6E9327FE" w:rsidR="00CC2FF9" w:rsidRPr="007E1853" w:rsidRDefault="007E1853" w:rsidP="007B310E">
            <w:pPr>
              <w:spacing w:after="0"/>
              <w:rPr>
                <w:rFonts w:eastAsiaTheme="minorEastAsia"/>
                <w:lang w:eastAsia="zh-CN"/>
              </w:rPr>
            </w:pPr>
            <w:r>
              <w:rPr>
                <w:rFonts w:eastAsiaTheme="minorEastAsia"/>
                <w:lang w:eastAsia="zh-CN"/>
              </w:rPr>
              <w:t>OK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lastRenderedPageBreak/>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lastRenderedPageBreak/>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spacing w:after="0"/>
              <w:rPr>
                <w:bCs/>
                <w:lang w:eastAsia="zh-CN"/>
              </w:rPr>
            </w:pPr>
            <w:r>
              <w:rPr>
                <w:bCs/>
                <w:lang w:eastAsia="zh-CN"/>
              </w:rPr>
              <w:t>V</w:t>
            </w:r>
            <w:r w:rsidR="002B7C18">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r w:rsidRPr="003D1654">
              <w:rPr>
                <w:bCs/>
                <w:lang w:eastAsia="zh-CN"/>
              </w:rPr>
              <w:t>InterDigital</w:t>
            </w:r>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spacing w:after="0"/>
              <w:rPr>
                <w:bCs/>
                <w:lang w:eastAsia="zh-CN"/>
              </w:rPr>
            </w:pPr>
            <w:r>
              <w:rPr>
                <w:bCs/>
                <w:lang w:eastAsia="zh-CN"/>
              </w:rPr>
              <w:t>Ericsson</w:t>
            </w:r>
          </w:p>
        </w:tc>
        <w:tc>
          <w:tcPr>
            <w:tcW w:w="7627" w:type="dxa"/>
          </w:tcPr>
          <w:p w14:paraId="303185B0" w14:textId="77777777" w:rsidR="00A24A8F" w:rsidRDefault="00A24A8F" w:rsidP="009F3CBD">
            <w:pPr>
              <w:spacing w:after="0"/>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 xml:space="preserve">We are fine with </w:t>
            </w:r>
            <w:proofErr w:type="gramStart"/>
            <w:r>
              <w:rPr>
                <w:lang w:eastAsia="zh-CN"/>
              </w:rPr>
              <w:t>reusing  PUSCH</w:t>
            </w:r>
            <w:proofErr w:type="gramEnd"/>
            <w:r>
              <w:rPr>
                <w:lang w:eastAsia="zh-CN"/>
              </w:rPr>
              <w:t xml:space="preserve">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spacing w:after="0"/>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spacing w:after="0"/>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lastRenderedPageBreak/>
        <w:t xml:space="preserve">Based on companies input in Tdocs submitted to RAN1#107, the pros and cons of the above options are summarized as below. </w:t>
      </w:r>
    </w:p>
    <w:p w14:paraId="4C8000D8" w14:textId="77777777" w:rsidR="00F27BB7" w:rsidRDefault="00F27BB7">
      <w:pPr>
        <w:spacing w:after="0"/>
        <w:jc w:val="left"/>
      </w:pPr>
    </w:p>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1DA4BE71" w:rsidR="00F27BB7" w:rsidRDefault="002B7C18">
            <w:pPr>
              <w:spacing w:before="0" w:after="0"/>
              <w:jc w:val="left"/>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Cons: dynamic events impact hopping pattern [R1-2111439], mis-alignment of hopping pattern between gNB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 xml:space="preserve">We think that this deserves a bit more discussion, given that we have never discussed how each Option would be realized in practice. Before doing this, we would like to elaborate on major differences between Option 1 and the others. We believe that this is fundamental to </w:t>
            </w:r>
            <w:r>
              <w:rPr>
                <w:lang w:eastAsia="zh-CN"/>
              </w:rPr>
              <w:lastRenderedPageBreak/>
              <w:t>ensure that RAN1 does not make a hasty decision which may undermine the success of the feature:</w:t>
            </w:r>
          </w:p>
          <w:p w14:paraId="53C35B9A"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51B7E271"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r w:rsidRPr="00425594">
              <w:rPr>
                <w:bCs/>
                <w:lang w:eastAsia="zh-CN"/>
              </w:rPr>
              <w:t>InterDigital</w:t>
            </w:r>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lastRenderedPageBreak/>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lastRenderedPageBreak/>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spacing w:after="0"/>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lastRenderedPageBreak/>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spacing w:after="0"/>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same number of PRBs. Since one of UEs is coverage 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Pr>
        <w:spacing w:after="0"/>
        <w:jc w:val="left"/>
      </w:pPr>
    </w:p>
    <w:p w14:paraId="169307BC" w14:textId="0BF811BD" w:rsidR="00882EB1" w:rsidRDefault="00882EB1">
      <w:pPr>
        <w:spacing w:after="0"/>
        <w:jc w:val="left"/>
      </w:pPr>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lastRenderedPageBreak/>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Pr>
        <w:spacing w:after="0"/>
        <w:jc w:val="left"/>
      </w:pPr>
    </w:p>
    <w:p w14:paraId="4D771CF3" w14:textId="31D27113" w:rsidR="00C55210" w:rsidRDefault="00C55210">
      <w:pPr>
        <w:spacing w:after="0"/>
        <w:jc w:val="left"/>
      </w:pPr>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Pr>
        <w:spacing w:after="0"/>
        <w:jc w:val="left"/>
      </w:pPr>
    </w:p>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after="0"/>
              <w:rPr>
                <w:b/>
                <w:bCs/>
              </w:rPr>
            </w:pPr>
            <w:r>
              <w:rPr>
                <w:b/>
                <w:bCs/>
              </w:rPr>
              <w:t>Company name</w:t>
            </w:r>
          </w:p>
        </w:tc>
        <w:tc>
          <w:tcPr>
            <w:tcW w:w="7627" w:type="dxa"/>
          </w:tcPr>
          <w:p w14:paraId="27560EB4" w14:textId="77777777" w:rsidR="00524959" w:rsidRDefault="00524959" w:rsidP="00E97C42">
            <w:pPr>
              <w:spacing w:before="0" w:after="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after="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after="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after="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after="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spacing w:after="0"/>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spacing w:after="0"/>
              <w:rPr>
                <w:rFonts w:eastAsia="MS Mincho"/>
                <w:lang w:eastAsia="ja-JP"/>
              </w:rPr>
            </w:pPr>
            <w:r>
              <w:rPr>
                <w:rFonts w:eastAsia="MS Mincho"/>
                <w:lang w:eastAsia="ja-JP"/>
              </w:rPr>
              <w:t>@FL: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B32CA3" w14:textId="064BF6C3" w:rsidR="001A15F5" w:rsidRPr="001A15F5" w:rsidRDefault="001A15F5" w:rsidP="00E97C42">
            <w:pPr>
              <w:spacing w:after="0"/>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spacing w:after="0"/>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spacing w:after="0"/>
              <w:rPr>
                <w:rFonts w:eastAsia="MS Mincho"/>
                <w:lang w:eastAsia="ja-JP"/>
              </w:rPr>
            </w:pPr>
            <w:r>
              <w:rPr>
                <w:rFonts w:eastAsia="MS Mincho"/>
                <w:lang w:eastAsia="ja-JP"/>
              </w:rPr>
              <w:t>Support the proposal</w:t>
            </w:r>
          </w:p>
        </w:tc>
      </w:tr>
    </w:tbl>
    <w:p w14:paraId="0890ABFD" w14:textId="77777777" w:rsidR="00524959" w:rsidRDefault="00524959">
      <w:pPr>
        <w:spacing w:after="0"/>
        <w:jc w:val="left"/>
      </w:pPr>
    </w:p>
    <w:p w14:paraId="3862F3D8" w14:textId="1E6B5470" w:rsidR="00F27BB7" w:rsidRDefault="002B7C18">
      <w:pPr>
        <w:spacing w:after="0"/>
        <w:jc w:val="left"/>
      </w:pPr>
      <w:r>
        <w:lastRenderedPageBreak/>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bookmarkStart w:id="16" w:name="_Hlk87874173"/>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bookmarkEnd w:id="16"/>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 xml:space="preserve">We are thinking of hopping being completely decoupled from TDW configuration. Therefore aligning with TDW configurations may not even </w:t>
            </w:r>
            <w:r>
              <w:rPr>
                <w:rFonts w:eastAsia="MS Mincho"/>
                <w:lang w:eastAsia="ja-JP"/>
              </w:rPr>
              <w:lastRenderedPageBreak/>
              <w:t>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lastRenderedPageBreak/>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t>PRO: FH gains are larger, irrespective of whether events occur or not</w:t>
            </w:r>
          </w:p>
          <w:p w14:paraId="5476F509" w14:textId="77777777" w:rsidR="00F27BB7" w:rsidRDefault="002B7C18">
            <w:pPr>
              <w:spacing w:after="0"/>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spacing w:after="0"/>
              <w:rPr>
                <w:bCs/>
                <w:lang w:eastAsia="zh-CN"/>
              </w:rPr>
            </w:pPr>
            <w:r>
              <w:rPr>
                <w:bCs/>
                <w:lang w:eastAsia="zh-CN"/>
              </w:rPr>
              <w:t>V</w:t>
            </w:r>
            <w:r w:rsidR="002B7C18">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lastRenderedPageBreak/>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lastRenderedPageBreak/>
              <w:t xml:space="preserve">Cons: </w:t>
            </w:r>
          </w:p>
          <w:p w14:paraId="271FF5E8" w14:textId="77777777" w:rsidR="00F27BB7" w:rsidRDefault="002B7C18">
            <w:pPr>
              <w:spacing w:after="0"/>
              <w:rPr>
                <w:lang w:eastAsia="zh-CN"/>
              </w:rPr>
            </w:pPr>
            <w:r>
              <w:rPr>
                <w:lang w:eastAsia="zh-CN"/>
              </w:rPr>
              <w:lastRenderedPageBreak/>
              <w:t>1, higher signaling overhead to configure a different length;</w:t>
            </w:r>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lastRenderedPageBreak/>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r w:rsidRPr="005714F3">
              <w:rPr>
                <w:bCs/>
                <w:lang w:eastAsia="zh-CN"/>
              </w:rPr>
              <w:t>InterDigital</w:t>
            </w:r>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r>
              <w:rPr>
                <w:lang w:val="en-GB" w:eastAsia="zh-CN"/>
              </w:rPr>
              <w:t>Pro :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spacing w:after="0"/>
              <w:rPr>
                <w:bCs/>
                <w:lang w:eastAsia="zh-CN"/>
              </w:rPr>
            </w:pPr>
            <w:r>
              <w:rPr>
                <w:bCs/>
                <w:lang w:eastAsia="zh-CN"/>
              </w:rPr>
              <w:t>Ericsson</w:t>
            </w:r>
          </w:p>
        </w:tc>
        <w:tc>
          <w:tcPr>
            <w:tcW w:w="3207" w:type="dxa"/>
          </w:tcPr>
          <w:p w14:paraId="260FC4C5" w14:textId="77777777" w:rsidR="00A24A8F" w:rsidRDefault="00A24A8F" w:rsidP="009F3CBD">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spacing w:after="0"/>
              <w:rPr>
                <w:lang w:eastAsia="zh-CN"/>
              </w:rPr>
            </w:pPr>
            <w:r>
              <w:rPr>
                <w:lang w:eastAsia="zh-CN"/>
              </w:rPr>
              <w:t>Cons:</w:t>
            </w:r>
          </w:p>
          <w:p w14:paraId="0193BDCA" w14:textId="77777777" w:rsidR="00A24A8F" w:rsidRDefault="00A24A8F" w:rsidP="009F3CBD">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spacing w:after="0"/>
              <w:rPr>
                <w:lang w:eastAsia="zh-CN"/>
              </w:rPr>
            </w:pPr>
            <w:r>
              <w:rPr>
                <w:lang w:eastAsia="zh-CN"/>
              </w:rPr>
              <w:t>Unnecessarily restricts FH to exactly match JCE.</w:t>
            </w:r>
          </w:p>
          <w:p w14:paraId="49E3A10E" w14:textId="77777777" w:rsidR="00A24A8F" w:rsidRDefault="00A24A8F" w:rsidP="009F3CBD">
            <w:pPr>
              <w:spacing w:after="0"/>
              <w:rPr>
                <w:lang w:eastAsia="zh-CN"/>
              </w:rPr>
            </w:pPr>
          </w:p>
        </w:tc>
        <w:tc>
          <w:tcPr>
            <w:tcW w:w="2642" w:type="dxa"/>
          </w:tcPr>
          <w:p w14:paraId="3CA660AD" w14:textId="77777777" w:rsidR="00A24A8F" w:rsidRDefault="00A24A8F" w:rsidP="009F3CBD">
            <w:pPr>
              <w:spacing w:after="0"/>
              <w:rPr>
                <w:lang w:eastAsia="zh-CN"/>
              </w:rPr>
            </w:pPr>
            <w:r>
              <w:rPr>
                <w:lang w:eastAsia="zh-CN"/>
              </w:rPr>
              <w:t>Pros:</w:t>
            </w:r>
          </w:p>
          <w:p w14:paraId="55D7B30D" w14:textId="77777777" w:rsidR="00A24A8F" w:rsidRDefault="00A24A8F" w:rsidP="009F3CBD">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9F3CBD">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Lenovo, Motorola Mobility</w:t>
            </w:r>
          </w:p>
        </w:tc>
        <w:tc>
          <w:tcPr>
            <w:tcW w:w="3207" w:type="dxa"/>
          </w:tcPr>
          <w:p w14:paraId="61E81FDA" w14:textId="05A59721" w:rsidR="00C66CD7" w:rsidRDefault="00C66CD7" w:rsidP="00C66CD7">
            <w:pPr>
              <w:spacing w:after="0"/>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spacing w:after="0"/>
              <w:rPr>
                <w:lang w:eastAsia="zh-CN"/>
              </w:rPr>
            </w:pPr>
          </w:p>
        </w:tc>
      </w:tr>
      <w:tr w:rsidR="009D77CB" w14:paraId="35CE77F0" w14:textId="77777777" w:rsidTr="00A24A8F">
        <w:tc>
          <w:tcPr>
            <w:tcW w:w="1471" w:type="dxa"/>
          </w:tcPr>
          <w:p w14:paraId="35EE7E8D" w14:textId="7F1A724B" w:rsidR="009D77CB" w:rsidRPr="009D77CB" w:rsidRDefault="009D77CB" w:rsidP="009D77CB">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3207" w:type="dxa"/>
          </w:tcPr>
          <w:p w14:paraId="1979AC02" w14:textId="2ABD1C08" w:rsidR="009D77CB" w:rsidRDefault="009D77CB" w:rsidP="009D77CB">
            <w:pPr>
              <w:spacing w:after="0"/>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after="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after="0"/>
              <w:rPr>
                <w:rFonts w:eastAsia="Malgun Gothic"/>
                <w:lang w:eastAsia="ko-KR"/>
              </w:rPr>
            </w:pPr>
          </w:p>
          <w:p w14:paraId="5950895C" w14:textId="7F06DA2C" w:rsidR="009D77CB"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spacing w:after="0"/>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after="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after="0"/>
              <w:rPr>
                <w:rFonts w:eastAsia="Malgun Gothic"/>
                <w:lang w:eastAsia="ko-KR"/>
              </w:rPr>
            </w:pPr>
          </w:p>
          <w:p w14:paraId="384D565C" w14:textId="4C4057BC" w:rsidR="009D77CB" w:rsidRPr="00DA2157"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spacing w:after="0"/>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07" w:type="dxa"/>
          </w:tcPr>
          <w:p w14:paraId="14D357C8" w14:textId="77777777" w:rsidR="00B822F0" w:rsidRDefault="00B822F0" w:rsidP="009D77CB">
            <w:pPr>
              <w:spacing w:after="0"/>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spacing w:after="0"/>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spacing w:after="0"/>
              <w:rPr>
                <w:rFonts w:eastAsia="MS Mincho"/>
                <w:lang w:eastAsia="ja-JP"/>
              </w:rPr>
            </w:pPr>
            <w:r>
              <w:rPr>
                <w:rFonts w:eastAsia="MS Mincho"/>
                <w:lang w:eastAsia="ja-JP"/>
              </w:rPr>
              <w:t>(Option 2 in FL Proposal 3)</w:t>
            </w:r>
          </w:p>
          <w:p w14:paraId="31CEBE93" w14:textId="77D202E5" w:rsidR="00B822F0" w:rsidRPr="00B822F0" w:rsidRDefault="00B822F0" w:rsidP="009D77CB">
            <w:pPr>
              <w:spacing w:after="0"/>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spacing w:after="0"/>
              <w:rPr>
                <w:rFonts w:eastAsia="MS Mincho"/>
                <w:lang w:eastAsia="ja-JP"/>
              </w:rPr>
            </w:pPr>
            <w:r>
              <w:rPr>
                <w:rFonts w:eastAsia="MS Mincho"/>
                <w:lang w:eastAsia="ja-JP"/>
              </w:rPr>
              <w:t>(Option 1 in FL Proposal 3)</w:t>
            </w:r>
          </w:p>
          <w:p w14:paraId="2B63D710" w14:textId="452DC538" w:rsidR="00B822F0" w:rsidRDefault="00B822F0" w:rsidP="00B822F0">
            <w:pPr>
              <w:spacing w:after="0"/>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spacing w:after="0"/>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spacing w:after="0"/>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spacing w:after="0"/>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spacing w:after="0"/>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after="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spacing w:after="0"/>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after="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after="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spacing w:after="0"/>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spacing w:after="0"/>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spacing w:after="0"/>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spacing w:after="0"/>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3207" w:type="dxa"/>
          </w:tcPr>
          <w:p w14:paraId="1118377C" w14:textId="77777777" w:rsidR="00CC2FF9" w:rsidRPr="00DC0B20"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spacing w:after="0"/>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spacing w:after="0"/>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spacing w:after="0"/>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spacing w:after="0"/>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spacing w:after="0"/>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spacing w:after="0"/>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Pr>
        <w:spacing w:after="0"/>
        <w:jc w:val="left"/>
      </w:pPr>
    </w:p>
    <w:p w14:paraId="342A911E" w14:textId="123B95F8" w:rsidR="00BB581A" w:rsidRDefault="00BB581A">
      <w:pPr>
        <w:spacing w:after="0"/>
        <w:jc w:val="left"/>
      </w:pPr>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Pr>
        <w:spacing w:after="0"/>
        <w:jc w:val="left"/>
      </w:pPr>
    </w:p>
    <w:p w14:paraId="0BB773FE" w14:textId="77777777" w:rsidR="00BB581A" w:rsidRDefault="00BB581A">
      <w:pPr>
        <w:spacing w:after="0"/>
        <w:jc w:val="left"/>
      </w:pPr>
      <w:r>
        <w:t xml:space="preserve">We need to down-selection between option 1 and 2 in this meeting, to further the discussion, FL like to collect feedback on the FFS points. </w:t>
      </w:r>
    </w:p>
    <w:p w14:paraId="780EFBCE" w14:textId="77777777" w:rsidR="00BB581A" w:rsidRDefault="00BB581A">
      <w:pPr>
        <w:spacing w:after="0"/>
        <w:jc w:val="left"/>
      </w:pPr>
    </w:p>
    <w:p w14:paraId="72238E3D" w14:textId="74143502" w:rsidR="00BB581A" w:rsidRPr="00BB581A" w:rsidRDefault="00BB581A">
      <w:pPr>
        <w:spacing w:after="0"/>
        <w:jc w:val="left"/>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pPr>
        <w:spacing w:after="0"/>
        <w:jc w:val="left"/>
      </w:pPr>
    </w:p>
    <w:tbl>
      <w:tblPr>
        <w:tblStyle w:val="TableGrid"/>
        <w:tblW w:w="0" w:type="auto"/>
        <w:tblLook w:val="04A0" w:firstRow="1" w:lastRow="0" w:firstColumn="1" w:lastColumn="0" w:noHBand="0" w:noVBand="1"/>
      </w:tblPr>
      <w:tblGrid>
        <w:gridCol w:w="1435"/>
        <w:gridCol w:w="3870"/>
        <w:gridCol w:w="4584"/>
      </w:tblGrid>
      <w:tr w:rsidR="00BB581A" w14:paraId="3C39F8DA" w14:textId="77777777" w:rsidTr="009273D2">
        <w:trPr>
          <w:trHeight w:val="206"/>
        </w:trPr>
        <w:tc>
          <w:tcPr>
            <w:tcW w:w="1435" w:type="dxa"/>
          </w:tcPr>
          <w:p w14:paraId="0637CA9D" w14:textId="77777777" w:rsidR="00BB581A" w:rsidRDefault="00BB581A" w:rsidP="008B19FA">
            <w:pPr>
              <w:spacing w:before="0" w:after="0"/>
              <w:jc w:val="center"/>
              <w:rPr>
                <w:b/>
                <w:bCs/>
              </w:rPr>
            </w:pPr>
            <w:r>
              <w:rPr>
                <w:b/>
                <w:bCs/>
              </w:rPr>
              <w:t>Company name</w:t>
            </w:r>
          </w:p>
        </w:tc>
        <w:tc>
          <w:tcPr>
            <w:tcW w:w="3870" w:type="dxa"/>
          </w:tcPr>
          <w:p w14:paraId="25649EFC" w14:textId="67735449" w:rsidR="00BB581A" w:rsidRDefault="00BB581A" w:rsidP="008B19FA">
            <w:pPr>
              <w:spacing w:before="0" w:after="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after="0"/>
              <w:jc w:val="center"/>
              <w:rPr>
                <w:b/>
                <w:bCs/>
              </w:rPr>
            </w:pPr>
            <w:r>
              <w:rPr>
                <w:b/>
                <w:bCs/>
              </w:rPr>
              <w:t>concerns</w:t>
            </w:r>
          </w:p>
        </w:tc>
      </w:tr>
      <w:tr w:rsidR="00BB581A" w14:paraId="40E45A24" w14:textId="77777777" w:rsidTr="009273D2">
        <w:tc>
          <w:tcPr>
            <w:tcW w:w="1435" w:type="dxa"/>
            <w:shd w:val="clear" w:color="auto" w:fill="auto"/>
          </w:tcPr>
          <w:p w14:paraId="170C8DD4" w14:textId="6EC8F181" w:rsidR="00BB581A" w:rsidRDefault="0042740E" w:rsidP="00E97C42">
            <w:pPr>
              <w:spacing w:before="0" w:after="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after="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spacing w:after="0"/>
              <w:rPr>
                <w:rFonts w:eastAsia="MS Mincho"/>
                <w:lang w:eastAsia="ja-JP"/>
              </w:rPr>
            </w:pPr>
            <w:r>
              <w:rPr>
                <w:rFonts w:eastAsia="MS Mincho"/>
                <w:lang w:eastAsia="ja-JP"/>
              </w:rPr>
              <w:t>What’s the motivation to add the note? Isn’t UE expected to perform DMRS bundling within actual TDW anyway, if the conditions for DMRS bundling is met? We are not sure why adding such a note is needed!</w:t>
            </w:r>
          </w:p>
        </w:tc>
      </w:tr>
      <w:tr w:rsidR="003F6CD0" w14:paraId="77D41119" w14:textId="77777777" w:rsidTr="009273D2">
        <w:tc>
          <w:tcPr>
            <w:tcW w:w="1435" w:type="dxa"/>
            <w:shd w:val="clear" w:color="auto" w:fill="auto"/>
          </w:tcPr>
          <w:p w14:paraId="60D5060B" w14:textId="4D54FA88" w:rsidR="003F6CD0" w:rsidRPr="003F6CD0" w:rsidRDefault="003F6CD0" w:rsidP="00E97C42">
            <w:pPr>
              <w:spacing w:after="0"/>
              <w:rPr>
                <w:rFonts w:eastAsia="MS Mincho"/>
                <w:bCs/>
                <w:lang w:eastAsia="ja-JP"/>
              </w:rPr>
            </w:pPr>
            <w:r>
              <w:rPr>
                <w:rFonts w:eastAsia="MS Mincho"/>
                <w:bCs/>
                <w:lang w:eastAsia="ja-JP"/>
              </w:rPr>
              <w:t>Panasonic</w:t>
            </w:r>
          </w:p>
        </w:tc>
        <w:tc>
          <w:tcPr>
            <w:tcW w:w="3870" w:type="dxa"/>
            <w:shd w:val="clear" w:color="auto" w:fill="auto"/>
          </w:tcPr>
          <w:p w14:paraId="6755CDE7" w14:textId="0A1B72A2" w:rsidR="003F6CD0" w:rsidRDefault="003F6CD0" w:rsidP="00E97C42">
            <w:pPr>
              <w:spacing w:after="0"/>
              <w:rPr>
                <w:rFonts w:eastAsia="MS Mincho"/>
                <w:lang w:eastAsia="ja-JP"/>
              </w:rPr>
            </w:pPr>
            <w:r>
              <w:rPr>
                <w:rFonts w:eastAsia="MS Mincho" w:hint="eastAsia"/>
                <w:lang w:eastAsia="ja-JP"/>
              </w:rPr>
              <w:t>T</w:t>
            </w:r>
            <w:r>
              <w:rPr>
                <w:rFonts w:eastAsia="MS Mincho"/>
                <w:lang w:eastAsia="ja-JP"/>
              </w:rPr>
              <w:t xml:space="preserve">he wording should be “DMRS bundling shall be restarted in case of frequency hopping </w:t>
            </w:r>
            <w:r>
              <w:rPr>
                <w:rFonts w:eastAsia="MS Mincho"/>
                <w:lang w:eastAsia="ja-JP"/>
              </w:rPr>
              <w:lastRenderedPageBreak/>
              <w:t>event. If this is not agreed, only the first hop support DMRS bundling. The second and later hop would not support DMRS bundling.</w:t>
            </w:r>
          </w:p>
        </w:tc>
        <w:tc>
          <w:tcPr>
            <w:tcW w:w="4584" w:type="dxa"/>
          </w:tcPr>
          <w:p w14:paraId="61C90510" w14:textId="77777777" w:rsidR="003F6CD0" w:rsidRDefault="003F6CD0" w:rsidP="00E97C42">
            <w:pPr>
              <w:spacing w:after="0"/>
              <w:rPr>
                <w:rFonts w:eastAsia="MS Mincho"/>
                <w:lang w:eastAsia="ja-JP"/>
              </w:rPr>
            </w:pPr>
          </w:p>
        </w:tc>
      </w:tr>
      <w:tr w:rsidR="009273D2" w14:paraId="6E2FC652" w14:textId="77777777" w:rsidTr="009273D2">
        <w:tc>
          <w:tcPr>
            <w:tcW w:w="1435" w:type="dxa"/>
            <w:shd w:val="clear" w:color="auto" w:fill="auto"/>
          </w:tcPr>
          <w:p w14:paraId="7AE780BD" w14:textId="562903B1" w:rsidR="009273D2" w:rsidRDefault="009273D2" w:rsidP="00E97C42">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spacing w:after="0"/>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spacing w:after="0"/>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spacing w:after="0"/>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9273D2">
        <w:tc>
          <w:tcPr>
            <w:tcW w:w="1435" w:type="dxa"/>
            <w:shd w:val="clear" w:color="auto" w:fill="auto"/>
          </w:tcPr>
          <w:p w14:paraId="22ABDABA" w14:textId="0A319F19"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spacing w:after="0"/>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spacing w:after="0"/>
              <w:rPr>
                <w:rFonts w:eastAsiaTheme="minorEastAsia"/>
                <w:lang w:eastAsia="zh-CN"/>
              </w:rPr>
            </w:pPr>
          </w:p>
        </w:tc>
      </w:tr>
      <w:tr w:rsidR="00067930" w14:paraId="671EF768" w14:textId="77777777" w:rsidTr="009273D2">
        <w:tc>
          <w:tcPr>
            <w:tcW w:w="1435" w:type="dxa"/>
            <w:shd w:val="clear" w:color="auto" w:fill="auto"/>
          </w:tcPr>
          <w:p w14:paraId="6DADA630" w14:textId="677CAC81" w:rsidR="00067930" w:rsidRDefault="00067930" w:rsidP="00067930">
            <w:pPr>
              <w:spacing w:after="0"/>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spacing w:after="0"/>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spacing w:after="0"/>
              <w:rPr>
                <w:rFonts w:eastAsiaTheme="minorEastAsia"/>
                <w:lang w:eastAsia="zh-CN"/>
              </w:rPr>
            </w:pPr>
          </w:p>
        </w:tc>
      </w:tr>
      <w:tr w:rsidR="00750C6D" w14:paraId="4385777F" w14:textId="77777777" w:rsidTr="009273D2">
        <w:tc>
          <w:tcPr>
            <w:tcW w:w="1435" w:type="dxa"/>
            <w:shd w:val="clear" w:color="auto" w:fill="auto"/>
          </w:tcPr>
          <w:p w14:paraId="393C95B7" w14:textId="363A6DF7" w:rsidR="00750C6D" w:rsidRDefault="00E31E1C" w:rsidP="00750C6D">
            <w:pPr>
              <w:spacing w:after="0"/>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spacing w:after="0"/>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spacing w:after="0"/>
              <w:rPr>
                <w:rFonts w:eastAsiaTheme="minorEastAsia"/>
                <w:lang w:eastAsia="zh-CN"/>
              </w:rPr>
            </w:pPr>
          </w:p>
        </w:tc>
      </w:tr>
      <w:tr w:rsidR="000733CD" w14:paraId="0DC029A7" w14:textId="77777777" w:rsidTr="009273D2">
        <w:tc>
          <w:tcPr>
            <w:tcW w:w="1435" w:type="dxa"/>
            <w:shd w:val="clear" w:color="auto" w:fill="auto"/>
          </w:tcPr>
          <w:p w14:paraId="749B12BA" w14:textId="31F02D31" w:rsidR="000733CD" w:rsidRDefault="000733CD" w:rsidP="00750C6D">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spacing w:after="0"/>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spacing w:after="0"/>
              <w:rPr>
                <w:rFonts w:eastAsiaTheme="minorEastAsia"/>
                <w:lang w:eastAsia="zh-CN"/>
              </w:rPr>
            </w:pPr>
          </w:p>
        </w:tc>
      </w:tr>
      <w:tr w:rsidR="00A03368" w14:paraId="61408C63" w14:textId="77777777" w:rsidTr="009273D2">
        <w:tc>
          <w:tcPr>
            <w:tcW w:w="1435" w:type="dxa"/>
            <w:shd w:val="clear" w:color="auto" w:fill="auto"/>
          </w:tcPr>
          <w:p w14:paraId="7D95F7A5" w14:textId="08474BA8" w:rsidR="00A03368" w:rsidRPr="00A03368" w:rsidRDefault="00A03368" w:rsidP="00A03368">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spacing w:after="0"/>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spacing w:after="0"/>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spacing w:after="0"/>
              <w:rPr>
                <w:rFonts w:eastAsiaTheme="minorEastAsia"/>
                <w:lang w:eastAsia="zh-CN"/>
              </w:rPr>
            </w:pPr>
          </w:p>
        </w:tc>
      </w:tr>
      <w:tr w:rsidR="00D3553A" w14:paraId="213DEC58" w14:textId="77777777" w:rsidTr="009273D2">
        <w:tc>
          <w:tcPr>
            <w:tcW w:w="1435" w:type="dxa"/>
            <w:shd w:val="clear" w:color="auto" w:fill="auto"/>
          </w:tcPr>
          <w:p w14:paraId="47D99E66" w14:textId="57AAF690" w:rsidR="00D3553A" w:rsidRDefault="00D3553A" w:rsidP="00D3553A">
            <w:pPr>
              <w:spacing w:after="0"/>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spacing w:after="0"/>
              <w:rPr>
                <w:rFonts w:eastAsiaTheme="minorEastAsia"/>
                <w:lang w:eastAsia="zh-CN"/>
              </w:rPr>
            </w:pPr>
            <w:r>
              <w:rPr>
                <w:rFonts w:eastAsia="MS Mincho"/>
                <w:lang w:eastAsia="ja-JP"/>
              </w:rPr>
              <w:t xml:space="preserve">When DMRS bundling restarts in case of frequency hopping, frequency hopping can be </w:t>
            </w:r>
            <w:r>
              <w:rPr>
                <w:rFonts w:eastAsia="MS Mincho"/>
                <w:lang w:eastAsia="ja-JP"/>
              </w:rPr>
              <w:lastRenderedPageBreak/>
              <w:t xml:space="preserve">enabled within the configured TDW. Otherwise, frequency hopping is not possible in the configured TDW. </w:t>
            </w:r>
          </w:p>
        </w:tc>
        <w:tc>
          <w:tcPr>
            <w:tcW w:w="4584" w:type="dxa"/>
          </w:tcPr>
          <w:p w14:paraId="14D7434F" w14:textId="77777777" w:rsidR="00D3553A" w:rsidRDefault="00D3553A" w:rsidP="00D3553A">
            <w:pPr>
              <w:spacing w:after="0"/>
              <w:rPr>
                <w:rFonts w:eastAsiaTheme="minorEastAsia"/>
                <w:lang w:eastAsia="zh-CN"/>
              </w:rPr>
            </w:pPr>
          </w:p>
        </w:tc>
      </w:tr>
      <w:tr w:rsidR="00E97C42" w14:paraId="13376EBB" w14:textId="77777777" w:rsidTr="009273D2">
        <w:tc>
          <w:tcPr>
            <w:tcW w:w="1435" w:type="dxa"/>
            <w:shd w:val="clear" w:color="auto" w:fill="auto"/>
          </w:tcPr>
          <w:p w14:paraId="39447819" w14:textId="6792D7C2" w:rsidR="00E97C42" w:rsidRDefault="00E97C42" w:rsidP="00D3553A">
            <w:pPr>
              <w:spacing w:after="0"/>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spacing w:after="0"/>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spacing w:after="0"/>
              <w:rPr>
                <w:rFonts w:eastAsiaTheme="minorEastAsia"/>
                <w:lang w:eastAsia="zh-CN"/>
              </w:rPr>
            </w:pPr>
            <w:r>
              <w:rPr>
                <w:rFonts w:eastAsiaTheme="minorEastAsia"/>
                <w:lang w:eastAsia="zh-CN"/>
              </w:rPr>
              <w:t>Concern is about the wording the verb should be “shall” and not “should”.</w:t>
            </w:r>
          </w:p>
        </w:tc>
      </w:tr>
    </w:tbl>
    <w:p w14:paraId="4C06700C" w14:textId="2D20AA4C" w:rsidR="00BB581A" w:rsidRDefault="00BB581A">
      <w:pPr>
        <w:spacing w:after="0"/>
        <w:jc w:val="left"/>
      </w:pPr>
    </w:p>
    <w:p w14:paraId="6A4D7C8C" w14:textId="3DC598F5" w:rsidR="008B19FA" w:rsidRPr="00BB581A" w:rsidRDefault="008B19FA" w:rsidP="008B19FA">
      <w:pPr>
        <w:spacing w:after="0"/>
        <w:jc w:val="left"/>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after="0"/>
              <w:jc w:val="center"/>
              <w:rPr>
                <w:b/>
                <w:bCs/>
              </w:rPr>
            </w:pPr>
            <w:r>
              <w:rPr>
                <w:b/>
                <w:bCs/>
              </w:rPr>
              <w:t>Company name</w:t>
            </w:r>
          </w:p>
        </w:tc>
        <w:tc>
          <w:tcPr>
            <w:tcW w:w="3870" w:type="dxa"/>
          </w:tcPr>
          <w:p w14:paraId="2B8E3FC2" w14:textId="1A2305A6" w:rsidR="008B19FA" w:rsidRDefault="008B19FA" w:rsidP="00E97C42">
            <w:pPr>
              <w:spacing w:before="0" w:after="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after="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after="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spacing w:after="0"/>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spacing w:after="0"/>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spacing w:after="0"/>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spacing w:after="0"/>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spacing w:after="0"/>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ListParagraph"/>
              <w:numPr>
                <w:ilvl w:val="0"/>
                <w:numId w:val="30"/>
              </w:numPr>
              <w:spacing w:after="0"/>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ListParagraph"/>
              <w:numPr>
                <w:ilvl w:val="0"/>
                <w:numId w:val="30"/>
              </w:numPr>
              <w:spacing w:after="0"/>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69ED39AE" w14:textId="505AC417" w:rsidR="007A0404" w:rsidRDefault="007A0404" w:rsidP="007A0404">
            <w:pPr>
              <w:spacing w:after="0"/>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spacing w:after="0"/>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spacing w:after="0"/>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spacing w:after="0"/>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xml:space="preserve">. (If we follow the PUSCH agreement for configured TDW determination for the counting based on available slots.) Therefore the appropriate length may </w:t>
            </w:r>
            <w:r w:rsidRPr="00F90E05">
              <w:rPr>
                <w:rFonts w:eastAsia="MS Mincho"/>
                <w:lang w:eastAsia="ja-JP"/>
              </w:rPr>
              <w:lastRenderedPageBreak/>
              <w:t>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spacing w:after="0"/>
              <w:rPr>
                <w:rFonts w:eastAsia="MS Mincho"/>
                <w:bCs/>
                <w:lang w:eastAsia="ja-JP"/>
              </w:rPr>
            </w:pPr>
            <w:r>
              <w:rPr>
                <w:rFonts w:eastAsia="MS Mincho"/>
                <w:bCs/>
                <w:lang w:eastAsia="ja-JP"/>
              </w:rPr>
              <w:lastRenderedPageBreak/>
              <w:t>Lenovo, Motorola Mobility</w:t>
            </w:r>
          </w:p>
        </w:tc>
        <w:tc>
          <w:tcPr>
            <w:tcW w:w="3870" w:type="dxa"/>
            <w:shd w:val="clear" w:color="auto" w:fill="auto"/>
          </w:tcPr>
          <w:p w14:paraId="3C7954EA" w14:textId="4B434416" w:rsidR="00D21F09" w:rsidRDefault="00D21F09" w:rsidP="00067930">
            <w:pPr>
              <w:spacing w:after="0"/>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spacing w:after="0"/>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spacing w:after="0"/>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spacing w:after="0"/>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spacing w:after="0"/>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spacing w:after="0"/>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spacing w:after="0"/>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spacing w:after="0"/>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spacing w:after="0"/>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77777777" w:rsidR="0004630F" w:rsidRDefault="0004630F" w:rsidP="0004630F">
            <w:pPr>
              <w:spacing w:after="0"/>
              <w:rPr>
                <w:lang w:eastAsia="zh-CN"/>
              </w:rPr>
            </w:pPr>
            <w:r>
              <w:rPr>
                <w:lang w:eastAsia="zh-CN"/>
              </w:rPr>
              <w:t xml:space="preserve">can achieve appropriate tradeoff between channel estimation gain and frequency diversity gain. </w:t>
            </w:r>
          </w:p>
          <w:p w14:paraId="4277E120" w14:textId="3B159177" w:rsidR="0004630F" w:rsidRDefault="0004630F" w:rsidP="0004630F">
            <w:pPr>
              <w:spacing w:after="0"/>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spacing w:after="0"/>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spacing w:after="0"/>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55851D1D" w14:textId="357912C5" w:rsidR="00E97C42" w:rsidRPr="00002569" w:rsidRDefault="00E97C42" w:rsidP="00E97C42">
            <w:pPr>
              <w:pStyle w:val="ListParagraph"/>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ListParagraph"/>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ListParagraph"/>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ListParagraph"/>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spacing w:after="0"/>
              <w:rPr>
                <w:rFonts w:eastAsia="MS Mincho"/>
                <w:lang w:eastAsia="ja-JP"/>
              </w:rPr>
            </w:pPr>
            <w:r>
              <w:rPr>
                <w:rFonts w:eastAsia="MS Mincho"/>
                <w:lang w:eastAsia="ja-JP"/>
              </w:rPr>
              <w:t xml:space="preserve">This approach would combine Option 1 and Option 2 in a rather smooth way, while </w:t>
            </w:r>
            <w:r>
              <w:rPr>
                <w:rFonts w:eastAsia="MS Mincho"/>
                <w:lang w:eastAsia="ja-JP"/>
              </w:rPr>
              <w:lastRenderedPageBreak/>
              <w:t>keeping the best of the two worlds. In practice, Option 2 would be the default behavior, unless FH hopping intervals are configured.</w:t>
            </w:r>
          </w:p>
        </w:tc>
        <w:tc>
          <w:tcPr>
            <w:tcW w:w="4584" w:type="dxa"/>
          </w:tcPr>
          <w:p w14:paraId="7E0BAD91" w14:textId="3A471645" w:rsidR="00E97C42" w:rsidRDefault="00002569" w:rsidP="0004630F">
            <w:pPr>
              <w:spacing w:after="0"/>
              <w:rPr>
                <w:lang w:eastAsia="zh-CN"/>
              </w:rPr>
            </w:pPr>
            <w:r>
              <w:rPr>
                <w:lang w:eastAsia="zh-CN"/>
              </w:rPr>
              <w:lastRenderedPageBreak/>
              <w:t>If only “same length” is supported, then this is Option 2 and we do not need to bullet on the DM-RS restart.</w:t>
            </w:r>
          </w:p>
        </w:tc>
      </w:tr>
    </w:tbl>
    <w:p w14:paraId="5931E5E6" w14:textId="5F692224" w:rsidR="008B19FA" w:rsidRDefault="008B19FA">
      <w:pPr>
        <w:spacing w:after="0"/>
        <w:jc w:val="left"/>
      </w:pPr>
    </w:p>
    <w:p w14:paraId="0F02E5F9" w14:textId="1E2A15C6" w:rsidR="008B19FA" w:rsidRPr="00BB581A" w:rsidRDefault="008B19FA" w:rsidP="008B19FA">
      <w:pPr>
        <w:spacing w:after="0"/>
        <w:jc w:val="left"/>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after="0"/>
              <w:jc w:val="center"/>
              <w:rPr>
                <w:b/>
                <w:bCs/>
              </w:rPr>
            </w:pPr>
            <w:r>
              <w:rPr>
                <w:b/>
                <w:bCs/>
              </w:rPr>
              <w:t>Company name</w:t>
            </w:r>
          </w:p>
        </w:tc>
        <w:tc>
          <w:tcPr>
            <w:tcW w:w="8454" w:type="dxa"/>
          </w:tcPr>
          <w:p w14:paraId="66409402" w14:textId="7085FE20" w:rsidR="008B19FA" w:rsidRDefault="008B19FA" w:rsidP="00E97C42">
            <w:pPr>
              <w:spacing w:before="0" w:after="0"/>
              <w:jc w:val="center"/>
              <w:rPr>
                <w:b/>
                <w:bCs/>
              </w:rPr>
            </w:pPr>
            <w:r>
              <w:rPr>
                <w:b/>
                <w:bCs/>
              </w:rPr>
              <w:t xml:space="preserve">Any open issue </w:t>
            </w:r>
            <w:proofErr w:type="gramStart"/>
            <w:r>
              <w:rPr>
                <w:b/>
                <w:bCs/>
              </w:rPr>
              <w:t>need</w:t>
            </w:r>
            <w:proofErr w:type="gramEnd"/>
            <w:r>
              <w:rPr>
                <w:b/>
                <w:bCs/>
              </w:rPr>
              <w:t xml:space="preserve">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spacing w:after="0"/>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spacing w:after="0"/>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spacing w:after="0"/>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spacing w:after="0"/>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spacing w:after="0"/>
              <w:rPr>
                <w:rFonts w:eastAsia="MS Mincho"/>
                <w:lang w:eastAsia="ja-JP"/>
              </w:rPr>
            </w:pPr>
            <w:r>
              <w:rPr>
                <w:rFonts w:eastAsia="MS Mincho"/>
                <w:lang w:eastAsia="ja-JP"/>
              </w:rPr>
              <w:t>Disagree with CMCC. In Option 2, DM-RS would always restart after FH event since a new nominal TDW would start.</w:t>
            </w:r>
          </w:p>
        </w:tc>
      </w:tr>
    </w:tbl>
    <w:p w14:paraId="5F4FAF3F" w14:textId="29817BB2" w:rsidR="008B19FA" w:rsidRDefault="008B19FA">
      <w:pPr>
        <w:spacing w:after="0"/>
        <w:jc w:val="left"/>
      </w:pPr>
    </w:p>
    <w:p w14:paraId="33F01599" w14:textId="3E54F73B" w:rsidR="008B19FA" w:rsidRPr="00BB581A" w:rsidRDefault="008B19FA" w:rsidP="008B19FA">
      <w:pPr>
        <w:spacing w:after="0"/>
        <w:jc w:val="left"/>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3870"/>
        <w:gridCol w:w="4320"/>
      </w:tblGrid>
      <w:tr w:rsidR="008B19FA" w14:paraId="23A43332" w14:textId="77777777" w:rsidTr="00E97C42">
        <w:trPr>
          <w:trHeight w:val="206"/>
        </w:trPr>
        <w:tc>
          <w:tcPr>
            <w:tcW w:w="1435" w:type="dxa"/>
          </w:tcPr>
          <w:p w14:paraId="3E9C75AF" w14:textId="77777777" w:rsidR="008B19FA" w:rsidRDefault="008B19FA" w:rsidP="00E97C42">
            <w:pPr>
              <w:spacing w:before="0" w:after="0"/>
              <w:jc w:val="center"/>
              <w:rPr>
                <w:b/>
                <w:bCs/>
              </w:rPr>
            </w:pPr>
            <w:r>
              <w:rPr>
                <w:b/>
                <w:bCs/>
              </w:rPr>
              <w:t>Company name</w:t>
            </w:r>
          </w:p>
        </w:tc>
        <w:tc>
          <w:tcPr>
            <w:tcW w:w="3870" w:type="dxa"/>
          </w:tcPr>
          <w:p w14:paraId="135B93AB" w14:textId="360B4723" w:rsidR="008B19FA" w:rsidRDefault="008B19FA" w:rsidP="00E97C42">
            <w:pPr>
              <w:spacing w:before="0" w:after="0"/>
              <w:jc w:val="center"/>
              <w:rPr>
                <w:b/>
                <w:bCs/>
              </w:rPr>
            </w:pPr>
            <w:r>
              <w:rPr>
                <w:b/>
                <w:bCs/>
              </w:rPr>
              <w:t>Support option 1 or option 2?</w:t>
            </w:r>
          </w:p>
        </w:tc>
        <w:tc>
          <w:tcPr>
            <w:tcW w:w="4320" w:type="dxa"/>
          </w:tcPr>
          <w:p w14:paraId="3B3CB979" w14:textId="77777777" w:rsidR="008B19FA" w:rsidRDefault="008B19FA" w:rsidP="00E97C42">
            <w:pPr>
              <w:spacing w:before="0" w:after="0"/>
              <w:jc w:val="center"/>
              <w:rPr>
                <w:b/>
                <w:bCs/>
              </w:rPr>
            </w:pPr>
            <w:r>
              <w:rPr>
                <w:b/>
                <w:bCs/>
              </w:rPr>
              <w:t>Justifications</w:t>
            </w:r>
          </w:p>
        </w:tc>
      </w:tr>
      <w:tr w:rsidR="008B19FA" w14:paraId="3CA004EC" w14:textId="77777777" w:rsidTr="00E97C42">
        <w:tc>
          <w:tcPr>
            <w:tcW w:w="1435" w:type="dxa"/>
            <w:shd w:val="clear" w:color="auto" w:fill="auto"/>
          </w:tcPr>
          <w:p w14:paraId="6D4CCFA4" w14:textId="60453683" w:rsidR="008B19FA" w:rsidRDefault="00DA4A07" w:rsidP="00E97C42">
            <w:pPr>
              <w:spacing w:before="0" w:after="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after="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spacing w:after="0"/>
              <w:rPr>
                <w:rFonts w:eastAsia="MS Mincho"/>
                <w:lang w:eastAsia="ja-JP"/>
              </w:rPr>
            </w:pPr>
          </w:p>
        </w:tc>
      </w:tr>
      <w:tr w:rsidR="003F6CD0" w14:paraId="681D3AE3" w14:textId="77777777" w:rsidTr="00E97C42">
        <w:tc>
          <w:tcPr>
            <w:tcW w:w="1435" w:type="dxa"/>
            <w:shd w:val="clear" w:color="auto" w:fill="auto"/>
          </w:tcPr>
          <w:p w14:paraId="7BC6918A" w14:textId="20E80D3F" w:rsidR="003F6CD0" w:rsidRDefault="003F6CD0" w:rsidP="00E97C42">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spacing w:after="0"/>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spacing w:after="0"/>
              <w:rPr>
                <w:rFonts w:eastAsia="MS Mincho"/>
                <w:lang w:eastAsia="ja-JP"/>
              </w:rPr>
            </w:pPr>
          </w:p>
        </w:tc>
      </w:tr>
      <w:tr w:rsidR="007475EE" w14:paraId="6B9A5C82" w14:textId="77777777" w:rsidTr="00E97C42">
        <w:tc>
          <w:tcPr>
            <w:tcW w:w="1435" w:type="dxa"/>
            <w:shd w:val="clear" w:color="auto" w:fill="auto"/>
          </w:tcPr>
          <w:p w14:paraId="44474E5C" w14:textId="276781E5" w:rsidR="007475EE" w:rsidRDefault="007475EE" w:rsidP="00E97C42">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spacing w:after="0"/>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spacing w:after="0"/>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E97C42">
        <w:tc>
          <w:tcPr>
            <w:tcW w:w="1435" w:type="dxa"/>
            <w:shd w:val="clear" w:color="auto" w:fill="auto"/>
          </w:tcPr>
          <w:p w14:paraId="07404071" w14:textId="3E78CDF1" w:rsidR="009273D2" w:rsidRDefault="009273D2" w:rsidP="00E97C42">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spacing w:after="0"/>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spacing w:after="0"/>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spacing w:after="0"/>
              <w:rPr>
                <w:rFonts w:eastAsia="MS Mincho"/>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E97C42">
        <w:tc>
          <w:tcPr>
            <w:tcW w:w="1435" w:type="dxa"/>
            <w:shd w:val="clear" w:color="auto" w:fill="auto"/>
          </w:tcPr>
          <w:p w14:paraId="46458252" w14:textId="7C1F7F30"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73A55323" w14:textId="5F5F534A" w:rsidR="007A0404" w:rsidRDefault="007A0404" w:rsidP="007A0404">
            <w:pPr>
              <w:spacing w:after="0"/>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spacing w:after="0"/>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E97C42">
        <w:tc>
          <w:tcPr>
            <w:tcW w:w="1435" w:type="dxa"/>
            <w:shd w:val="clear" w:color="auto" w:fill="auto"/>
          </w:tcPr>
          <w:p w14:paraId="689FE341" w14:textId="3F69C21F" w:rsidR="00067930" w:rsidRDefault="00067930" w:rsidP="00067930">
            <w:pPr>
              <w:spacing w:after="0"/>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spacing w:after="0"/>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spacing w:after="0"/>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w:t>
            </w:r>
            <w:r>
              <w:rPr>
                <w:rFonts w:eastAsia="MS Mincho"/>
                <w:lang w:eastAsia="ja-JP"/>
              </w:rPr>
              <w:lastRenderedPageBreak/>
              <w:t xml:space="preserve">aspects are important. For the simplicity, single RRC parameter for the hopping interval and configured TDW length can be used for Option 2. </w:t>
            </w:r>
          </w:p>
        </w:tc>
      </w:tr>
      <w:tr w:rsidR="00372BCA" w14:paraId="15CA8086" w14:textId="77777777" w:rsidTr="00E97C42">
        <w:tc>
          <w:tcPr>
            <w:tcW w:w="1435" w:type="dxa"/>
            <w:shd w:val="clear" w:color="auto" w:fill="auto"/>
          </w:tcPr>
          <w:p w14:paraId="416192C3" w14:textId="7BE32737" w:rsidR="00372BCA" w:rsidRDefault="00372BCA" w:rsidP="00372BCA">
            <w:pPr>
              <w:spacing w:after="0"/>
              <w:rPr>
                <w:rFonts w:eastAsia="MS Mincho"/>
                <w:bCs/>
                <w:lang w:eastAsia="ja-JP"/>
              </w:rPr>
            </w:pPr>
            <w:r>
              <w:rPr>
                <w:rFonts w:eastAsiaTheme="minorEastAsia" w:hint="eastAsia"/>
                <w:bCs/>
                <w:lang w:eastAsia="zh-CN"/>
              </w:rPr>
              <w:lastRenderedPageBreak/>
              <w:t>v</w:t>
            </w:r>
            <w:r>
              <w:rPr>
                <w:rFonts w:eastAsiaTheme="minorEastAsia"/>
                <w:bCs/>
                <w:lang w:eastAsia="zh-CN"/>
              </w:rPr>
              <w:t>ivo</w:t>
            </w:r>
          </w:p>
        </w:tc>
        <w:tc>
          <w:tcPr>
            <w:tcW w:w="3870" w:type="dxa"/>
            <w:shd w:val="clear" w:color="auto" w:fill="auto"/>
          </w:tcPr>
          <w:p w14:paraId="5748193B" w14:textId="54645327" w:rsidR="00372BCA" w:rsidRDefault="00372BCA" w:rsidP="00372BCA">
            <w:pPr>
              <w:spacing w:after="0"/>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spacing w:after="0"/>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spacing w:after="0"/>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spacing w:after="0"/>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spacing w:after="0"/>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spacing w:after="0"/>
              <w:rPr>
                <w:rFonts w:eastAsiaTheme="minorEastAsia"/>
                <w:lang w:eastAsia="zh-CN"/>
              </w:rPr>
            </w:pPr>
          </w:p>
          <w:p w14:paraId="755D5D2A" w14:textId="77777777" w:rsidR="00372BCA" w:rsidRPr="00F136CD" w:rsidRDefault="00372BCA" w:rsidP="00372BCA">
            <w:pPr>
              <w:spacing w:after="0"/>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ListParagraph"/>
              <w:numPr>
                <w:ilvl w:val="0"/>
                <w:numId w:val="31"/>
              </w:numPr>
              <w:spacing w:after="0"/>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ListParagraph"/>
              <w:numPr>
                <w:ilvl w:val="1"/>
                <w:numId w:val="31"/>
              </w:numPr>
              <w:spacing w:after="0"/>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ListParagraph"/>
              <w:numPr>
                <w:ilvl w:val="0"/>
                <w:numId w:val="31"/>
              </w:numPr>
              <w:spacing w:after="0"/>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E97C42">
        <w:tc>
          <w:tcPr>
            <w:tcW w:w="1435" w:type="dxa"/>
            <w:shd w:val="clear" w:color="auto" w:fill="auto"/>
          </w:tcPr>
          <w:p w14:paraId="794AA83F" w14:textId="268A0ED0" w:rsidR="00DB15A2" w:rsidRDefault="00DB15A2" w:rsidP="00372BCA">
            <w:pPr>
              <w:spacing w:after="0"/>
              <w:rPr>
                <w:rFonts w:eastAsiaTheme="minorEastAsia"/>
                <w:bCs/>
                <w:lang w:eastAsia="zh-CN"/>
              </w:rPr>
            </w:pPr>
            <w:r>
              <w:rPr>
                <w:rFonts w:eastAsiaTheme="minorEastAsia"/>
                <w:bCs/>
                <w:lang w:eastAsia="zh-CN"/>
              </w:rPr>
              <w:t>Lenovo, Motorola Mobility</w:t>
            </w:r>
          </w:p>
        </w:tc>
        <w:tc>
          <w:tcPr>
            <w:tcW w:w="3870" w:type="dxa"/>
            <w:shd w:val="clear" w:color="auto" w:fill="auto"/>
          </w:tcPr>
          <w:p w14:paraId="4025757E" w14:textId="6AA8EDF0" w:rsidR="00DB15A2" w:rsidRDefault="00DB15A2" w:rsidP="00372BCA">
            <w:pPr>
              <w:spacing w:after="0"/>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spacing w:after="0"/>
              <w:rPr>
                <w:rFonts w:eastAsiaTheme="minorEastAsia"/>
                <w:lang w:eastAsia="zh-CN"/>
              </w:rPr>
            </w:pPr>
            <w:r>
              <w:rPr>
                <w:rFonts w:eastAsiaTheme="minorEastAsia"/>
                <w:lang w:eastAsia="zh-CN"/>
              </w:rPr>
              <w:t>Same reason in our reply to Q1</w:t>
            </w:r>
          </w:p>
        </w:tc>
      </w:tr>
      <w:tr w:rsidR="000733CD" w14:paraId="07566571" w14:textId="77777777" w:rsidTr="00E97C42">
        <w:tc>
          <w:tcPr>
            <w:tcW w:w="1435" w:type="dxa"/>
            <w:shd w:val="clear" w:color="auto" w:fill="auto"/>
          </w:tcPr>
          <w:p w14:paraId="1FB19167" w14:textId="108BCD6C" w:rsidR="000733CD" w:rsidRDefault="000733CD" w:rsidP="00372BCA">
            <w:pPr>
              <w:spacing w:after="0"/>
              <w:rPr>
                <w:rFonts w:eastAsiaTheme="minorEastAsia"/>
                <w:bCs/>
                <w:lang w:eastAsia="zh-CN"/>
              </w:rPr>
            </w:pPr>
            <w:r>
              <w:rPr>
                <w:rFonts w:eastAsia="MS Mincho"/>
                <w:bCs/>
                <w:lang w:eastAsia="ja-JP"/>
              </w:rPr>
              <w:lastRenderedPageBreak/>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spacing w:after="0"/>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spacing w:after="0"/>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DD63AB">
        <w:tc>
          <w:tcPr>
            <w:tcW w:w="1435" w:type="dxa"/>
          </w:tcPr>
          <w:p w14:paraId="6D7B3A7F" w14:textId="77777777" w:rsidR="00DD63AB" w:rsidRDefault="00DD63AB" w:rsidP="00E97C42">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spacing w:after="0"/>
              <w:jc w:val="left"/>
              <w:rPr>
                <w:rFonts w:eastAsiaTheme="minorEastAsia"/>
                <w:lang w:eastAsia="zh-CN"/>
              </w:rPr>
            </w:pPr>
            <w:r>
              <w:rPr>
                <w:rFonts w:eastAsiaTheme="minorEastAsia"/>
                <w:lang w:eastAsia="zh-CN"/>
              </w:rPr>
              <w:t>Option 2.</w:t>
            </w:r>
          </w:p>
          <w:p w14:paraId="6A434703" w14:textId="77777777" w:rsidR="00DD63AB" w:rsidRDefault="00DD63AB" w:rsidP="00E97C42">
            <w:pPr>
              <w:spacing w:after="0"/>
              <w:jc w:val="left"/>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spacing w:after="0"/>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spacing w:after="0"/>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spacing w:after="0"/>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spacing w:after="0"/>
              <w:rPr>
                <w:rFonts w:eastAsiaTheme="minorEastAsia"/>
                <w:lang w:eastAsia="zh-CN"/>
              </w:rPr>
            </w:pPr>
            <w:r>
              <w:rPr>
                <w:rFonts w:eastAsiaTheme="minorEastAsia"/>
                <w:lang w:eastAsia="zh-CN"/>
              </w:rPr>
              <w:t xml:space="preserve">As we commented for the question 2, the configured TDW and frequency hopping interval could be separated configured. Then </w:t>
            </w:r>
            <w:proofErr w:type="gramStart"/>
            <w:r>
              <w:rPr>
                <w:rFonts w:eastAsiaTheme="minorEastAsia"/>
                <w:lang w:eastAsia="zh-CN"/>
              </w:rPr>
              <w:t>the both</w:t>
            </w:r>
            <w:proofErr w:type="gramEnd"/>
            <w:r>
              <w:rPr>
                <w:rFonts w:eastAsiaTheme="minorEastAsia"/>
                <w:lang w:eastAsia="zh-CN"/>
              </w:rPr>
              <w:t xml:space="preserve"> parameter could be set with same value. Or according to performance of both JCE and FH, set different values according to UE capabilities.</w:t>
            </w:r>
          </w:p>
          <w:p w14:paraId="56CDEC01" w14:textId="77777777" w:rsidR="00DD63AB" w:rsidRDefault="00DD63AB" w:rsidP="00E97C42">
            <w:pPr>
              <w:spacing w:after="0"/>
              <w:rPr>
                <w:rFonts w:eastAsiaTheme="minorEastAsia"/>
                <w:lang w:eastAsia="zh-CN"/>
              </w:rPr>
            </w:pPr>
          </w:p>
          <w:p w14:paraId="34E3C3FF" w14:textId="77777777" w:rsidR="00DD63AB" w:rsidRDefault="00DD63AB" w:rsidP="00E97C42">
            <w:pPr>
              <w:spacing w:after="0"/>
              <w:rPr>
                <w:rFonts w:eastAsiaTheme="minorEastAsia"/>
                <w:lang w:eastAsia="zh-CN"/>
              </w:rPr>
            </w:pPr>
          </w:p>
        </w:tc>
      </w:tr>
      <w:tr w:rsidR="00815F04" w14:paraId="0BA0AF88" w14:textId="77777777" w:rsidTr="00DD63AB">
        <w:tc>
          <w:tcPr>
            <w:tcW w:w="1435" w:type="dxa"/>
          </w:tcPr>
          <w:p w14:paraId="105FE6EE" w14:textId="11F0DB58" w:rsidR="00815F04" w:rsidRDefault="00815F04" w:rsidP="00815F04">
            <w:pPr>
              <w:spacing w:after="0"/>
              <w:rPr>
                <w:rFonts w:eastAsiaTheme="minorEastAsia"/>
                <w:bCs/>
                <w:lang w:eastAsia="zh-CN"/>
              </w:rPr>
            </w:pPr>
            <w:r>
              <w:rPr>
                <w:rFonts w:eastAsia="MS Mincho"/>
                <w:bCs/>
                <w:lang w:eastAsia="ja-JP"/>
              </w:rPr>
              <w:t>Intel</w:t>
            </w:r>
          </w:p>
        </w:tc>
        <w:tc>
          <w:tcPr>
            <w:tcW w:w="3870" w:type="dxa"/>
          </w:tcPr>
          <w:p w14:paraId="4A2AE6FE" w14:textId="601B68B4" w:rsidR="00815F04" w:rsidRDefault="00815F04" w:rsidP="00815F04">
            <w:pPr>
              <w:spacing w:after="0"/>
              <w:jc w:val="left"/>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spacing w:after="0"/>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DD63AB">
        <w:tc>
          <w:tcPr>
            <w:tcW w:w="1435" w:type="dxa"/>
          </w:tcPr>
          <w:p w14:paraId="64A56299" w14:textId="20AE5A63" w:rsidR="00002569" w:rsidRDefault="00002569" w:rsidP="00815F04">
            <w:pPr>
              <w:spacing w:after="0"/>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spacing w:after="0"/>
              <w:jc w:val="left"/>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spacing w:after="0"/>
              <w:jc w:val="left"/>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spacing w:after="0"/>
              <w:rPr>
                <w:rFonts w:eastAsia="MS Mincho"/>
                <w:lang w:eastAsia="ja-JP"/>
              </w:rPr>
            </w:pPr>
            <w:r>
              <w:rPr>
                <w:rFonts w:eastAsia="MS Mincho"/>
                <w:lang w:eastAsia="ja-JP"/>
              </w:rPr>
              <w:t xml:space="preserve">Why </w:t>
            </w:r>
            <w:r>
              <w:rPr>
                <w:rFonts w:eastAsia="MS Mincho"/>
                <w:lang w:eastAsia="ja-JP"/>
              </w:rPr>
              <w:t xml:space="preserve">don’t we consider the </w:t>
            </w:r>
            <w:proofErr w:type="gramStart"/>
            <w:r>
              <w:rPr>
                <w:rFonts w:eastAsia="MS Mincho"/>
                <w:lang w:eastAsia="ja-JP"/>
              </w:rPr>
              <w:t>following:</w:t>
            </w:r>
            <w:proofErr w:type="gramEnd"/>
          </w:p>
          <w:p w14:paraId="2002F8B1" w14:textId="77777777" w:rsidR="00002569" w:rsidRPr="00002569" w:rsidRDefault="00002569" w:rsidP="00002569">
            <w:pPr>
              <w:pStyle w:val="ListParagraph"/>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ListParagraph"/>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ListParagraph"/>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lastRenderedPageBreak/>
              <w:t>If no FH interval is explicitly configured, then the length of FH interval coincides with TDW length.</w:t>
            </w:r>
          </w:p>
          <w:p w14:paraId="4450D007" w14:textId="77777777" w:rsidR="00002569" w:rsidRPr="00002569" w:rsidRDefault="00002569" w:rsidP="00002569">
            <w:pPr>
              <w:pStyle w:val="ListParagraph"/>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spacing w:after="0"/>
              <w:jc w:val="left"/>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spacing w:after="0"/>
              <w:rPr>
                <w:rFonts w:eastAsia="MS Mincho"/>
                <w:lang w:eastAsia="ja-JP"/>
              </w:rPr>
            </w:pPr>
            <w:r>
              <w:rPr>
                <w:rFonts w:eastAsia="MS Mincho"/>
                <w:lang w:eastAsia="ja-JP"/>
              </w:rPr>
              <w:lastRenderedPageBreak/>
              <w:t>We need to ensure that FH event does not prevent DM-RS bundling to restart.</w:t>
            </w:r>
          </w:p>
        </w:tc>
      </w:tr>
    </w:tbl>
    <w:p w14:paraId="67731BCD" w14:textId="77777777" w:rsidR="008B19FA" w:rsidRDefault="008B19FA">
      <w:pPr>
        <w:spacing w:after="0"/>
        <w:jc w:val="left"/>
      </w:pPr>
    </w:p>
    <w:p w14:paraId="33D84B1B" w14:textId="77777777" w:rsidR="00F27BB7" w:rsidRDefault="002B7C18">
      <w:pPr>
        <w:pStyle w:val="Heading2"/>
      </w:pPr>
      <w:r>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20" w:name="_Ref83825062"/>
      <w:bookmarkStart w:id="21"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lastRenderedPageBreak/>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after="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Heading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Heading1"/>
      </w:pPr>
      <w:r>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Heading1"/>
      </w:pPr>
      <w:bookmarkStart w:id="22" w:name="_Ref54470658"/>
      <w:r>
        <w:t>References</w:t>
      </w:r>
      <w:bookmarkEnd w:id="22"/>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E97C42">
            <w:pPr>
              <w:spacing w:before="0" w:after="0"/>
              <w:rPr>
                <w:iCs/>
                <w:u w:val="single"/>
                <w:lang w:eastAsia="zh-CN"/>
              </w:rPr>
            </w:pPr>
            <w:hyperlink r:id="rId14" w:tgtFrame="_parent" w:history="1">
              <w:r w:rsidR="002B7C18">
                <w:rPr>
                  <w:rStyle w:val="Hyperlink"/>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E97C42">
            <w:pPr>
              <w:spacing w:before="0" w:after="0"/>
              <w:rPr>
                <w:iCs/>
                <w:u w:val="single"/>
                <w:lang w:eastAsia="zh-CN"/>
              </w:rPr>
            </w:pPr>
            <w:hyperlink r:id="rId15" w:tgtFrame="_parent" w:history="1">
              <w:r w:rsidR="002B7C18">
                <w:rPr>
                  <w:rStyle w:val="Hyperlink"/>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E97C42">
            <w:pPr>
              <w:spacing w:before="0" w:after="0"/>
              <w:rPr>
                <w:iCs/>
                <w:u w:val="single"/>
                <w:lang w:eastAsia="zh-CN"/>
              </w:rPr>
            </w:pPr>
            <w:hyperlink r:id="rId16" w:tgtFrame="_parent" w:history="1">
              <w:r w:rsidR="002B7C18">
                <w:rPr>
                  <w:rStyle w:val="Hyperlink"/>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E97C42">
            <w:pPr>
              <w:spacing w:before="0" w:after="0"/>
              <w:rPr>
                <w:iCs/>
                <w:u w:val="single"/>
                <w:lang w:eastAsia="zh-CN"/>
              </w:rPr>
            </w:pPr>
            <w:hyperlink r:id="rId17" w:tgtFrame="_parent" w:history="1">
              <w:r w:rsidR="002B7C18">
                <w:rPr>
                  <w:rStyle w:val="Hyperlink"/>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E97C42">
            <w:pPr>
              <w:spacing w:before="0" w:after="0"/>
              <w:rPr>
                <w:iCs/>
                <w:u w:val="single"/>
                <w:lang w:eastAsia="zh-CN"/>
              </w:rPr>
            </w:pPr>
            <w:hyperlink r:id="rId18" w:tgtFrame="_parent" w:history="1">
              <w:r w:rsidR="002B7C18">
                <w:rPr>
                  <w:rStyle w:val="Hyperlink"/>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E97C42">
            <w:pPr>
              <w:spacing w:before="0" w:after="0"/>
              <w:rPr>
                <w:iCs/>
                <w:u w:val="single"/>
                <w:lang w:eastAsia="zh-CN"/>
              </w:rPr>
            </w:pPr>
            <w:hyperlink r:id="rId19" w:tgtFrame="_parent" w:history="1">
              <w:r w:rsidR="002B7C18">
                <w:rPr>
                  <w:rStyle w:val="Hyperlink"/>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E97C42">
            <w:pPr>
              <w:spacing w:before="0" w:after="0"/>
              <w:rPr>
                <w:iCs/>
                <w:u w:val="single"/>
                <w:lang w:eastAsia="zh-CN"/>
              </w:rPr>
            </w:pPr>
            <w:hyperlink r:id="rId20" w:tgtFrame="_parent" w:history="1">
              <w:r w:rsidR="002B7C18">
                <w:rPr>
                  <w:rStyle w:val="Hyperlink"/>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E97C42">
            <w:pPr>
              <w:spacing w:before="0" w:after="0"/>
              <w:rPr>
                <w:iCs/>
                <w:u w:val="single"/>
                <w:lang w:eastAsia="zh-CN"/>
              </w:rPr>
            </w:pPr>
            <w:hyperlink r:id="rId21" w:tgtFrame="_parent" w:history="1">
              <w:r w:rsidR="002B7C18">
                <w:rPr>
                  <w:rStyle w:val="Hyperlink"/>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E97C42">
            <w:pPr>
              <w:spacing w:before="0" w:after="0"/>
              <w:rPr>
                <w:iCs/>
                <w:u w:val="single"/>
                <w:lang w:eastAsia="zh-CN"/>
              </w:rPr>
            </w:pPr>
            <w:hyperlink r:id="rId22" w:tgtFrame="_parent" w:history="1">
              <w:r w:rsidR="002B7C18">
                <w:rPr>
                  <w:rStyle w:val="Hyperlink"/>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E97C42">
            <w:pPr>
              <w:spacing w:before="0" w:after="0"/>
              <w:rPr>
                <w:iCs/>
                <w:u w:val="single"/>
                <w:lang w:eastAsia="zh-CN"/>
              </w:rPr>
            </w:pPr>
            <w:hyperlink r:id="rId23" w:tgtFrame="_parent" w:history="1">
              <w:r w:rsidR="002B7C18">
                <w:rPr>
                  <w:rStyle w:val="Hyperlink"/>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E97C42">
            <w:pPr>
              <w:spacing w:before="0" w:after="0"/>
              <w:rPr>
                <w:iCs/>
                <w:u w:val="single"/>
                <w:lang w:eastAsia="zh-CN"/>
              </w:rPr>
            </w:pPr>
            <w:hyperlink r:id="rId24" w:tgtFrame="_parent" w:history="1">
              <w:r w:rsidR="002B7C18">
                <w:rPr>
                  <w:rStyle w:val="Hyperlink"/>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E97C42">
            <w:pPr>
              <w:spacing w:before="0" w:after="0"/>
              <w:rPr>
                <w:iCs/>
                <w:u w:val="single"/>
                <w:lang w:eastAsia="zh-CN"/>
              </w:rPr>
            </w:pPr>
            <w:hyperlink r:id="rId25" w:tgtFrame="_parent" w:history="1">
              <w:r w:rsidR="002B7C18">
                <w:rPr>
                  <w:rStyle w:val="Hyperlink"/>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E97C42">
            <w:pPr>
              <w:spacing w:before="0" w:after="0"/>
              <w:rPr>
                <w:iCs/>
                <w:u w:val="single"/>
                <w:lang w:eastAsia="zh-CN"/>
              </w:rPr>
            </w:pPr>
            <w:hyperlink r:id="rId26" w:tgtFrame="_parent" w:history="1">
              <w:r w:rsidR="002B7C18">
                <w:rPr>
                  <w:rStyle w:val="Hyperlink"/>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E97C42">
            <w:pPr>
              <w:spacing w:before="0" w:after="0"/>
              <w:rPr>
                <w:iCs/>
                <w:u w:val="single"/>
                <w:lang w:eastAsia="zh-CN"/>
              </w:rPr>
            </w:pPr>
            <w:hyperlink r:id="rId27" w:tgtFrame="_parent" w:history="1">
              <w:r w:rsidR="002B7C18">
                <w:rPr>
                  <w:rStyle w:val="Hyperlink"/>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E97C42">
            <w:pPr>
              <w:spacing w:before="0" w:after="0"/>
              <w:rPr>
                <w:iCs/>
                <w:u w:val="single"/>
                <w:lang w:eastAsia="zh-CN"/>
              </w:rPr>
            </w:pPr>
            <w:hyperlink r:id="rId28" w:tgtFrame="_parent" w:history="1">
              <w:r w:rsidR="002B7C18">
                <w:rPr>
                  <w:rStyle w:val="Hyperlink"/>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E97C42">
            <w:pPr>
              <w:spacing w:before="0" w:after="0"/>
              <w:rPr>
                <w:iCs/>
                <w:u w:val="single"/>
                <w:lang w:eastAsia="zh-CN"/>
              </w:rPr>
            </w:pPr>
            <w:hyperlink r:id="rId29" w:tgtFrame="_parent" w:history="1">
              <w:r w:rsidR="002B7C18">
                <w:rPr>
                  <w:rStyle w:val="Hyperlink"/>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E97C42">
            <w:pPr>
              <w:spacing w:before="0" w:after="0"/>
              <w:rPr>
                <w:iCs/>
                <w:u w:val="single"/>
                <w:lang w:eastAsia="zh-CN"/>
              </w:rPr>
            </w:pPr>
            <w:hyperlink r:id="rId30" w:tgtFrame="_parent" w:history="1">
              <w:r w:rsidR="002B7C18">
                <w:rPr>
                  <w:rStyle w:val="Hyperlink"/>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E97C42">
            <w:pPr>
              <w:spacing w:before="0" w:after="0"/>
              <w:rPr>
                <w:iCs/>
                <w:u w:val="single"/>
                <w:lang w:eastAsia="zh-CN"/>
              </w:rPr>
            </w:pPr>
            <w:hyperlink r:id="rId31" w:tgtFrame="_parent" w:history="1">
              <w:r w:rsidR="002B7C18">
                <w:rPr>
                  <w:rStyle w:val="Hyperlink"/>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E97C42">
            <w:pPr>
              <w:spacing w:before="0" w:after="0"/>
              <w:rPr>
                <w:iCs/>
                <w:u w:val="single"/>
                <w:lang w:eastAsia="zh-CN"/>
              </w:rPr>
            </w:pPr>
            <w:hyperlink r:id="rId32" w:tgtFrame="_parent" w:history="1">
              <w:r w:rsidR="002B7C18">
                <w:rPr>
                  <w:rStyle w:val="Hyperlink"/>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E97C42">
            <w:pPr>
              <w:spacing w:before="0" w:after="0"/>
              <w:rPr>
                <w:iCs/>
                <w:u w:val="single"/>
                <w:lang w:eastAsia="zh-CN"/>
              </w:rPr>
            </w:pPr>
            <w:hyperlink r:id="rId33" w:tgtFrame="_parent" w:history="1">
              <w:r w:rsidR="002B7C18">
                <w:rPr>
                  <w:rStyle w:val="Hyperlink"/>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E97C42">
            <w:pPr>
              <w:spacing w:before="0" w:after="0"/>
              <w:rPr>
                <w:iCs/>
                <w:u w:val="single"/>
                <w:lang w:eastAsia="zh-CN"/>
              </w:rPr>
            </w:pPr>
            <w:hyperlink r:id="rId34" w:tgtFrame="_parent" w:history="1">
              <w:r w:rsidR="002B7C18">
                <w:rPr>
                  <w:rStyle w:val="Hyperlink"/>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E97C42">
            <w:pPr>
              <w:spacing w:before="0" w:after="0"/>
              <w:rPr>
                <w:iCs/>
                <w:u w:val="single"/>
                <w:lang w:eastAsia="zh-CN"/>
              </w:rPr>
            </w:pPr>
            <w:hyperlink r:id="rId35" w:tgtFrame="_parent" w:history="1">
              <w:r w:rsidR="002B7C18">
                <w:rPr>
                  <w:rStyle w:val="Hyperlink"/>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E97C42">
            <w:pPr>
              <w:spacing w:before="0" w:after="0"/>
              <w:rPr>
                <w:iCs/>
                <w:u w:val="single"/>
                <w:lang w:eastAsia="zh-CN"/>
              </w:rPr>
            </w:pPr>
            <w:hyperlink r:id="rId36" w:tgtFrame="_parent" w:history="1">
              <w:r w:rsidR="002B7C18">
                <w:rPr>
                  <w:rStyle w:val="Hyperlink"/>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E97C42">
            <w:pPr>
              <w:spacing w:before="0" w:after="0"/>
              <w:rPr>
                <w:iCs/>
                <w:u w:val="single"/>
                <w:lang w:eastAsia="zh-CN"/>
              </w:rPr>
            </w:pPr>
            <w:hyperlink r:id="rId37" w:tgtFrame="_parent" w:history="1">
              <w:r w:rsidR="002B7C18">
                <w:rPr>
                  <w:rStyle w:val="Hyperlink"/>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2BC05" w14:textId="77777777" w:rsidR="00E97C42" w:rsidRDefault="00E97C42">
      <w:pPr>
        <w:spacing w:line="240" w:lineRule="auto"/>
      </w:pPr>
      <w:r>
        <w:separator/>
      </w:r>
    </w:p>
  </w:endnote>
  <w:endnote w:type="continuationSeparator" w:id="0">
    <w:p w14:paraId="57FA50EC" w14:textId="77777777" w:rsidR="00E97C42" w:rsidRDefault="00E97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0000028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53318" w14:textId="77777777" w:rsidR="00E97C42" w:rsidRDefault="00E97C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E97C42" w:rsidRDefault="00E97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3BD9A" w14:textId="7902941E" w:rsidR="00E97C42" w:rsidRDefault="00E97C4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61C46" w14:textId="77777777" w:rsidR="00E97C42" w:rsidRDefault="00E97C42">
      <w:pPr>
        <w:spacing w:after="0" w:line="240" w:lineRule="auto"/>
      </w:pPr>
      <w:r>
        <w:separator/>
      </w:r>
    </w:p>
  </w:footnote>
  <w:footnote w:type="continuationSeparator" w:id="0">
    <w:p w14:paraId="62708EFF" w14:textId="77777777" w:rsidR="00E97C42" w:rsidRDefault="00E97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561B8" w14:textId="77777777" w:rsidR="00E97C42" w:rsidRDefault="00E97C4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8"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0"/>
  </w:num>
  <w:num w:numId="3">
    <w:abstractNumId w:val="15"/>
  </w:num>
  <w:num w:numId="4">
    <w:abstractNumId w:val="4"/>
  </w:num>
  <w:num w:numId="5">
    <w:abstractNumId w:val="8"/>
  </w:num>
  <w:num w:numId="6">
    <w:abstractNumId w:val="24"/>
  </w:num>
  <w:num w:numId="7">
    <w:abstractNumId w:val="22"/>
  </w:num>
  <w:num w:numId="8">
    <w:abstractNumId w:val="16"/>
  </w:num>
  <w:num w:numId="9">
    <w:abstractNumId w:val="20"/>
  </w:num>
  <w:num w:numId="10">
    <w:abstractNumId w:val="1"/>
  </w:num>
  <w:num w:numId="11">
    <w:abstractNumId w:val="11"/>
  </w:num>
  <w:num w:numId="12">
    <w:abstractNumId w:val="21"/>
  </w:num>
  <w:num w:numId="13">
    <w:abstractNumId w:val="30"/>
  </w:num>
  <w:num w:numId="14">
    <w:abstractNumId w:val="23"/>
  </w:num>
  <w:num w:numId="15">
    <w:abstractNumId w:val="13"/>
  </w:num>
  <w:num w:numId="16">
    <w:abstractNumId w:val="25"/>
  </w:num>
  <w:num w:numId="17">
    <w:abstractNumId w:val="3"/>
  </w:num>
  <w:num w:numId="18">
    <w:abstractNumId w:val="17"/>
  </w:num>
  <w:num w:numId="19">
    <w:abstractNumId w:val="0"/>
  </w:num>
  <w:num w:numId="20">
    <w:abstractNumId w:val="27"/>
  </w:num>
  <w:num w:numId="21">
    <w:abstractNumId w:val="19"/>
  </w:num>
  <w:num w:numId="22">
    <w:abstractNumId w:val="7"/>
  </w:num>
  <w:num w:numId="23">
    <w:abstractNumId w:val="14"/>
  </w:num>
  <w:num w:numId="24">
    <w:abstractNumId w:val="9"/>
  </w:num>
  <w:num w:numId="25">
    <w:abstractNumId w:val="29"/>
  </w:num>
  <w:num w:numId="26">
    <w:abstractNumId w:val="26"/>
  </w:num>
  <w:num w:numId="27">
    <w:abstractNumId w:val="31"/>
  </w:num>
  <w:num w:numId="28">
    <w:abstractNumId w:val="6"/>
  </w:num>
  <w:num w:numId="29">
    <w:abstractNumId w:val="12"/>
  </w:num>
  <w:num w:numId="30">
    <w:abstractNumId w:val="28"/>
  </w:num>
  <w:num w:numId="31">
    <w:abstractNumId w:val="18"/>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5F5"/>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82F29D"/>
  <w15:docId w15:val="{A8FE3DA8-2E95-447E-A0A4-96A7E940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C4A6600D-89AF-4F13-8495-45BC3B67C51F}">
  <ds:schemaRefs>
    <ds:schemaRef ds:uri="http://schemas.openxmlformats.org/officeDocument/2006/bibliography"/>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32</Pages>
  <Words>12016</Words>
  <Characters>65990</Characters>
  <Application>Microsoft Office Word</Application>
  <DocSecurity>0</DocSecurity>
  <Lines>549</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7</cp:revision>
  <cp:lastPrinted>2014-11-07T05:38:00Z</cp:lastPrinted>
  <dcterms:created xsi:type="dcterms:W3CDTF">2021-11-16T09:28:00Z</dcterms:created>
  <dcterms:modified xsi:type="dcterms:W3CDTF">2021-11-16T14:46:00Z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