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1"/>
      </w:pPr>
      <w:bookmarkStart w:id="6" w:name="_Ref72009104"/>
      <w:bookmarkStart w:id="7" w:name="_Ref471731770"/>
      <w:bookmarkStart w:id="8" w:name="_Ref462669569"/>
      <w:r>
        <w:rPr>
          <w:lang w:val="en-US" w:eastAsia="zh-CN"/>
        </w:rPr>
        <w:t>D</w:t>
      </w:r>
      <w:r>
        <w:t>ynamic PUCCH repetition factor indication</w:t>
      </w:r>
      <w:bookmarkEnd w:id="6"/>
    </w:p>
    <w:p w14:paraId="4F925BFE" w14:textId="77777777" w:rsidR="00F27BB7" w:rsidRDefault="002B7C18">
      <w:pPr>
        <w:pStyle w:val="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4A7CE5BC" w14:textId="77777777" w:rsidR="00F27BB7" w:rsidRDefault="002B7C18">
      <w:pPr>
        <w:rPr>
          <w:lang w:val="en-GB"/>
        </w:rPr>
      </w:pPr>
      <w:r>
        <w:rPr>
          <w:lang w:val="en-GB"/>
        </w:rPr>
        <w:t>R1-2109889 &amp; R1-2110866,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af5"/>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hint="eastAsia"/>
                <w:lang w:eastAsia="zh-CN"/>
              </w:rPr>
            </w:pPr>
            <w:r>
              <w:rPr>
                <w:rFonts w:eastAsiaTheme="minorEastAsia" w:hint="eastAsia"/>
                <w:lang w:eastAsia="zh-CN"/>
              </w:rPr>
              <w:t>F</w:t>
            </w:r>
            <w:r>
              <w:rPr>
                <w:rFonts w:eastAsiaTheme="minorEastAsia"/>
                <w:lang w:eastAsia="zh-CN"/>
              </w:rPr>
              <w:t>ine with the proposal</w:t>
            </w:r>
          </w:p>
        </w:tc>
      </w:tr>
    </w:tbl>
    <w:p w14:paraId="3BC0D84C" w14:textId="77777777" w:rsidR="00F27BB7" w:rsidRDefault="00F27BB7"/>
    <w:p w14:paraId="7036A8A2" w14:textId="77777777" w:rsidR="00F27BB7" w:rsidRDefault="002B7C18">
      <w:pPr>
        <w:pStyle w:val="2"/>
      </w:pPr>
      <w:r>
        <w:rPr>
          <w:lang w:val="en-US" w:eastAsia="zh-CN"/>
        </w:rPr>
        <w:t>D</w:t>
      </w:r>
      <w:r>
        <w:t xml:space="preserve">ynamic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afb"/>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lastRenderedPageBreak/>
        <w:t>HARQ-ACK for the first SPS PDSCH associated with the activation DCI</w:t>
      </w:r>
    </w:p>
    <w:p w14:paraId="61A586DB" w14:textId="77777777" w:rsidR="00F27BB7" w:rsidRDefault="002B7C18">
      <w:pPr>
        <w:pStyle w:val="afb"/>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ab"/>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ab"/>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afb"/>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ab"/>
        <w:rPr>
          <w:rFonts w:ascii="Times New Roman" w:hAnsi="Times New Roman"/>
          <w:szCs w:val="20"/>
          <w:lang w:val="en-GB"/>
        </w:rPr>
      </w:pPr>
    </w:p>
    <w:p w14:paraId="5D1047BC" w14:textId="77777777" w:rsidR="00F27BB7" w:rsidRDefault="002B7C18">
      <w:pPr>
        <w:pStyle w:val="ab"/>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ab"/>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ab"/>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ab"/>
        <w:spacing w:after="0" w:line="259" w:lineRule="auto"/>
        <w:jc w:val="left"/>
        <w:rPr>
          <w:rFonts w:ascii="Times New Roman" w:hAnsi="Times New Roman"/>
          <w:szCs w:val="20"/>
        </w:rPr>
      </w:pPr>
    </w:p>
    <w:p w14:paraId="61476E34"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Based on the companies’ input, for HARQ-ACK of SPS release DCI, it seem common understanding that dynamic PUCCH repetition factor indication can be applied. For HARQ-ACK of the first SPS PDSCH with activation DCI, the views are still controversial. </w:t>
      </w:r>
    </w:p>
    <w:p w14:paraId="0C5BB495" w14:textId="77777777" w:rsidR="00F27BB7" w:rsidRDefault="00F27BB7">
      <w:pPr>
        <w:pStyle w:val="ab"/>
        <w:spacing w:after="0" w:line="259" w:lineRule="auto"/>
        <w:jc w:val="left"/>
        <w:rPr>
          <w:rFonts w:ascii="Times New Roman" w:hAnsi="Times New Roman"/>
          <w:szCs w:val="20"/>
        </w:rPr>
      </w:pPr>
    </w:p>
    <w:p w14:paraId="352B7CFD" w14:textId="77777777" w:rsidR="00F27BB7" w:rsidRDefault="002B7C18">
      <w:pPr>
        <w:pStyle w:val="ab"/>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af5"/>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lastRenderedPageBreak/>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In our view, the common understanding in RAN1 is that a corresponding PDCCH is any PDCCH which carries a DCI which used by UE to locate/receive a subsequent PDSCH. We acknowledge that some ambiguity may exist w.r.t.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af5"/>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triggered PUCCH for Rel-16 Type 3 CB, Rel-17 enh.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w:t>
            </w:r>
            <w:r>
              <w:rPr>
                <w:rFonts w:hint="eastAsia"/>
                <w:lang w:eastAsia="zh-CN"/>
              </w:rPr>
              <w:lastRenderedPageBreak/>
              <w:t xml:space="preserve">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lastRenderedPageBreak/>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it is clear that if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Further, we also need to cover other cases, e.g., when PUCCH carrying dynamic HARQ-ACK overlaps with PUCCH resource carrying other UCI types like P-CSI, SR, etc..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afb"/>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but only activates it.  So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afb"/>
              <w:numPr>
                <w:ilvl w:val="0"/>
                <w:numId w:val="4"/>
              </w:numPr>
              <w:spacing w:after="0" w:line="240" w:lineRule="auto"/>
              <w:jc w:val="left"/>
              <w:rPr>
                <w:rFonts w:ascii="Times New Roman" w:eastAsia="宋体" w:hAnsi="Times New Roman"/>
                <w:b/>
                <w:bCs/>
                <w:sz w:val="20"/>
                <w:szCs w:val="20"/>
              </w:rPr>
            </w:pPr>
            <w:r>
              <w:rPr>
                <w:rFonts w:ascii="Times New Roman" w:eastAsia="宋体" w:hAnsi="Times New Roman"/>
                <w:b/>
                <w:bCs/>
                <w:sz w:val="20"/>
                <w:szCs w:val="20"/>
              </w:rPr>
              <w:t>FFS</w:t>
            </w:r>
            <w:r w:rsidRPr="00FB557C">
              <w:rPr>
                <w:rFonts w:ascii="Times New Roman" w:eastAsia="宋体" w:hAnsi="Times New Roman"/>
                <w:b/>
                <w:bCs/>
                <w:color w:val="FF0000"/>
                <w:sz w:val="20"/>
                <w:szCs w:val="20"/>
                <w:u w:val="single"/>
              </w:rPr>
              <w:t xml:space="preserve">: </w:t>
            </w:r>
            <w:r w:rsidRPr="00FB557C">
              <w:rPr>
                <w:rFonts w:ascii="n" w:eastAsia="宋体" w:hAnsi="n"/>
                <w:b/>
                <w:bCs/>
                <w:strike/>
                <w:color w:val="FF0000"/>
                <w:sz w:val="20"/>
                <w:szCs w:val="20"/>
              </w:rPr>
              <w:t>whether</w:t>
            </w:r>
            <w:r w:rsidRPr="00FB557C">
              <w:rPr>
                <w:rFonts w:ascii="Times New Roman" w:eastAsia="宋体"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宋体" w:hAnsi="Times New Roman"/>
                <w:b/>
                <w:bCs/>
                <w:color w:val="FF0000"/>
                <w:sz w:val="20"/>
                <w:szCs w:val="20"/>
              </w:rPr>
              <w:t xml:space="preserve"> </w:t>
            </w:r>
            <w:r>
              <w:rPr>
                <w:rFonts w:ascii="Times New Roman" w:eastAsia="宋体"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lastRenderedPageBreak/>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afb"/>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(e.g.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t>R1-2111981, Proposal 1: The following methods to configure PUCCH repetition for the UE without dedicated PUCCH resource configuration should be studied.</w:t>
      </w:r>
    </w:p>
    <w:p w14:paraId="792C653B"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afb"/>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in order to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bl>
    <w:p w14:paraId="2484A7CA" w14:textId="77777777" w:rsidR="00F27BB7" w:rsidRDefault="002B7C18">
      <w:pPr>
        <w:pStyle w:val="1"/>
      </w:pPr>
      <w:bookmarkStart w:id="11" w:name="_Ref72009114"/>
      <w:r>
        <w:lastRenderedPageBreak/>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等线"/>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are listed as below. </w:t>
      </w:r>
    </w:p>
    <w:p w14:paraId="417198F3" w14:textId="77777777" w:rsidR="00F27BB7" w:rsidRDefault="002B7C18">
      <w:pPr>
        <w:rPr>
          <w:lang w:eastAsia="zh-CN"/>
        </w:rPr>
      </w:pPr>
      <w:r>
        <w:rPr>
          <w:lang w:val="en-GB"/>
        </w:rPr>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gNB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lastRenderedPageBreak/>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47DC3B4" w14:textId="77777777" w:rsidR="00F27BB7" w:rsidRDefault="002B7C18">
      <w:pPr>
        <w:pStyle w:val="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6D876B48"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05FF4252"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afb"/>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TDW(time domain window) design between PUCCH and PUSCH DMRS bundling. The following is proposed by FL. </w:t>
      </w:r>
    </w:p>
    <w:p w14:paraId="6A695A8D" w14:textId="77777777" w:rsidR="00F27BB7" w:rsidRDefault="002B7C18">
      <w:pPr>
        <w:rPr>
          <w:b/>
          <w:lang w:eastAsia="zh-CN"/>
        </w:rPr>
      </w:pPr>
      <w:r>
        <w:rPr>
          <w:b/>
          <w:highlight w:val="magenta"/>
          <w:lang w:eastAsia="zh-CN"/>
        </w:rPr>
        <w:t>FL Proposal 2:</w:t>
      </w:r>
      <w:r>
        <w:rPr>
          <w:b/>
          <w:lang w:eastAsia="zh-CN"/>
        </w:rPr>
        <w:t xml:space="preserve"> For PUCCH DMRS bundling, when appliable,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lastRenderedPageBreak/>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77777777" w:rsidR="00F27BB7" w:rsidRDefault="002B7C18">
            <w:pPr>
              <w:spacing w:after="0"/>
              <w:rPr>
                <w:bCs/>
                <w:lang w:eastAsia="zh-CN"/>
              </w:rPr>
            </w:pPr>
            <w:r>
              <w:rPr>
                <w:rFonts w:hint="eastAsia"/>
                <w:bCs/>
                <w:lang w:eastAsia="zh-CN"/>
              </w:rPr>
              <w:t>v</w:t>
            </w:r>
            <w:r>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r w:rsidRPr="003D1654">
              <w:rPr>
                <w:bCs/>
                <w:lang w:eastAsia="zh-CN"/>
              </w:rPr>
              <w:t>InterDigital</w:t>
            </w:r>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OK in principle, but e.g.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We are fine with reusing  PUSCH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2"/>
      </w:pPr>
      <w:bookmarkStart w:id="14" w:name="_Ref87390979"/>
      <w:r>
        <w:t>Inter slot freq hopping enhancement with DMRS bundling</w:t>
      </w:r>
      <w:bookmarkEnd w:id="14"/>
    </w:p>
    <w:p w14:paraId="12299A01" w14:textId="77777777" w:rsidR="00F27BB7" w:rsidRDefault="002B7C18">
      <w:pPr>
        <w:rPr>
          <w:rFonts w:eastAsia="等线"/>
          <w:lang w:eastAsia="zh-CN"/>
        </w:rPr>
      </w:pPr>
      <w:r>
        <w:rPr>
          <w:rFonts w:eastAsia="等线"/>
          <w:lang w:eastAsia="zh-CN"/>
        </w:rPr>
        <w:t xml:space="preserve">In RAN1 106bis, the following agreement is made. </w:t>
      </w:r>
    </w:p>
    <w:p w14:paraId="6105C0F9" w14:textId="77777777" w:rsidR="00F27BB7" w:rsidRDefault="002B7C18">
      <w:pPr>
        <w:rPr>
          <w:b/>
          <w:bCs/>
          <w:highlight w:val="green"/>
        </w:rPr>
      </w:pPr>
      <w:r>
        <w:rPr>
          <w:rFonts w:eastAsia="等线"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1: “hopping intervals determination” -&gt; “configured TDW determination” -&gt; “actual TDW determination”</w:t>
      </w:r>
    </w:p>
    <w:p w14:paraId="7A85C165"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2: “configured TDW determination” -&gt; “hopping intervals determination” -&gt; “actual TDW determination”</w:t>
      </w:r>
    </w:p>
    <w:p w14:paraId="78593DB8" w14:textId="77777777" w:rsidR="00F27BB7" w:rsidRDefault="002B7C18">
      <w:pPr>
        <w:pStyle w:val="afb"/>
        <w:numPr>
          <w:ilvl w:val="0"/>
          <w:numId w:val="14"/>
        </w:numPr>
        <w:spacing w:after="0"/>
        <w:rPr>
          <w:rFonts w:ascii="Times New Roman" w:eastAsia="宋体" w:hAnsi="Times New Roman"/>
          <w:b/>
          <w:bCs/>
          <w:sz w:val="20"/>
          <w:szCs w:val="18"/>
        </w:rPr>
      </w:pPr>
      <w:r>
        <w:rPr>
          <w:rFonts w:ascii="Times New Roman" w:eastAsia="宋体"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lastRenderedPageBreak/>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t xml:space="preserve">Based on companies input in Tdocs submitted to RAN1#107, the pros and cons of the above options are summarized as below. </w:t>
      </w:r>
    </w:p>
    <w:p w14:paraId="4C8000D8" w14:textId="77777777" w:rsidR="00F27BB7" w:rsidRDefault="00F27BB7">
      <w:pPr>
        <w:spacing w:after="0"/>
        <w:jc w:val="left"/>
      </w:pPr>
    </w:p>
    <w:tbl>
      <w:tblPr>
        <w:tblStyle w:val="af5"/>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77777777" w:rsidR="00F27BB7" w:rsidRDefault="002B7C18">
            <w:pPr>
              <w:spacing w:before="0" w:after="0"/>
              <w:jc w:val="left"/>
            </w:pPr>
            <w:r>
              <w:t>Pros: more efficient resource allocation for MU, including Rel-15/16 UEs not supporting DMRS bundling and Rel-17 UEs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Cons: dynamic events impact hopping pattern [R1-2111439], mis-alignment of hopping pattern between gNB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1: ZTE, Spreadtrum, CATT, Intel, XiaoMi, Samsung, Interdigital, Apple, Sharp, Ericsson, QC</w:t>
      </w:r>
    </w:p>
    <w:p w14:paraId="633DA264"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2: Huawei/HiSi, ZTE, VIVO, Panasonic, Sharp, DCM</w:t>
      </w:r>
    </w:p>
    <w:p w14:paraId="4E8BC645" w14:textId="77777777" w:rsidR="00F27BB7" w:rsidRDefault="002B7C18">
      <w:pPr>
        <w:pStyle w:val="afb"/>
        <w:numPr>
          <w:ilvl w:val="0"/>
          <w:numId w:val="15"/>
        </w:numPr>
        <w:spacing w:after="0"/>
        <w:jc w:val="left"/>
        <w:rPr>
          <w:rFonts w:ascii="Times New Roman" w:hAnsi="Times New Roman"/>
          <w:sz w:val="20"/>
          <w:szCs w:val="20"/>
        </w:rPr>
      </w:pPr>
      <w:r>
        <w:rPr>
          <w:rFonts w:ascii="Times New Roman" w:hAnsi="Times New Roman"/>
          <w:sz w:val="20"/>
          <w:szCs w:val="20"/>
        </w:rPr>
        <w:t>Supporting option 4: Nokia, CMCC, Lenovo, ETRI, Wilus</w:t>
      </w:r>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to take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Pr>
          <w:b/>
          <w:highlight w:val="magenta"/>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af5"/>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In order to achieve the similar hopping pattern as Option 2, we can compromise to Option 1 with the configuration that hopping interval and configured TDW are same as the period of TDD {DL + S + UL} slots. That means the length of frequency hopping interval and configured TDW should support the length aligned with </w:t>
            </w:r>
            <w:r>
              <w:rPr>
                <w:rFonts w:eastAsia="MS Mincho"/>
                <w:i/>
                <w:iCs/>
                <w:lang w:eastAsia="ja-JP"/>
              </w:rPr>
              <w:t>dl-UL-TransmisisonPeriodicity</w:t>
            </w:r>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lastRenderedPageBreak/>
              <w:t>Nokia/NSB</w:t>
            </w:r>
          </w:p>
        </w:tc>
        <w:tc>
          <w:tcPr>
            <w:tcW w:w="7627" w:type="dxa"/>
          </w:tcPr>
          <w:p w14:paraId="6BE1E2B6" w14:textId="77777777" w:rsidR="00F27BB7" w:rsidRDefault="002B7C18">
            <w:pPr>
              <w:spacing w:before="0" w:after="0"/>
              <w:rPr>
                <w:lang w:eastAsia="zh-CN"/>
              </w:rPr>
            </w:pPr>
            <w:r>
              <w:rPr>
                <w:lang w:eastAsia="zh-CN"/>
              </w:rPr>
              <w:t>We think that this deserves a bit more discussion, given that we have never discussed how each Option would be realized in practice. Before doing this, we would like to elaborate on major differences between Option 1 and the others. We believe that this is fundamental to ensure that RAN1 does not make a hasty decision which may undermine the success of the feature:</w:t>
            </w:r>
          </w:p>
          <w:p w14:paraId="53C35B9A"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afb"/>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77777777" w:rsidR="00F27BB7" w:rsidRDefault="002B7C18">
            <w:pPr>
              <w:pStyle w:val="afb"/>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We think that the advantages for MU scheduling of Option 1 are overrated, unless we are implying that DM-RS feature is never enabled. Assuming the existence of new FH patterns/intervals (which do not exist yet), Option 1 would simplify the MU scheduling of CE UEs for which DM-RS bundling is activated, and configured TDW length is identical across such UEs. However, it would not offer any advantage in all other cases, since the hopping patterns/intervals of legacy UEs, of CE UEs for which DM-RS bundling is not activated will be the same as for R15/R16. In this sense, Option 1 would offer advantages only when a very minor set of UEs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afb"/>
              <w:numPr>
                <w:ilvl w:val="0"/>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Option 2:</w:t>
            </w:r>
          </w:p>
          <w:p w14:paraId="591D081B"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51B7E271"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afb"/>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afb"/>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Given the above, we observe that Option 4 is the most flexible and powerful option, whose performance does no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afb"/>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afb"/>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(i)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option .</w:t>
            </w:r>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lastRenderedPageBreak/>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proposal, and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In addition, it needs to clarify the main difference between Option 1 and Option 2. If the options only presents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e.g. TDD-UL-DL configuration, before the transmissions and frequency hopping. Then the frequency hopping interval is determined. If an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interrupted and the frequency hopping does not change. </w:t>
            </w:r>
          </w:p>
          <w:p w14:paraId="311EBBCD" w14:textId="77777777" w:rsidR="00F27BB7" w:rsidRDefault="002B7C18">
            <w:pPr>
              <w:spacing w:after="0"/>
              <w:rPr>
                <w:lang w:eastAsia="zh-CN"/>
              </w:rPr>
            </w:pPr>
            <w:r>
              <w:rPr>
                <w:rFonts w:eastAsiaTheme="minorEastAsia"/>
                <w:lang w:eastAsia="zh-CN"/>
              </w:rPr>
              <w:lastRenderedPageBreak/>
              <w:t xml:space="preserve">For option 1, the performance will depends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r w:rsidRPr="00425594">
              <w:rPr>
                <w:bCs/>
                <w:lang w:eastAsia="zh-CN"/>
              </w:rPr>
              <w:lastRenderedPageBreak/>
              <w:t>InterDigital</w:t>
            </w:r>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t xml:space="preserve">For Option 4, this may have mis-alignment between gNB and UE side, when considering the potential mis-detection of dynamic events. This would result in PUSCH decoding failure if hopping boundary is not aligned between gNB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77777777" w:rsidR="00A24A8F" w:rsidRDefault="00A24A8F" w:rsidP="009F3CBD">
            <w:pPr>
              <w:rPr>
                <w:lang w:eastAsia="zh-CN"/>
              </w:rPr>
            </w:pPr>
            <w:r>
              <w:rPr>
                <w:lang w:eastAsia="zh-CN"/>
              </w:rPr>
              <w:t>Similarly, different UEs in a cell could support different maximum durations or not support DMRS bundling, while on the other hand UEs should be able to share a hopping pattern in order to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77777777"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important, and should be available to both UEs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afb"/>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UEs can be configured with the hopping pattern</w:t>
            </w:r>
          </w:p>
          <w:p w14:paraId="3CF17C00" w14:textId="77777777" w:rsidR="00A24A8F" w:rsidRPr="00EC4F12" w:rsidRDefault="00A24A8F" w:rsidP="00A24A8F">
            <w:pPr>
              <w:pStyle w:val="afb"/>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(e.g.</w:t>
            </w:r>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 xml:space="preserve">We don’t support the proposal and agree with Nokia to have further discussion on this. In our view, option 4 is simpler, yet flexible option and doesn’t require further discussion on hopping </w:t>
            </w:r>
            <w:r>
              <w:rPr>
                <w:lang w:eastAsia="zh-CN"/>
              </w:rPr>
              <w:lastRenderedPageBreak/>
              <w:t>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r>
              <w:rPr>
                <w:rFonts w:eastAsia="MS Mincho"/>
                <w:lang w:eastAsia="ja-JP"/>
              </w:rPr>
              <w:t>Pros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hint="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862F3D8" w14:textId="77777777"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ab"/>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lastRenderedPageBreak/>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af5"/>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We are thinking of hopping being completely decoupled from TDW configuration. Therefore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t xml:space="preserve">PRO: If only one actual window exists inside the nominal window, i.e., no event occurs, adopting the 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afb"/>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lastRenderedPageBreak/>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t>CON: The advantage in terms of DM-RS bundling may vanish, if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lastRenderedPageBreak/>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Since the window length of the configured TDWs is explicitly configured, gNB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r>
              <w:rPr>
                <w:lang w:eastAsia="zh-CN"/>
              </w:rPr>
              <w:t xml:space="preserve">gNB has the flexibility to configure the appropriate </w:t>
            </w:r>
            <w:r>
              <w:rPr>
                <w:bCs/>
              </w:rPr>
              <w:t>hopping interval</w:t>
            </w:r>
            <w:r>
              <w:t xml:space="preserve"> taking into account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77777777" w:rsidR="00F27BB7" w:rsidRDefault="002B7C18">
            <w:pPr>
              <w:spacing w:after="0"/>
              <w:rPr>
                <w:bCs/>
                <w:lang w:eastAsia="zh-CN"/>
              </w:rPr>
            </w:pPr>
            <w:r>
              <w:rPr>
                <w:rFonts w:hint="eastAsia"/>
                <w:bCs/>
                <w:lang w:eastAsia="zh-CN"/>
              </w:rPr>
              <w:t>v</w:t>
            </w:r>
            <w:r>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1, higher signaling overhead to configure a different length;</w:t>
            </w:r>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r w:rsidRPr="005714F3">
              <w:rPr>
                <w:bCs/>
                <w:lang w:eastAsia="zh-CN"/>
              </w:rPr>
              <w:t>InterDigital</w:t>
            </w:r>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r>
              <w:rPr>
                <w:lang w:val="en-GB" w:eastAsia="zh-CN"/>
              </w:rPr>
              <w:t>Pro :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lastRenderedPageBreak/>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gNB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If dynamic event is considered, mis-alignment between gNB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r>
              <w:rPr>
                <w:rFonts w:eastAsia="MS Mincho"/>
                <w:lang w:eastAsia="ja-JP"/>
              </w:rPr>
              <w:t>Pros :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Pros :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hint="eastAsia"/>
                <w:bCs/>
                <w:lang w:eastAsia="zh-CN"/>
              </w:rPr>
            </w:pPr>
            <w:r>
              <w:rPr>
                <w:rFonts w:eastAsiaTheme="minorEastAsia" w:hint="eastAsia"/>
                <w:bCs/>
                <w:lang w:eastAsia="zh-CN"/>
              </w:rPr>
              <w:lastRenderedPageBreak/>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hint="eastAsia"/>
                <w:lang w:eastAsia="zh-CN"/>
              </w:rPr>
            </w:pPr>
            <w:r>
              <w:rPr>
                <w:rFonts w:eastAsiaTheme="minorEastAsia"/>
                <w:lang w:eastAsia="zh-CN"/>
              </w:rPr>
              <w:t>Support same or different length  between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hint="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hint="eastAsia"/>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r>
              <w:rPr>
                <w:lang w:eastAsia="zh-CN"/>
              </w:rPr>
              <w:t xml:space="preserve">gNB has the flexibility to configure the appropriate </w:t>
            </w:r>
            <w:r>
              <w:rPr>
                <w:bCs/>
              </w:rPr>
              <w:t>hopping interval</w:t>
            </w:r>
            <w:r>
              <w:t xml:space="preserve"> </w:t>
            </w:r>
            <w:r>
              <w:t xml:space="preserve">to balance </w:t>
            </w:r>
            <w:r>
              <w:t>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hint="eastAsia"/>
                <w:lang w:eastAsia="zh-CN"/>
              </w:rPr>
            </w:pPr>
            <w:r>
              <w:rPr>
                <w:rFonts w:eastAsiaTheme="minorEastAsia"/>
                <w:lang w:eastAsia="zh-CN"/>
              </w:rPr>
              <w:t>Cons: more configuration signaling needed</w:t>
            </w:r>
            <w:bookmarkStart w:id="16" w:name="_GoBack"/>
            <w:bookmarkEnd w:id="16"/>
          </w:p>
        </w:tc>
      </w:tr>
    </w:tbl>
    <w:p w14:paraId="594E81D9" w14:textId="77777777" w:rsidR="00F27BB7" w:rsidRDefault="00F27BB7">
      <w:pPr>
        <w:spacing w:after="0"/>
        <w:jc w:val="left"/>
      </w:pPr>
    </w:p>
    <w:p w14:paraId="33D84B1B" w14:textId="77777777" w:rsidR="00F27BB7" w:rsidRDefault="002B7C18">
      <w:pPr>
        <w:pStyle w:val="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ab"/>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(e.g. up to 4) of hopping offsets, where the number of consecutive slots per hop can be controlled.</w:t>
      </w:r>
    </w:p>
    <w:p w14:paraId="258F59F8" w14:textId="77777777" w:rsidR="00F27BB7" w:rsidRDefault="00F27BB7">
      <w:pPr>
        <w:pStyle w:val="ab"/>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afb"/>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afb"/>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R1-2111274 Proposal 2: UE performs the inter-slot frequency hopping with inter-slot bundling as long as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7777777" w:rsidR="00F27BB7" w:rsidRDefault="002B7C18">
            <w:pPr>
              <w:spacing w:before="0" w:after="0"/>
              <w:rPr>
                <w:bCs/>
              </w:rPr>
            </w:pPr>
            <w:r>
              <w:rPr>
                <w:rFonts w:hint="eastAsia"/>
                <w:bCs/>
                <w:lang w:eastAsia="zh-CN"/>
              </w:rPr>
              <w:t>v</w:t>
            </w:r>
            <w:r>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afb"/>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afb"/>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afb"/>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1"/>
      </w:pPr>
      <w:bookmarkStart w:id="21" w:name="_Ref54470658"/>
      <w:r>
        <w:t>References</w:t>
      </w:r>
      <w:bookmarkEnd w:id="21"/>
    </w:p>
    <w:tbl>
      <w:tblPr>
        <w:tblStyle w:val="af5"/>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9F3CBD">
            <w:pPr>
              <w:spacing w:before="0" w:after="0"/>
              <w:rPr>
                <w:iCs/>
                <w:u w:val="single"/>
                <w:lang w:eastAsia="zh-CN"/>
              </w:rPr>
            </w:pPr>
            <w:hyperlink r:id="rId14" w:tgtFrame="_parent" w:history="1">
              <w:r w:rsidR="002B7C18">
                <w:rPr>
                  <w:rStyle w:val="af8"/>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Huawei, HiSilicon</w:t>
            </w:r>
          </w:p>
        </w:tc>
      </w:tr>
      <w:tr w:rsidR="00F27BB7" w14:paraId="5B96D650" w14:textId="77777777">
        <w:trPr>
          <w:trHeight w:val="230"/>
        </w:trPr>
        <w:tc>
          <w:tcPr>
            <w:tcW w:w="2200" w:type="dxa"/>
          </w:tcPr>
          <w:p w14:paraId="35C9AFB3" w14:textId="77777777" w:rsidR="00F27BB7" w:rsidRDefault="009F3CBD">
            <w:pPr>
              <w:spacing w:before="0" w:after="0"/>
              <w:rPr>
                <w:iCs/>
                <w:u w:val="single"/>
                <w:lang w:eastAsia="zh-CN"/>
              </w:rPr>
            </w:pPr>
            <w:hyperlink r:id="rId15" w:tgtFrame="_parent" w:history="1">
              <w:r w:rsidR="002B7C18">
                <w:rPr>
                  <w:rStyle w:val="af8"/>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9F3CBD">
            <w:pPr>
              <w:spacing w:before="0" w:after="0"/>
              <w:rPr>
                <w:iCs/>
                <w:u w:val="single"/>
                <w:lang w:eastAsia="zh-CN"/>
              </w:rPr>
            </w:pPr>
            <w:hyperlink r:id="rId16" w:tgtFrame="_parent" w:history="1">
              <w:r w:rsidR="002B7C18">
                <w:rPr>
                  <w:rStyle w:val="af8"/>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9F3CBD">
            <w:pPr>
              <w:spacing w:before="0" w:after="0"/>
              <w:rPr>
                <w:iCs/>
                <w:u w:val="single"/>
                <w:lang w:eastAsia="zh-CN"/>
              </w:rPr>
            </w:pPr>
            <w:hyperlink r:id="rId17" w:tgtFrame="_parent" w:history="1">
              <w:r w:rsidR="002B7C18">
                <w:rPr>
                  <w:rStyle w:val="af8"/>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9F3CBD">
            <w:pPr>
              <w:spacing w:before="0" w:after="0"/>
              <w:rPr>
                <w:iCs/>
                <w:u w:val="single"/>
                <w:lang w:eastAsia="zh-CN"/>
              </w:rPr>
            </w:pPr>
            <w:hyperlink r:id="rId18" w:tgtFrame="_parent" w:history="1">
              <w:r w:rsidR="002B7C18">
                <w:rPr>
                  <w:rStyle w:val="af8"/>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r>
              <w:rPr>
                <w:iCs/>
                <w:lang w:eastAsia="zh-CN"/>
              </w:rPr>
              <w:t>Spreadtrum Communications</w:t>
            </w:r>
          </w:p>
        </w:tc>
      </w:tr>
      <w:tr w:rsidR="00F27BB7" w14:paraId="552CB8BE" w14:textId="77777777">
        <w:trPr>
          <w:trHeight w:val="230"/>
        </w:trPr>
        <w:tc>
          <w:tcPr>
            <w:tcW w:w="2200" w:type="dxa"/>
          </w:tcPr>
          <w:p w14:paraId="52A379FD" w14:textId="77777777" w:rsidR="00F27BB7" w:rsidRDefault="009F3CBD">
            <w:pPr>
              <w:spacing w:before="0" w:after="0"/>
              <w:rPr>
                <w:iCs/>
                <w:u w:val="single"/>
                <w:lang w:eastAsia="zh-CN"/>
              </w:rPr>
            </w:pPr>
            <w:hyperlink r:id="rId19" w:tgtFrame="_parent" w:history="1">
              <w:r w:rsidR="002B7C18">
                <w:rPr>
                  <w:rStyle w:val="af8"/>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9F3CBD">
            <w:pPr>
              <w:spacing w:before="0" w:after="0"/>
              <w:rPr>
                <w:iCs/>
                <w:u w:val="single"/>
                <w:lang w:eastAsia="zh-CN"/>
              </w:rPr>
            </w:pPr>
            <w:hyperlink r:id="rId20" w:tgtFrame="_parent" w:history="1">
              <w:r w:rsidR="002B7C18">
                <w:rPr>
                  <w:rStyle w:val="af8"/>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9F3CBD">
            <w:pPr>
              <w:spacing w:before="0" w:after="0"/>
              <w:rPr>
                <w:iCs/>
                <w:u w:val="single"/>
                <w:lang w:eastAsia="zh-CN"/>
              </w:rPr>
            </w:pPr>
            <w:hyperlink r:id="rId21" w:tgtFrame="_parent" w:history="1">
              <w:r w:rsidR="002B7C18">
                <w:rPr>
                  <w:rStyle w:val="af8"/>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9F3CBD">
            <w:pPr>
              <w:spacing w:before="0" w:after="0"/>
              <w:rPr>
                <w:iCs/>
                <w:u w:val="single"/>
                <w:lang w:eastAsia="zh-CN"/>
              </w:rPr>
            </w:pPr>
            <w:hyperlink r:id="rId22" w:tgtFrame="_parent" w:history="1">
              <w:r w:rsidR="002B7C18">
                <w:rPr>
                  <w:rStyle w:val="af8"/>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9F3CBD">
            <w:pPr>
              <w:spacing w:before="0" w:after="0"/>
              <w:rPr>
                <w:iCs/>
                <w:u w:val="single"/>
                <w:lang w:eastAsia="zh-CN"/>
              </w:rPr>
            </w:pPr>
            <w:hyperlink r:id="rId23" w:tgtFrame="_parent" w:history="1">
              <w:r w:rsidR="002B7C18">
                <w:rPr>
                  <w:rStyle w:val="af8"/>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9F3CBD">
            <w:pPr>
              <w:spacing w:before="0" w:after="0"/>
              <w:rPr>
                <w:iCs/>
                <w:u w:val="single"/>
                <w:lang w:eastAsia="zh-CN"/>
              </w:rPr>
            </w:pPr>
            <w:hyperlink r:id="rId24" w:tgtFrame="_parent" w:history="1">
              <w:r w:rsidR="002B7C18">
                <w:rPr>
                  <w:rStyle w:val="af8"/>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9F3CBD">
            <w:pPr>
              <w:spacing w:before="0" w:after="0"/>
              <w:rPr>
                <w:iCs/>
                <w:u w:val="single"/>
                <w:lang w:eastAsia="zh-CN"/>
              </w:rPr>
            </w:pPr>
            <w:hyperlink r:id="rId25" w:tgtFrame="_parent" w:history="1">
              <w:r w:rsidR="002B7C18">
                <w:rPr>
                  <w:rStyle w:val="af8"/>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9F3CBD">
            <w:pPr>
              <w:spacing w:before="0" w:after="0"/>
              <w:rPr>
                <w:iCs/>
                <w:u w:val="single"/>
                <w:lang w:eastAsia="zh-CN"/>
              </w:rPr>
            </w:pPr>
            <w:hyperlink r:id="rId26" w:tgtFrame="_parent" w:history="1">
              <w:r w:rsidR="002B7C18">
                <w:rPr>
                  <w:rStyle w:val="af8"/>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9F3CBD">
            <w:pPr>
              <w:spacing w:before="0" w:after="0"/>
              <w:rPr>
                <w:iCs/>
                <w:u w:val="single"/>
                <w:lang w:eastAsia="zh-CN"/>
              </w:rPr>
            </w:pPr>
            <w:hyperlink r:id="rId27" w:tgtFrame="_parent" w:history="1">
              <w:r w:rsidR="002B7C18">
                <w:rPr>
                  <w:rStyle w:val="af8"/>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9F3CBD">
            <w:pPr>
              <w:spacing w:before="0" w:after="0"/>
              <w:rPr>
                <w:iCs/>
                <w:u w:val="single"/>
                <w:lang w:eastAsia="zh-CN"/>
              </w:rPr>
            </w:pPr>
            <w:hyperlink r:id="rId28" w:tgtFrame="_parent" w:history="1">
              <w:r w:rsidR="002B7C18">
                <w:rPr>
                  <w:rStyle w:val="af8"/>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r>
              <w:rPr>
                <w:iCs/>
                <w:lang w:eastAsia="zh-CN"/>
              </w:rPr>
              <w:t>InterDigital, Inc.</w:t>
            </w:r>
          </w:p>
        </w:tc>
      </w:tr>
      <w:tr w:rsidR="00F27BB7" w14:paraId="42C246EB" w14:textId="77777777">
        <w:trPr>
          <w:trHeight w:val="230"/>
        </w:trPr>
        <w:tc>
          <w:tcPr>
            <w:tcW w:w="2200" w:type="dxa"/>
          </w:tcPr>
          <w:p w14:paraId="70D22786" w14:textId="77777777" w:rsidR="00F27BB7" w:rsidRDefault="009F3CBD">
            <w:pPr>
              <w:spacing w:before="0" w:after="0"/>
              <w:rPr>
                <w:iCs/>
                <w:u w:val="single"/>
                <w:lang w:eastAsia="zh-CN"/>
              </w:rPr>
            </w:pPr>
            <w:hyperlink r:id="rId29" w:tgtFrame="_parent" w:history="1">
              <w:r w:rsidR="002B7C18">
                <w:rPr>
                  <w:rStyle w:val="af8"/>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9F3CBD">
            <w:pPr>
              <w:spacing w:before="0" w:after="0"/>
              <w:rPr>
                <w:iCs/>
                <w:u w:val="single"/>
                <w:lang w:eastAsia="zh-CN"/>
              </w:rPr>
            </w:pPr>
            <w:hyperlink r:id="rId30" w:tgtFrame="_parent" w:history="1">
              <w:r w:rsidR="002B7C18">
                <w:rPr>
                  <w:rStyle w:val="af8"/>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9F3CBD">
            <w:pPr>
              <w:spacing w:before="0" w:after="0"/>
              <w:rPr>
                <w:iCs/>
                <w:u w:val="single"/>
                <w:lang w:eastAsia="zh-CN"/>
              </w:rPr>
            </w:pPr>
            <w:hyperlink r:id="rId31" w:tgtFrame="_parent" w:history="1">
              <w:r w:rsidR="002B7C18">
                <w:rPr>
                  <w:rStyle w:val="af8"/>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9F3CBD">
            <w:pPr>
              <w:spacing w:before="0" w:after="0"/>
              <w:rPr>
                <w:iCs/>
                <w:u w:val="single"/>
                <w:lang w:eastAsia="zh-CN"/>
              </w:rPr>
            </w:pPr>
            <w:hyperlink r:id="rId32" w:tgtFrame="_parent" w:history="1">
              <w:r w:rsidR="002B7C18">
                <w:rPr>
                  <w:rStyle w:val="af8"/>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9F3CBD">
            <w:pPr>
              <w:spacing w:before="0" w:after="0"/>
              <w:rPr>
                <w:iCs/>
                <w:u w:val="single"/>
                <w:lang w:eastAsia="zh-CN"/>
              </w:rPr>
            </w:pPr>
            <w:hyperlink r:id="rId33" w:tgtFrame="_parent" w:history="1">
              <w:r w:rsidR="002B7C18">
                <w:rPr>
                  <w:rStyle w:val="af8"/>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9F3CBD">
            <w:pPr>
              <w:spacing w:before="0" w:after="0"/>
              <w:rPr>
                <w:iCs/>
                <w:u w:val="single"/>
                <w:lang w:eastAsia="zh-CN"/>
              </w:rPr>
            </w:pPr>
            <w:hyperlink r:id="rId34" w:tgtFrame="_parent" w:history="1">
              <w:r w:rsidR="002B7C18">
                <w:rPr>
                  <w:rStyle w:val="af8"/>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9F3CBD">
            <w:pPr>
              <w:spacing w:before="0" w:after="0"/>
              <w:rPr>
                <w:iCs/>
                <w:u w:val="single"/>
                <w:lang w:eastAsia="zh-CN"/>
              </w:rPr>
            </w:pPr>
            <w:hyperlink r:id="rId35" w:tgtFrame="_parent" w:history="1">
              <w:r w:rsidR="002B7C18">
                <w:rPr>
                  <w:rStyle w:val="af8"/>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9F3CBD">
            <w:pPr>
              <w:spacing w:before="0" w:after="0"/>
              <w:rPr>
                <w:iCs/>
                <w:u w:val="single"/>
                <w:lang w:eastAsia="zh-CN"/>
              </w:rPr>
            </w:pPr>
            <w:hyperlink r:id="rId36" w:tgtFrame="_parent" w:history="1">
              <w:r w:rsidR="002B7C18">
                <w:rPr>
                  <w:rStyle w:val="af8"/>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9F3CBD">
            <w:pPr>
              <w:spacing w:before="0" w:after="0"/>
              <w:rPr>
                <w:iCs/>
                <w:u w:val="single"/>
                <w:lang w:eastAsia="zh-CN"/>
              </w:rPr>
            </w:pPr>
            <w:hyperlink r:id="rId37" w:tgtFrame="_parent" w:history="1">
              <w:r w:rsidR="002B7C18">
                <w:rPr>
                  <w:rStyle w:val="af8"/>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9034" w14:textId="77777777" w:rsidR="00163CA0" w:rsidRDefault="00163CA0">
      <w:pPr>
        <w:spacing w:line="240" w:lineRule="auto"/>
      </w:pPr>
      <w:r>
        <w:separator/>
      </w:r>
    </w:p>
  </w:endnote>
  <w:endnote w:type="continuationSeparator" w:id="0">
    <w:p w14:paraId="6DAD84DC" w14:textId="77777777" w:rsidR="00163CA0" w:rsidRDefault="0016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3318" w14:textId="77777777" w:rsidR="009F3CBD" w:rsidRDefault="009F3CB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935E0AE" w14:textId="77777777" w:rsidR="009F3CBD" w:rsidRDefault="009F3CBD">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BD9A" w14:textId="151678F8" w:rsidR="009F3CBD" w:rsidRDefault="009F3CBD">
    <w:pPr>
      <w:pStyle w:val="ad"/>
      <w:ind w:right="360"/>
    </w:pPr>
    <w:r>
      <w:rPr>
        <w:rStyle w:val="af6"/>
      </w:rPr>
      <w:fldChar w:fldCharType="begin"/>
    </w:r>
    <w:r>
      <w:rPr>
        <w:rStyle w:val="af6"/>
      </w:rPr>
      <w:instrText xml:space="preserve"> PAGE </w:instrText>
    </w:r>
    <w:r>
      <w:rPr>
        <w:rStyle w:val="af6"/>
      </w:rPr>
      <w:fldChar w:fldCharType="separate"/>
    </w:r>
    <w:r w:rsidR="00360871">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60871">
      <w:rPr>
        <w:rStyle w:val="af6"/>
        <w:noProof/>
      </w:rPr>
      <w:t>22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8B81" w14:textId="77777777" w:rsidR="00163CA0" w:rsidRDefault="00163CA0">
      <w:pPr>
        <w:spacing w:after="0" w:line="240" w:lineRule="auto"/>
      </w:pPr>
      <w:r>
        <w:separator/>
      </w:r>
    </w:p>
  </w:footnote>
  <w:footnote w:type="continuationSeparator" w:id="0">
    <w:p w14:paraId="425162F5" w14:textId="77777777" w:rsidR="00163CA0" w:rsidRDefault="00163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61B8" w14:textId="77777777" w:rsidR="009F3CBD" w:rsidRDefault="009F3C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2"/>
  </w:num>
  <w:num w:numId="4">
    <w:abstractNumId w:val="4"/>
  </w:num>
  <w:num w:numId="5">
    <w:abstractNumId w:val="6"/>
  </w:num>
  <w:num w:numId="6">
    <w:abstractNumId w:val="20"/>
  </w:num>
  <w:num w:numId="7">
    <w:abstractNumId w:val="18"/>
  </w:num>
  <w:num w:numId="8">
    <w:abstractNumId w:val="13"/>
  </w:num>
  <w:num w:numId="9">
    <w:abstractNumId w:val="16"/>
  </w:num>
  <w:num w:numId="10">
    <w:abstractNumId w:val="1"/>
  </w:num>
  <w:num w:numId="11">
    <w:abstractNumId w:val="9"/>
  </w:num>
  <w:num w:numId="12">
    <w:abstractNumId w:val="17"/>
  </w:num>
  <w:num w:numId="13">
    <w:abstractNumId w:val="25"/>
  </w:num>
  <w:num w:numId="14">
    <w:abstractNumId w:val="19"/>
  </w:num>
  <w:num w:numId="15">
    <w:abstractNumId w:val="10"/>
  </w:num>
  <w:num w:numId="16">
    <w:abstractNumId w:val="21"/>
  </w:num>
  <w:num w:numId="17">
    <w:abstractNumId w:val="3"/>
  </w:num>
  <w:num w:numId="18">
    <w:abstractNumId w:val="14"/>
  </w:num>
  <w:num w:numId="19">
    <w:abstractNumId w:val="0"/>
  </w:num>
  <w:num w:numId="20">
    <w:abstractNumId w:val="23"/>
  </w:num>
  <w:num w:numId="21">
    <w:abstractNumId w:val="15"/>
  </w:num>
  <w:num w:numId="22">
    <w:abstractNumId w:val="5"/>
  </w:num>
  <w:num w:numId="23">
    <w:abstractNumId w:val="11"/>
  </w:num>
  <w:num w:numId="24">
    <w:abstractNumId w:val="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040D7C4-E60F-426D-9E33-A5C6D9A9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22</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cp:lastModifiedBy>
  <cp:revision>15</cp:revision>
  <cp:lastPrinted>2014-11-07T05:38:00Z</cp:lastPrinted>
  <dcterms:created xsi:type="dcterms:W3CDTF">2021-11-12T01:32:00Z</dcterms:created>
  <dcterms:modified xsi:type="dcterms:W3CDTF">2021-11-12T10:55:00Z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