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lastRenderedPageBreak/>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lastRenderedPageBreak/>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w:t>
            </w:r>
            <w:r w:rsidRPr="009A008D">
              <w:rPr>
                <w:lang w:eastAsia="zh-CN"/>
              </w:rPr>
              <w:lastRenderedPageBreak/>
              <w:t xml:space="preserve">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08D7EA7E" w:rsidR="00FD40F0" w:rsidRDefault="00FD40F0" w:rsidP="00FD40F0">
            <w:pPr>
              <w:spacing w:after="0"/>
              <w:rPr>
                <w:bCs/>
                <w:lang w:eastAsia="zh-CN"/>
              </w:rPr>
            </w:pPr>
            <w:r>
              <w:rPr>
                <w:bCs/>
                <w:lang w:eastAsia="zh-CN"/>
              </w:rPr>
              <w:t>Samsung</w:t>
            </w:r>
          </w:p>
        </w:tc>
        <w:tc>
          <w:tcPr>
            <w:tcW w:w="7627" w:type="dxa"/>
          </w:tcPr>
          <w:p w14:paraId="25843F46" w14:textId="77777777" w:rsidR="00FD40F0" w:rsidRDefault="00FD40F0" w:rsidP="00FD40F0">
            <w:pPr>
              <w:spacing w:after="0"/>
              <w:rPr>
                <w:lang w:eastAsia="zh-CN"/>
              </w:rPr>
            </w:pPr>
            <w:r>
              <w:rPr>
                <w:lang w:eastAsia="zh-CN"/>
              </w:rPr>
              <w:t>The main bullet is fine.</w:t>
            </w:r>
          </w:p>
          <w:p w14:paraId="7E2172B1" w14:textId="1921DEFF" w:rsidR="00FD40F0" w:rsidRPr="00FD40F0" w:rsidRDefault="00FD40F0" w:rsidP="00FD40F0">
            <w:pPr>
              <w:spacing w:after="0"/>
              <w:rPr>
                <w:bCs/>
              </w:rPr>
            </w:pPr>
            <w:r w:rsidRPr="001B6C27">
              <w:rPr>
                <w:lang w:eastAsia="zh-CN"/>
              </w:rPr>
              <w:t xml:space="preserve">We don’t support the FFS because it is not compatible with R15/16 specifications. </w:t>
            </w:r>
            <w:r>
              <w:rPr>
                <w:lang w:eastAsia="zh-CN"/>
              </w:rPr>
              <w:t>If it is agreed in a CR/</w:t>
            </w:r>
            <w:r w:rsidRPr="001B6C27">
              <w:rPr>
                <w:lang w:eastAsia="zh-CN"/>
              </w:rPr>
              <w:t xml:space="preserve">TEI to modify the specifications so that a dynamic PUCCH resource is used in response to the activation DCI, then the </w:t>
            </w:r>
            <w:r>
              <w:rPr>
                <w:lang w:eastAsia="zh-CN"/>
              </w:rPr>
              <w:t xml:space="preserve">R17 </w:t>
            </w:r>
            <w:r w:rsidRPr="001B6C27">
              <w:rPr>
                <w:bCs/>
              </w:rPr>
              <w:t>dynamic PUCCH repetition factor indi</w:t>
            </w:r>
            <w:r>
              <w:rPr>
                <w:bCs/>
              </w:rPr>
              <w:t>cation mechanism agreed in RAN1#</w:t>
            </w:r>
            <w:r w:rsidRPr="001B6C27">
              <w:rPr>
                <w:bCs/>
              </w:rPr>
              <w:t>106e applies</w:t>
            </w:r>
            <w:r>
              <w:rPr>
                <w:bCs/>
              </w:rPr>
              <w:t xml:space="preserve"> without a need for an additional conclusion/agreement.</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lastRenderedPageBreak/>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 xml:space="preserve">We agree with the FL’s assessment, and no further discussion on these proposals </w:t>
            </w:r>
            <w:r>
              <w:rPr>
                <w:bCs/>
                <w:lang w:eastAsia="zh-CN"/>
              </w:rPr>
              <w:t>is necessary</w:t>
            </w:r>
            <w:r>
              <w:rPr>
                <w:bCs/>
                <w:lang w:eastAsia="zh-CN"/>
              </w:rPr>
              <w:t>.</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lastRenderedPageBreak/>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bCs/>
                <w:lang w:eastAsia="zh-CN"/>
              </w:rPr>
            </w:pPr>
            <w:r>
              <w:rPr>
                <w:bCs/>
                <w:lang w:eastAsia="zh-CN"/>
              </w:rPr>
              <w:t>Ericsson</w:t>
            </w:r>
          </w:p>
        </w:tc>
        <w:tc>
          <w:tcPr>
            <w:tcW w:w="7627" w:type="dxa"/>
          </w:tcPr>
          <w:p w14:paraId="0FC152F5" w14:textId="77777777" w:rsidR="00A24A8F" w:rsidRDefault="00A24A8F" w:rsidP="002240FA">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lastRenderedPageBreak/>
              <w:t>Samsung</w:t>
            </w:r>
          </w:p>
        </w:tc>
        <w:tc>
          <w:tcPr>
            <w:tcW w:w="7627" w:type="dxa"/>
          </w:tcPr>
          <w:p w14:paraId="5FC33A0F" w14:textId="0F67AB3F" w:rsidR="00FD40F0" w:rsidRDefault="00FD40F0" w:rsidP="00FD40F0">
            <w:pPr>
              <w:spacing w:after="0"/>
              <w:rPr>
                <w:lang w:eastAsia="zh-CN"/>
              </w:rPr>
            </w:pPr>
            <w:r>
              <w:rPr>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bCs/>
                <w:lang w:eastAsia="zh-CN"/>
              </w:rPr>
            </w:pPr>
            <w:r>
              <w:rPr>
                <w:bCs/>
                <w:lang w:eastAsia="zh-CN"/>
              </w:rPr>
              <w:t>Ericsson</w:t>
            </w:r>
          </w:p>
        </w:tc>
        <w:tc>
          <w:tcPr>
            <w:tcW w:w="7627" w:type="dxa"/>
          </w:tcPr>
          <w:p w14:paraId="303185B0" w14:textId="77777777" w:rsidR="00A24A8F" w:rsidRDefault="00A24A8F" w:rsidP="002240FA">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w:t>
            </w:r>
            <w:r>
              <w:rPr>
                <w:lang w:eastAsia="zh-CN"/>
              </w:rPr>
              <w:t>, if applicable.</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lastRenderedPageBreak/>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r>
              <w:rPr>
                <w:rFonts w:ascii="Times New Roman" w:hAnsi="Times New Roman"/>
                <w:sz w:val="20"/>
                <w:szCs w:val="20"/>
                <w:lang w:eastAsia="zh-CN"/>
              </w:rPr>
              <w:lastRenderedPageBreak/>
              <w:t>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lastRenderedPageBreak/>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 xml:space="preserve">Further, in Rel-15/16, inter-slot frequency hopping pattern is defined based on slot index. Option 1 can help to allow backward compatibility. If hopping interval is configured with </w:t>
            </w:r>
            <w:r w:rsidRPr="00601394">
              <w:rPr>
                <w:rFonts w:eastAsiaTheme="minorEastAsia"/>
                <w:lang w:eastAsia="zh-CN"/>
              </w:rPr>
              <w:lastRenderedPageBreak/>
              <w:t>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2240FA">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bl>
    <w:p w14:paraId="3862F3D8" w14:textId="77777777" w:rsidR="00F27BB7" w:rsidRDefault="002B7C18">
      <w:pPr>
        <w:spacing w:after="0"/>
        <w:jc w:val="left"/>
      </w:pPr>
      <w:bookmarkStart w:id="16" w:name="_GoBack"/>
      <w:bookmarkEnd w:id="16"/>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t>
            </w:r>
            <w:r>
              <w:rPr>
                <w:rFonts w:eastAsia="MS Mincho"/>
                <w:lang w:eastAsia="ja-JP"/>
              </w:rPr>
              <w:lastRenderedPageBreak/>
              <w:t>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 xml:space="preserve">hase </w:t>
            </w:r>
            <w:r>
              <w:rPr>
                <w:lang w:eastAsia="zh-CN"/>
              </w:rPr>
              <w:lastRenderedPageBreak/>
              <w:t>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lastRenderedPageBreak/>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bCs/>
                <w:lang w:eastAsia="zh-CN"/>
              </w:rPr>
            </w:pPr>
            <w:r>
              <w:rPr>
                <w:bCs/>
                <w:lang w:eastAsia="zh-CN"/>
              </w:rPr>
              <w:t>Ericsson</w:t>
            </w:r>
          </w:p>
        </w:tc>
        <w:tc>
          <w:tcPr>
            <w:tcW w:w="3207" w:type="dxa"/>
          </w:tcPr>
          <w:p w14:paraId="260FC4C5" w14:textId="77777777" w:rsidR="00A24A8F" w:rsidRDefault="00A24A8F" w:rsidP="002240FA">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t>Unnecessarily restricts FH to exactly match JCE.</w:t>
            </w:r>
          </w:p>
          <w:p w14:paraId="49E3A10E" w14:textId="77777777" w:rsidR="00A24A8F" w:rsidRDefault="00A24A8F" w:rsidP="002240FA">
            <w:pPr>
              <w:spacing w:after="0"/>
              <w:rPr>
                <w:lang w:eastAsia="zh-CN"/>
              </w:rPr>
            </w:pPr>
          </w:p>
        </w:tc>
        <w:tc>
          <w:tcPr>
            <w:tcW w:w="2642" w:type="dxa"/>
          </w:tcPr>
          <w:p w14:paraId="3CA660AD" w14:textId="77777777" w:rsidR="00A24A8F" w:rsidRDefault="00A24A8F" w:rsidP="002240FA">
            <w:pPr>
              <w:spacing w:after="0"/>
              <w:rPr>
                <w:lang w:eastAsia="zh-CN"/>
              </w:rPr>
            </w:pPr>
            <w:r>
              <w:rPr>
                <w:lang w:eastAsia="zh-CN"/>
              </w:rPr>
              <w:t>Pros:</w:t>
            </w:r>
          </w:p>
          <w:p w14:paraId="55D7B30D" w14:textId="77777777" w:rsidR="00A24A8F" w:rsidRDefault="00A24A8F" w:rsidP="002240FA">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2240FA">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bl>
    <w:p w14:paraId="594E81D9" w14:textId="77777777" w:rsidR="00F27BB7" w:rsidRDefault="00F27BB7">
      <w:pPr>
        <w:spacing w:after="0"/>
        <w:jc w:val="left"/>
      </w:pPr>
    </w:p>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77777777"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5BF374E7" w14:textId="77777777" w:rsidR="00F27BB7" w:rsidRDefault="002B7C18">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8A0DA1">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8A0DA1">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8A0DA1">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8A0DA1">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8A0DA1">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8A0DA1">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8A0DA1">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8A0DA1">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8A0DA1">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8A0DA1">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8A0DA1">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8A0DA1">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8A0DA1">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8A0DA1">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8A0DA1">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8A0DA1">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8A0DA1">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8A0DA1">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8A0DA1">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8A0DA1">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8A0DA1">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8A0DA1">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8A0DA1">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8A0DA1">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2683" w14:textId="77777777" w:rsidR="008A0DA1" w:rsidRDefault="008A0DA1">
      <w:pPr>
        <w:spacing w:line="240" w:lineRule="auto"/>
      </w:pPr>
      <w:r>
        <w:separator/>
      </w:r>
    </w:p>
  </w:endnote>
  <w:endnote w:type="continuationSeparator" w:id="0">
    <w:p w14:paraId="5738E753" w14:textId="77777777" w:rsidR="008A0DA1" w:rsidRDefault="008A0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5AFE7895"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sidR="00FD40F0">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40F0">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04DA" w14:textId="77777777" w:rsidR="008A0DA1" w:rsidRDefault="008A0DA1">
      <w:pPr>
        <w:spacing w:after="0" w:line="240" w:lineRule="auto"/>
      </w:pPr>
      <w:r>
        <w:separator/>
      </w:r>
    </w:p>
  </w:footnote>
  <w:footnote w:type="continuationSeparator" w:id="0">
    <w:p w14:paraId="6F3FAF67" w14:textId="77777777" w:rsidR="008A0DA1" w:rsidRDefault="008A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4"/>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2"/>
  </w:num>
  <w:num w:numId="21">
    <w:abstractNumId w:val="15"/>
  </w:num>
  <w:num w:numId="22">
    <w:abstractNumId w:val="5"/>
  </w:num>
  <w:num w:numId="23">
    <w:abstractNumId w:val="11"/>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5D0131B-7AFB-4B21-9F10-22B7CE9F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7904</Words>
  <Characters>45055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2021-11-11T19:42:00Z</dcterms:created>
  <dcterms:modified xsi:type="dcterms:W3CDTF">2021-11-11T19:49:00Z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